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2EFE0820" w:rsidR="001809F1" w:rsidRDefault="00B40DC3" w:rsidP="00471134">
      <w:pPr>
        <w:spacing w:line="240" w:lineRule="auto"/>
        <w:jc w:val="center"/>
        <w:rPr>
          <w:lang w:val="en-US"/>
        </w:rPr>
      </w:pPr>
      <w:r>
        <w:rPr>
          <w:lang w:val="en-US"/>
        </w:rPr>
        <w:t>ELN-0610</w:t>
      </w:r>
      <w:r w:rsidR="001809F1">
        <w:rPr>
          <w:lang w:val="en-US"/>
        </w:rPr>
        <w:t>-v1.0</w:t>
      </w:r>
    </w:p>
    <w:p w14:paraId="2635A040" w14:textId="210C2B90" w:rsidR="00B05A68" w:rsidRDefault="006E23A8" w:rsidP="00471134">
      <w:pPr>
        <w:spacing w:line="240" w:lineRule="auto"/>
        <w:jc w:val="center"/>
        <w:rPr>
          <w:lang w:val="en-US"/>
        </w:rPr>
      </w:pPr>
      <w:r w:rsidRPr="006C4EAB">
        <w:rPr>
          <w:lang w:val="en-US"/>
        </w:rPr>
        <w:t xml:space="preserve">Version </w:t>
      </w:r>
      <w:r w:rsidR="00FD32B5">
        <w:rPr>
          <w:lang w:val="en-US"/>
        </w:rPr>
        <w:t>1.0</w:t>
      </w:r>
    </w:p>
    <w:p w14:paraId="174C0B25" w14:textId="422AD6BF" w:rsidR="005D5595" w:rsidRPr="006C4EAB" w:rsidRDefault="00E1173B" w:rsidP="00471134">
      <w:pPr>
        <w:spacing w:line="240" w:lineRule="auto"/>
        <w:jc w:val="center"/>
        <w:rPr>
          <w:lang w:val="en-US"/>
        </w:rPr>
      </w:pPr>
      <w:r>
        <w:rPr>
          <w:lang w:val="en-US"/>
        </w:rPr>
        <w:t>2014</w:t>
      </w:r>
      <w:r w:rsidR="003B6A2E">
        <w:rPr>
          <w:lang w:val="en-US"/>
        </w:rPr>
        <w:t>-</w:t>
      </w:r>
      <w:r>
        <w:rPr>
          <w:lang w:val="en-US"/>
        </w:rPr>
        <w:t>0</w:t>
      </w:r>
      <w:r w:rsidR="001809F1">
        <w:rPr>
          <w:lang w:val="en-US"/>
        </w:rPr>
        <w:t>6-18</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49D98AB" w14:textId="77777777" w:rsidR="00B81048" w:rsidRDefault="00D8362E">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B81048" w:rsidRPr="006C58F1">
        <w:rPr>
          <w:noProof/>
          <w:lang w:val="en-US"/>
        </w:rPr>
        <w:t>1</w:t>
      </w:r>
      <w:r w:rsidR="00B81048">
        <w:rPr>
          <w:rFonts w:eastAsiaTheme="minorEastAsia" w:cstheme="minorBidi"/>
          <w:b w:val="0"/>
          <w:bCs w:val="0"/>
          <w:caps w:val="0"/>
          <w:noProof/>
          <w:color w:val="auto"/>
          <w:kern w:val="0"/>
          <w:sz w:val="24"/>
          <w:szCs w:val="24"/>
          <w:u w:val="none"/>
          <w:lang w:val="en-US" w:eastAsia="ja-JP"/>
        </w:rPr>
        <w:tab/>
      </w:r>
      <w:r w:rsidR="00B81048" w:rsidRPr="006C58F1">
        <w:rPr>
          <w:noProof/>
          <w:lang w:val="en-US"/>
        </w:rPr>
        <w:t>Introduction</w:t>
      </w:r>
      <w:r w:rsidR="00B81048">
        <w:rPr>
          <w:noProof/>
        </w:rPr>
        <w:tab/>
      </w:r>
      <w:r w:rsidR="00B81048">
        <w:rPr>
          <w:noProof/>
        </w:rPr>
        <w:fldChar w:fldCharType="begin"/>
      </w:r>
      <w:r w:rsidR="00B81048">
        <w:rPr>
          <w:noProof/>
        </w:rPr>
        <w:instrText xml:space="preserve"> PAGEREF _Toc264744511 \h </w:instrText>
      </w:r>
      <w:r w:rsidR="00B81048">
        <w:rPr>
          <w:noProof/>
        </w:rPr>
      </w:r>
      <w:r w:rsidR="00B81048">
        <w:rPr>
          <w:noProof/>
        </w:rPr>
        <w:fldChar w:fldCharType="separate"/>
      </w:r>
      <w:r w:rsidR="00B81048">
        <w:rPr>
          <w:noProof/>
        </w:rPr>
        <w:t>3</w:t>
      </w:r>
      <w:r w:rsidR="00B81048">
        <w:rPr>
          <w:noProof/>
        </w:rPr>
        <w:fldChar w:fldCharType="end"/>
      </w:r>
    </w:p>
    <w:p w14:paraId="2CF69E1C" w14:textId="77777777" w:rsidR="00B81048" w:rsidRDefault="00B81048">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58F1">
        <w:rPr>
          <w:noProof/>
          <w:lang w:val="en-US"/>
        </w:rPr>
        <w:t>2</w:t>
      </w:r>
      <w:r>
        <w:rPr>
          <w:rFonts w:eastAsiaTheme="minorEastAsia" w:cstheme="minorBidi"/>
          <w:b w:val="0"/>
          <w:bCs w:val="0"/>
          <w:caps w:val="0"/>
          <w:noProof/>
          <w:color w:val="auto"/>
          <w:kern w:val="0"/>
          <w:sz w:val="24"/>
          <w:szCs w:val="24"/>
          <w:u w:val="none"/>
          <w:lang w:val="en-US" w:eastAsia="ja-JP"/>
        </w:rPr>
        <w:tab/>
      </w:r>
      <w:r w:rsidRPr="006C58F1">
        <w:rPr>
          <w:noProof/>
          <w:lang w:val="en-US"/>
        </w:rPr>
        <w:t>Discovery Service Logic</w:t>
      </w:r>
      <w:r>
        <w:rPr>
          <w:noProof/>
        </w:rPr>
        <w:tab/>
      </w:r>
      <w:r>
        <w:rPr>
          <w:noProof/>
        </w:rPr>
        <w:fldChar w:fldCharType="begin"/>
      </w:r>
      <w:r>
        <w:rPr>
          <w:noProof/>
        </w:rPr>
        <w:instrText xml:space="preserve"> PAGEREF _Toc264744512 \h </w:instrText>
      </w:r>
      <w:r>
        <w:rPr>
          <w:noProof/>
        </w:rPr>
      </w:r>
      <w:r>
        <w:rPr>
          <w:noProof/>
        </w:rPr>
        <w:fldChar w:fldCharType="separate"/>
      </w:r>
      <w:r>
        <w:rPr>
          <w:noProof/>
        </w:rPr>
        <w:t>3</w:t>
      </w:r>
      <w:r>
        <w:rPr>
          <w:noProof/>
        </w:rPr>
        <w:fldChar w:fldCharType="end"/>
      </w:r>
    </w:p>
    <w:p w14:paraId="0C1C554F"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2.1</w:t>
      </w:r>
      <w:r>
        <w:rPr>
          <w:rFonts w:eastAsiaTheme="minorEastAsia" w:cstheme="minorBidi"/>
          <w:b w:val="0"/>
          <w:bCs w:val="0"/>
          <w:smallCaps w:val="0"/>
          <w:noProof/>
          <w:color w:val="auto"/>
          <w:kern w:val="0"/>
          <w:sz w:val="24"/>
          <w:szCs w:val="24"/>
          <w:lang w:val="en-US" w:eastAsia="ja-JP"/>
        </w:rPr>
        <w:tab/>
      </w:r>
      <w:r w:rsidRPr="006C58F1">
        <w:rPr>
          <w:noProof/>
          <w:lang w:val="en-US"/>
        </w:rPr>
        <w:t>Matching of Identity Providers</w:t>
      </w:r>
      <w:r>
        <w:rPr>
          <w:noProof/>
        </w:rPr>
        <w:tab/>
      </w:r>
      <w:r>
        <w:rPr>
          <w:noProof/>
        </w:rPr>
        <w:fldChar w:fldCharType="begin"/>
      </w:r>
      <w:r>
        <w:rPr>
          <w:noProof/>
        </w:rPr>
        <w:instrText xml:space="preserve"> PAGEREF _Toc264744513 \h </w:instrText>
      </w:r>
      <w:r>
        <w:rPr>
          <w:noProof/>
        </w:rPr>
      </w:r>
      <w:r>
        <w:rPr>
          <w:noProof/>
        </w:rPr>
        <w:fldChar w:fldCharType="separate"/>
      </w:r>
      <w:r>
        <w:rPr>
          <w:noProof/>
        </w:rPr>
        <w:t>3</w:t>
      </w:r>
      <w:r>
        <w:rPr>
          <w:noProof/>
        </w:rPr>
        <w:fldChar w:fldCharType="end"/>
      </w:r>
    </w:p>
    <w:p w14:paraId="36016452"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2.2</w:t>
      </w:r>
      <w:r>
        <w:rPr>
          <w:rFonts w:eastAsiaTheme="minorEastAsia" w:cstheme="minorBidi"/>
          <w:b w:val="0"/>
          <w:bCs w:val="0"/>
          <w:smallCaps w:val="0"/>
          <w:noProof/>
          <w:color w:val="auto"/>
          <w:kern w:val="0"/>
          <w:sz w:val="24"/>
          <w:szCs w:val="24"/>
          <w:lang w:val="en-US" w:eastAsia="ja-JP"/>
        </w:rPr>
        <w:tab/>
      </w:r>
      <w:r w:rsidRPr="006C58F1">
        <w:rPr>
          <w:noProof/>
          <w:lang w:val="en-US"/>
        </w:rPr>
        <w:t>User State and Remembered Choices</w:t>
      </w:r>
      <w:r>
        <w:rPr>
          <w:noProof/>
        </w:rPr>
        <w:tab/>
      </w:r>
      <w:r>
        <w:rPr>
          <w:noProof/>
        </w:rPr>
        <w:fldChar w:fldCharType="begin"/>
      </w:r>
      <w:r>
        <w:rPr>
          <w:noProof/>
        </w:rPr>
        <w:instrText xml:space="preserve"> PAGEREF _Toc264744514 \h </w:instrText>
      </w:r>
      <w:r>
        <w:rPr>
          <w:noProof/>
        </w:rPr>
      </w:r>
      <w:r>
        <w:rPr>
          <w:noProof/>
        </w:rPr>
        <w:fldChar w:fldCharType="separate"/>
      </w:r>
      <w:r>
        <w:rPr>
          <w:noProof/>
        </w:rPr>
        <w:t>4</w:t>
      </w:r>
      <w:r>
        <w:rPr>
          <w:noProof/>
        </w:rPr>
        <w:fldChar w:fldCharType="end"/>
      </w:r>
    </w:p>
    <w:p w14:paraId="6E726ADA" w14:textId="77777777" w:rsidR="00B81048" w:rsidRDefault="00B81048">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58F1">
        <w:rPr>
          <w:noProof/>
          <w:lang w:val="en-US"/>
        </w:rPr>
        <w:t>3</w:t>
      </w:r>
      <w:r>
        <w:rPr>
          <w:rFonts w:eastAsiaTheme="minorEastAsia" w:cstheme="minorBidi"/>
          <w:b w:val="0"/>
          <w:bCs w:val="0"/>
          <w:caps w:val="0"/>
          <w:noProof/>
          <w:color w:val="auto"/>
          <w:kern w:val="0"/>
          <w:sz w:val="24"/>
          <w:szCs w:val="24"/>
          <w:u w:val="none"/>
          <w:lang w:val="en-US" w:eastAsia="ja-JP"/>
        </w:rPr>
        <w:tab/>
      </w:r>
      <w:r w:rsidRPr="006C58F1">
        <w:rPr>
          <w:noProof/>
          <w:lang w:val="en-US"/>
        </w:rPr>
        <w:t>Discovery according to “Identity Provider Discovery Service Protocol and Profile”</w:t>
      </w:r>
      <w:r>
        <w:rPr>
          <w:noProof/>
        </w:rPr>
        <w:tab/>
      </w:r>
      <w:r>
        <w:rPr>
          <w:noProof/>
        </w:rPr>
        <w:fldChar w:fldCharType="begin"/>
      </w:r>
      <w:r>
        <w:rPr>
          <w:noProof/>
        </w:rPr>
        <w:instrText xml:space="preserve"> PAGEREF _Toc264744515 \h </w:instrText>
      </w:r>
      <w:r>
        <w:rPr>
          <w:noProof/>
        </w:rPr>
      </w:r>
      <w:r>
        <w:rPr>
          <w:noProof/>
        </w:rPr>
        <w:fldChar w:fldCharType="separate"/>
      </w:r>
      <w:r>
        <w:rPr>
          <w:noProof/>
        </w:rPr>
        <w:t>5</w:t>
      </w:r>
      <w:r>
        <w:rPr>
          <w:noProof/>
        </w:rPr>
        <w:fldChar w:fldCharType="end"/>
      </w:r>
    </w:p>
    <w:p w14:paraId="367A1340"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3.1</w:t>
      </w:r>
      <w:r>
        <w:rPr>
          <w:rFonts w:eastAsiaTheme="minorEastAsia" w:cstheme="minorBidi"/>
          <w:b w:val="0"/>
          <w:bCs w:val="0"/>
          <w:smallCaps w:val="0"/>
          <w:noProof/>
          <w:color w:val="auto"/>
          <w:kern w:val="0"/>
          <w:sz w:val="24"/>
          <w:szCs w:val="24"/>
          <w:lang w:val="en-US" w:eastAsia="ja-JP"/>
        </w:rPr>
        <w:tab/>
      </w:r>
      <w:r w:rsidRPr="006C58F1">
        <w:rPr>
          <w:noProof/>
          <w:lang w:val="en-US"/>
        </w:rPr>
        <w:t>Discovery Response Addresses</w:t>
      </w:r>
      <w:r>
        <w:rPr>
          <w:noProof/>
        </w:rPr>
        <w:tab/>
      </w:r>
      <w:r>
        <w:rPr>
          <w:noProof/>
        </w:rPr>
        <w:fldChar w:fldCharType="begin"/>
      </w:r>
      <w:r>
        <w:rPr>
          <w:noProof/>
        </w:rPr>
        <w:instrText xml:space="preserve"> PAGEREF _Toc264744516 \h </w:instrText>
      </w:r>
      <w:r>
        <w:rPr>
          <w:noProof/>
        </w:rPr>
      </w:r>
      <w:r>
        <w:rPr>
          <w:noProof/>
        </w:rPr>
        <w:fldChar w:fldCharType="separate"/>
      </w:r>
      <w:r>
        <w:rPr>
          <w:noProof/>
        </w:rPr>
        <w:t>6</w:t>
      </w:r>
      <w:r>
        <w:rPr>
          <w:noProof/>
        </w:rPr>
        <w:fldChar w:fldCharType="end"/>
      </w:r>
    </w:p>
    <w:p w14:paraId="04414104"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3.2</w:t>
      </w:r>
      <w:r>
        <w:rPr>
          <w:rFonts w:eastAsiaTheme="minorEastAsia" w:cstheme="minorBidi"/>
          <w:b w:val="0"/>
          <w:bCs w:val="0"/>
          <w:smallCaps w:val="0"/>
          <w:noProof/>
          <w:color w:val="auto"/>
          <w:kern w:val="0"/>
          <w:sz w:val="24"/>
          <w:szCs w:val="24"/>
          <w:lang w:val="en-US" w:eastAsia="ja-JP"/>
        </w:rPr>
        <w:tab/>
      </w:r>
      <w:r w:rsidRPr="006C58F1">
        <w:rPr>
          <w:noProof/>
          <w:lang w:val="en-US"/>
        </w:rPr>
        <w:t>Silent Discovery Service</w:t>
      </w:r>
      <w:r>
        <w:rPr>
          <w:noProof/>
        </w:rPr>
        <w:tab/>
      </w:r>
      <w:r>
        <w:rPr>
          <w:noProof/>
        </w:rPr>
        <w:fldChar w:fldCharType="begin"/>
      </w:r>
      <w:r>
        <w:rPr>
          <w:noProof/>
        </w:rPr>
        <w:instrText xml:space="preserve"> PAGEREF _Toc264744517 \h </w:instrText>
      </w:r>
      <w:r>
        <w:rPr>
          <w:noProof/>
        </w:rPr>
      </w:r>
      <w:r>
        <w:rPr>
          <w:noProof/>
        </w:rPr>
        <w:fldChar w:fldCharType="separate"/>
      </w:r>
      <w:r>
        <w:rPr>
          <w:noProof/>
        </w:rPr>
        <w:t>6</w:t>
      </w:r>
      <w:r>
        <w:rPr>
          <w:noProof/>
        </w:rPr>
        <w:fldChar w:fldCharType="end"/>
      </w:r>
    </w:p>
    <w:p w14:paraId="5667E3DC"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3.3</w:t>
      </w:r>
      <w:r>
        <w:rPr>
          <w:rFonts w:eastAsiaTheme="minorEastAsia" w:cstheme="minorBidi"/>
          <w:b w:val="0"/>
          <w:bCs w:val="0"/>
          <w:smallCaps w:val="0"/>
          <w:noProof/>
          <w:color w:val="auto"/>
          <w:kern w:val="0"/>
          <w:sz w:val="24"/>
          <w:szCs w:val="24"/>
          <w:lang w:val="en-US" w:eastAsia="ja-JP"/>
        </w:rPr>
        <w:tab/>
      </w:r>
      <w:r w:rsidRPr="006C58F1">
        <w:rPr>
          <w:noProof/>
          <w:lang w:val="en-US"/>
        </w:rPr>
        <w:t>The Discovery Service and Mobile Devices</w:t>
      </w:r>
      <w:r>
        <w:rPr>
          <w:noProof/>
        </w:rPr>
        <w:tab/>
      </w:r>
      <w:r>
        <w:rPr>
          <w:noProof/>
        </w:rPr>
        <w:fldChar w:fldCharType="begin"/>
      </w:r>
      <w:r>
        <w:rPr>
          <w:noProof/>
        </w:rPr>
        <w:instrText xml:space="preserve"> PAGEREF _Toc264744518 \h </w:instrText>
      </w:r>
      <w:r>
        <w:rPr>
          <w:noProof/>
        </w:rPr>
      </w:r>
      <w:r>
        <w:rPr>
          <w:noProof/>
        </w:rPr>
        <w:fldChar w:fldCharType="separate"/>
      </w:r>
      <w:r>
        <w:rPr>
          <w:noProof/>
        </w:rPr>
        <w:t>6</w:t>
      </w:r>
      <w:r>
        <w:rPr>
          <w:noProof/>
        </w:rPr>
        <w:fldChar w:fldCharType="end"/>
      </w:r>
    </w:p>
    <w:p w14:paraId="6A9D4B9B" w14:textId="77777777" w:rsidR="00B81048" w:rsidRDefault="00B81048">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58F1">
        <w:rPr>
          <w:noProof/>
          <w:lang w:val="en-US"/>
        </w:rPr>
        <w:t>4</w:t>
      </w:r>
      <w:r>
        <w:rPr>
          <w:rFonts w:eastAsiaTheme="minorEastAsia" w:cstheme="minorBidi"/>
          <w:b w:val="0"/>
          <w:bCs w:val="0"/>
          <w:caps w:val="0"/>
          <w:noProof/>
          <w:color w:val="auto"/>
          <w:kern w:val="0"/>
          <w:sz w:val="24"/>
          <w:szCs w:val="24"/>
          <w:u w:val="none"/>
          <w:lang w:val="en-US" w:eastAsia="ja-JP"/>
        </w:rPr>
        <w:tab/>
      </w:r>
      <w:r w:rsidRPr="006C58F1">
        <w:rPr>
          <w:noProof/>
          <w:lang w:val="en-US"/>
        </w:rPr>
        <w:t>Integrating the Discovery Service in the Service Provider Application</w:t>
      </w:r>
      <w:r>
        <w:rPr>
          <w:noProof/>
        </w:rPr>
        <w:tab/>
      </w:r>
      <w:r>
        <w:rPr>
          <w:noProof/>
        </w:rPr>
        <w:fldChar w:fldCharType="begin"/>
      </w:r>
      <w:r>
        <w:rPr>
          <w:noProof/>
        </w:rPr>
        <w:instrText xml:space="preserve"> PAGEREF _Toc264744519 \h </w:instrText>
      </w:r>
      <w:r>
        <w:rPr>
          <w:noProof/>
        </w:rPr>
      </w:r>
      <w:r>
        <w:rPr>
          <w:noProof/>
        </w:rPr>
        <w:fldChar w:fldCharType="separate"/>
      </w:r>
      <w:r>
        <w:rPr>
          <w:noProof/>
        </w:rPr>
        <w:t>7</w:t>
      </w:r>
      <w:r>
        <w:rPr>
          <w:noProof/>
        </w:rPr>
        <w:fldChar w:fldCharType="end"/>
      </w:r>
    </w:p>
    <w:p w14:paraId="2F6A6D99"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4.1</w:t>
      </w:r>
      <w:r>
        <w:rPr>
          <w:rFonts w:eastAsiaTheme="minorEastAsia" w:cstheme="minorBidi"/>
          <w:b w:val="0"/>
          <w:bCs w:val="0"/>
          <w:smallCaps w:val="0"/>
          <w:noProof/>
          <w:color w:val="auto"/>
          <w:kern w:val="0"/>
          <w:sz w:val="24"/>
          <w:szCs w:val="24"/>
          <w:lang w:val="en-US" w:eastAsia="ja-JP"/>
        </w:rPr>
        <w:tab/>
      </w:r>
      <w:r w:rsidRPr="006C58F1">
        <w:rPr>
          <w:noProof/>
          <w:lang w:val="en-US"/>
        </w:rPr>
        <w:t>Architecture and Dependencies</w:t>
      </w:r>
      <w:r>
        <w:rPr>
          <w:noProof/>
        </w:rPr>
        <w:tab/>
      </w:r>
      <w:r>
        <w:rPr>
          <w:noProof/>
        </w:rPr>
        <w:fldChar w:fldCharType="begin"/>
      </w:r>
      <w:r>
        <w:rPr>
          <w:noProof/>
        </w:rPr>
        <w:instrText xml:space="preserve"> PAGEREF _Toc264744520 \h </w:instrText>
      </w:r>
      <w:r>
        <w:rPr>
          <w:noProof/>
        </w:rPr>
      </w:r>
      <w:r>
        <w:rPr>
          <w:noProof/>
        </w:rPr>
        <w:fldChar w:fldCharType="separate"/>
      </w:r>
      <w:r>
        <w:rPr>
          <w:noProof/>
        </w:rPr>
        <w:t>7</w:t>
      </w:r>
      <w:r>
        <w:rPr>
          <w:noProof/>
        </w:rPr>
        <w:fldChar w:fldCharType="end"/>
      </w:r>
    </w:p>
    <w:p w14:paraId="20FB5CD4"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4.2</w:t>
      </w:r>
      <w:r>
        <w:rPr>
          <w:rFonts w:eastAsiaTheme="minorEastAsia" w:cstheme="minorBidi"/>
          <w:b w:val="0"/>
          <w:bCs w:val="0"/>
          <w:smallCaps w:val="0"/>
          <w:noProof/>
          <w:color w:val="auto"/>
          <w:kern w:val="0"/>
          <w:sz w:val="24"/>
          <w:szCs w:val="24"/>
          <w:lang w:val="en-US" w:eastAsia="ja-JP"/>
        </w:rPr>
        <w:tab/>
      </w:r>
      <w:r w:rsidRPr="006C58F1">
        <w:rPr>
          <w:noProof/>
          <w:lang w:val="en-US"/>
        </w:rPr>
        <w:t>Step-by-step Integration</w:t>
      </w:r>
      <w:r>
        <w:rPr>
          <w:noProof/>
        </w:rPr>
        <w:tab/>
      </w:r>
      <w:r>
        <w:rPr>
          <w:noProof/>
        </w:rPr>
        <w:fldChar w:fldCharType="begin"/>
      </w:r>
      <w:r>
        <w:rPr>
          <w:noProof/>
        </w:rPr>
        <w:instrText xml:space="preserve"> PAGEREF _Toc264744521 \h </w:instrText>
      </w:r>
      <w:r>
        <w:rPr>
          <w:noProof/>
        </w:rPr>
      </w:r>
      <w:r>
        <w:rPr>
          <w:noProof/>
        </w:rPr>
        <w:fldChar w:fldCharType="separate"/>
      </w:r>
      <w:r>
        <w:rPr>
          <w:noProof/>
        </w:rPr>
        <w:t>8</w:t>
      </w:r>
      <w:r>
        <w:rPr>
          <w:noProof/>
        </w:rPr>
        <w:fldChar w:fldCharType="end"/>
      </w:r>
    </w:p>
    <w:p w14:paraId="6624E71D"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4.2.1</w:t>
      </w:r>
      <w:r>
        <w:rPr>
          <w:rFonts w:eastAsiaTheme="minorEastAsia" w:cstheme="minorBidi"/>
          <w:smallCaps w:val="0"/>
          <w:noProof/>
          <w:color w:val="auto"/>
          <w:kern w:val="0"/>
          <w:sz w:val="24"/>
          <w:szCs w:val="24"/>
          <w:lang w:val="en-US" w:eastAsia="ja-JP"/>
        </w:rPr>
        <w:tab/>
      </w:r>
      <w:r w:rsidRPr="006C58F1">
        <w:rPr>
          <w:noProof/>
          <w:lang w:val="en-US"/>
        </w:rPr>
        <w:t>Inclusion of Required Resources</w:t>
      </w:r>
      <w:r>
        <w:rPr>
          <w:noProof/>
        </w:rPr>
        <w:tab/>
      </w:r>
      <w:r>
        <w:rPr>
          <w:noProof/>
        </w:rPr>
        <w:fldChar w:fldCharType="begin"/>
      </w:r>
      <w:r>
        <w:rPr>
          <w:noProof/>
        </w:rPr>
        <w:instrText xml:space="preserve"> PAGEREF _Toc264744522 \h </w:instrText>
      </w:r>
      <w:r>
        <w:rPr>
          <w:noProof/>
        </w:rPr>
      </w:r>
      <w:r>
        <w:rPr>
          <w:noProof/>
        </w:rPr>
        <w:fldChar w:fldCharType="separate"/>
      </w:r>
      <w:r>
        <w:rPr>
          <w:noProof/>
        </w:rPr>
        <w:t>8</w:t>
      </w:r>
      <w:r>
        <w:rPr>
          <w:noProof/>
        </w:rPr>
        <w:fldChar w:fldCharType="end"/>
      </w:r>
    </w:p>
    <w:p w14:paraId="30C322EC"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4.2.2</w:t>
      </w:r>
      <w:r>
        <w:rPr>
          <w:rFonts w:eastAsiaTheme="minorEastAsia" w:cstheme="minorBidi"/>
          <w:smallCaps w:val="0"/>
          <w:noProof/>
          <w:color w:val="auto"/>
          <w:kern w:val="0"/>
          <w:sz w:val="24"/>
          <w:szCs w:val="24"/>
          <w:lang w:val="en-US" w:eastAsia="ja-JP"/>
        </w:rPr>
        <w:tab/>
      </w:r>
      <w:r w:rsidRPr="006C58F1">
        <w:rPr>
          <w:noProof/>
          <w:lang w:val="en-US"/>
        </w:rPr>
        <w:t>Laying out the Discovery Area</w:t>
      </w:r>
      <w:r>
        <w:rPr>
          <w:noProof/>
        </w:rPr>
        <w:tab/>
      </w:r>
      <w:r>
        <w:rPr>
          <w:noProof/>
        </w:rPr>
        <w:fldChar w:fldCharType="begin"/>
      </w:r>
      <w:r>
        <w:rPr>
          <w:noProof/>
        </w:rPr>
        <w:instrText xml:space="preserve"> PAGEREF _Toc264744523 \h </w:instrText>
      </w:r>
      <w:r>
        <w:rPr>
          <w:noProof/>
        </w:rPr>
      </w:r>
      <w:r>
        <w:rPr>
          <w:noProof/>
        </w:rPr>
        <w:fldChar w:fldCharType="separate"/>
      </w:r>
      <w:r>
        <w:rPr>
          <w:noProof/>
        </w:rPr>
        <w:t>9</w:t>
      </w:r>
      <w:r>
        <w:rPr>
          <w:noProof/>
        </w:rPr>
        <w:fldChar w:fldCharType="end"/>
      </w:r>
    </w:p>
    <w:p w14:paraId="491F73FA"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4.2.3</w:t>
      </w:r>
      <w:r>
        <w:rPr>
          <w:rFonts w:eastAsiaTheme="minorEastAsia" w:cstheme="minorBidi"/>
          <w:smallCaps w:val="0"/>
          <w:noProof/>
          <w:color w:val="auto"/>
          <w:kern w:val="0"/>
          <w:sz w:val="24"/>
          <w:szCs w:val="24"/>
          <w:lang w:val="en-US" w:eastAsia="ja-JP"/>
        </w:rPr>
        <w:tab/>
      </w:r>
      <w:r w:rsidRPr="006C58F1">
        <w:rPr>
          <w:noProof/>
          <w:lang w:val="en-US"/>
        </w:rPr>
        <w:t>Invoking the doDiscovery Function and Handling the Result</w:t>
      </w:r>
      <w:r>
        <w:rPr>
          <w:noProof/>
        </w:rPr>
        <w:tab/>
      </w:r>
      <w:r>
        <w:rPr>
          <w:noProof/>
        </w:rPr>
        <w:fldChar w:fldCharType="begin"/>
      </w:r>
      <w:r>
        <w:rPr>
          <w:noProof/>
        </w:rPr>
        <w:instrText xml:space="preserve"> PAGEREF _Toc264744524 \h </w:instrText>
      </w:r>
      <w:r>
        <w:rPr>
          <w:noProof/>
        </w:rPr>
      </w:r>
      <w:r>
        <w:rPr>
          <w:noProof/>
        </w:rPr>
        <w:fldChar w:fldCharType="separate"/>
      </w:r>
      <w:r>
        <w:rPr>
          <w:noProof/>
        </w:rPr>
        <w:t>10</w:t>
      </w:r>
      <w:r>
        <w:rPr>
          <w:noProof/>
        </w:rPr>
        <w:fldChar w:fldCharType="end"/>
      </w:r>
    </w:p>
    <w:p w14:paraId="56B11928" w14:textId="77777777" w:rsidR="00B81048" w:rsidRDefault="00B81048">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58F1">
        <w:rPr>
          <w:noProof/>
          <w:lang w:val="en-US"/>
        </w:rPr>
        <w:t>5</w:t>
      </w:r>
      <w:r>
        <w:rPr>
          <w:rFonts w:eastAsiaTheme="minorEastAsia" w:cstheme="minorBidi"/>
          <w:b w:val="0"/>
          <w:bCs w:val="0"/>
          <w:caps w:val="0"/>
          <w:noProof/>
          <w:color w:val="auto"/>
          <w:kern w:val="0"/>
          <w:sz w:val="24"/>
          <w:szCs w:val="24"/>
          <w:u w:val="none"/>
          <w:lang w:val="en-US" w:eastAsia="ja-JP"/>
        </w:rPr>
        <w:tab/>
      </w:r>
      <w:r w:rsidRPr="006C58F1">
        <w:rPr>
          <w:noProof/>
          <w:lang w:val="en-US"/>
        </w:rPr>
        <w:t>Discovery Service JavaScript API</w:t>
      </w:r>
      <w:r>
        <w:rPr>
          <w:noProof/>
        </w:rPr>
        <w:tab/>
      </w:r>
      <w:r>
        <w:rPr>
          <w:noProof/>
        </w:rPr>
        <w:fldChar w:fldCharType="begin"/>
      </w:r>
      <w:r>
        <w:rPr>
          <w:noProof/>
        </w:rPr>
        <w:instrText xml:space="preserve"> PAGEREF _Toc264744525 \h </w:instrText>
      </w:r>
      <w:r>
        <w:rPr>
          <w:noProof/>
        </w:rPr>
      </w:r>
      <w:r>
        <w:rPr>
          <w:noProof/>
        </w:rPr>
        <w:fldChar w:fldCharType="separate"/>
      </w:r>
      <w:r>
        <w:rPr>
          <w:noProof/>
        </w:rPr>
        <w:t>12</w:t>
      </w:r>
      <w:r>
        <w:rPr>
          <w:noProof/>
        </w:rPr>
        <w:fldChar w:fldCharType="end"/>
      </w:r>
    </w:p>
    <w:p w14:paraId="631EFD7A"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5.1</w:t>
      </w:r>
      <w:r>
        <w:rPr>
          <w:rFonts w:eastAsiaTheme="minorEastAsia" w:cstheme="minorBidi"/>
          <w:b w:val="0"/>
          <w:bCs w:val="0"/>
          <w:smallCaps w:val="0"/>
          <w:noProof/>
          <w:color w:val="auto"/>
          <w:kern w:val="0"/>
          <w:sz w:val="24"/>
          <w:szCs w:val="24"/>
          <w:lang w:val="en-US" w:eastAsia="ja-JP"/>
        </w:rPr>
        <w:tab/>
      </w:r>
      <w:r w:rsidRPr="006C58F1">
        <w:rPr>
          <w:noProof/>
          <w:lang w:val="en-US"/>
        </w:rPr>
        <w:t>Namespace and dependencies</w:t>
      </w:r>
      <w:r>
        <w:rPr>
          <w:noProof/>
        </w:rPr>
        <w:tab/>
      </w:r>
      <w:r>
        <w:rPr>
          <w:noProof/>
        </w:rPr>
        <w:fldChar w:fldCharType="begin"/>
      </w:r>
      <w:r>
        <w:rPr>
          <w:noProof/>
        </w:rPr>
        <w:instrText xml:space="preserve"> PAGEREF _Toc264744526 \h </w:instrText>
      </w:r>
      <w:r>
        <w:rPr>
          <w:noProof/>
        </w:rPr>
      </w:r>
      <w:r>
        <w:rPr>
          <w:noProof/>
        </w:rPr>
        <w:fldChar w:fldCharType="separate"/>
      </w:r>
      <w:r>
        <w:rPr>
          <w:noProof/>
        </w:rPr>
        <w:t>12</w:t>
      </w:r>
      <w:r>
        <w:rPr>
          <w:noProof/>
        </w:rPr>
        <w:fldChar w:fldCharType="end"/>
      </w:r>
    </w:p>
    <w:p w14:paraId="36EF2B61"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5.2</w:t>
      </w:r>
      <w:r>
        <w:rPr>
          <w:rFonts w:eastAsiaTheme="minorEastAsia" w:cstheme="minorBidi"/>
          <w:b w:val="0"/>
          <w:bCs w:val="0"/>
          <w:smallCaps w:val="0"/>
          <w:noProof/>
          <w:color w:val="auto"/>
          <w:kern w:val="0"/>
          <w:sz w:val="24"/>
          <w:szCs w:val="24"/>
          <w:lang w:val="en-US" w:eastAsia="ja-JP"/>
        </w:rPr>
        <w:tab/>
      </w:r>
      <w:r w:rsidRPr="006C58F1">
        <w:rPr>
          <w:noProof/>
          <w:lang w:val="en-US"/>
        </w:rPr>
        <w:t>Functions</w:t>
      </w:r>
      <w:r>
        <w:rPr>
          <w:noProof/>
        </w:rPr>
        <w:tab/>
      </w:r>
      <w:r>
        <w:rPr>
          <w:noProof/>
        </w:rPr>
        <w:fldChar w:fldCharType="begin"/>
      </w:r>
      <w:r>
        <w:rPr>
          <w:noProof/>
        </w:rPr>
        <w:instrText xml:space="preserve"> PAGEREF _Toc264744527 \h </w:instrText>
      </w:r>
      <w:r>
        <w:rPr>
          <w:noProof/>
        </w:rPr>
      </w:r>
      <w:r>
        <w:rPr>
          <w:noProof/>
        </w:rPr>
        <w:fldChar w:fldCharType="separate"/>
      </w:r>
      <w:r>
        <w:rPr>
          <w:noProof/>
        </w:rPr>
        <w:t>12</w:t>
      </w:r>
      <w:r>
        <w:rPr>
          <w:noProof/>
        </w:rPr>
        <w:fldChar w:fldCharType="end"/>
      </w:r>
    </w:p>
    <w:p w14:paraId="105FFDF6"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5.2.1</w:t>
      </w:r>
      <w:r>
        <w:rPr>
          <w:rFonts w:eastAsiaTheme="minorEastAsia" w:cstheme="minorBidi"/>
          <w:smallCaps w:val="0"/>
          <w:noProof/>
          <w:color w:val="auto"/>
          <w:kern w:val="0"/>
          <w:sz w:val="24"/>
          <w:szCs w:val="24"/>
          <w:lang w:val="en-US" w:eastAsia="ja-JP"/>
        </w:rPr>
        <w:tab/>
      </w:r>
      <w:r w:rsidRPr="006C58F1">
        <w:rPr>
          <w:noProof/>
          <w:lang w:val="en-US"/>
        </w:rPr>
        <w:t>getVersion</w:t>
      </w:r>
      <w:r>
        <w:rPr>
          <w:noProof/>
        </w:rPr>
        <w:tab/>
      </w:r>
      <w:r>
        <w:rPr>
          <w:noProof/>
        </w:rPr>
        <w:fldChar w:fldCharType="begin"/>
      </w:r>
      <w:r>
        <w:rPr>
          <w:noProof/>
        </w:rPr>
        <w:instrText xml:space="preserve"> PAGEREF _Toc264744528 \h </w:instrText>
      </w:r>
      <w:r>
        <w:rPr>
          <w:noProof/>
        </w:rPr>
      </w:r>
      <w:r>
        <w:rPr>
          <w:noProof/>
        </w:rPr>
        <w:fldChar w:fldCharType="separate"/>
      </w:r>
      <w:r>
        <w:rPr>
          <w:noProof/>
        </w:rPr>
        <w:t>12</w:t>
      </w:r>
      <w:r>
        <w:rPr>
          <w:noProof/>
        </w:rPr>
        <w:fldChar w:fldCharType="end"/>
      </w:r>
    </w:p>
    <w:p w14:paraId="4D9E720D"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5.2.2</w:t>
      </w:r>
      <w:r>
        <w:rPr>
          <w:rFonts w:eastAsiaTheme="minorEastAsia" w:cstheme="minorBidi"/>
          <w:smallCaps w:val="0"/>
          <w:noProof/>
          <w:color w:val="auto"/>
          <w:kern w:val="0"/>
          <w:sz w:val="24"/>
          <w:szCs w:val="24"/>
          <w:lang w:val="en-US" w:eastAsia="ja-JP"/>
        </w:rPr>
        <w:tab/>
      </w:r>
      <w:r w:rsidRPr="006C58F1">
        <w:rPr>
          <w:noProof/>
          <w:lang w:val="en-US"/>
        </w:rPr>
        <w:t>doDiscovery</w:t>
      </w:r>
      <w:r>
        <w:rPr>
          <w:noProof/>
        </w:rPr>
        <w:tab/>
      </w:r>
      <w:r>
        <w:rPr>
          <w:noProof/>
        </w:rPr>
        <w:fldChar w:fldCharType="begin"/>
      </w:r>
      <w:r>
        <w:rPr>
          <w:noProof/>
        </w:rPr>
        <w:instrText xml:space="preserve"> PAGEREF _Toc264744529 \h </w:instrText>
      </w:r>
      <w:r>
        <w:rPr>
          <w:noProof/>
        </w:rPr>
      </w:r>
      <w:r>
        <w:rPr>
          <w:noProof/>
        </w:rPr>
        <w:fldChar w:fldCharType="separate"/>
      </w:r>
      <w:r>
        <w:rPr>
          <w:noProof/>
        </w:rPr>
        <w:t>12</w:t>
      </w:r>
      <w:r>
        <w:rPr>
          <w:noProof/>
        </w:rPr>
        <w:fldChar w:fldCharType="end"/>
      </w:r>
    </w:p>
    <w:p w14:paraId="528A3297" w14:textId="77777777" w:rsidR="00B81048" w:rsidRDefault="00B81048">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6C58F1">
        <w:rPr>
          <w:noProof/>
          <w:lang w:val="en-US"/>
        </w:rPr>
        <w:t>5.3</w:t>
      </w:r>
      <w:r>
        <w:rPr>
          <w:rFonts w:eastAsiaTheme="minorEastAsia" w:cstheme="minorBidi"/>
          <w:b w:val="0"/>
          <w:bCs w:val="0"/>
          <w:smallCaps w:val="0"/>
          <w:noProof/>
          <w:color w:val="auto"/>
          <w:kern w:val="0"/>
          <w:sz w:val="24"/>
          <w:szCs w:val="24"/>
          <w:lang w:val="en-US" w:eastAsia="ja-JP"/>
        </w:rPr>
        <w:tab/>
      </w:r>
      <w:r w:rsidRPr="006C58F1">
        <w:rPr>
          <w:noProof/>
          <w:lang w:val="en-US"/>
        </w:rPr>
        <w:t>Objects</w:t>
      </w:r>
      <w:r>
        <w:rPr>
          <w:noProof/>
        </w:rPr>
        <w:tab/>
      </w:r>
      <w:r>
        <w:rPr>
          <w:noProof/>
        </w:rPr>
        <w:fldChar w:fldCharType="begin"/>
      </w:r>
      <w:r>
        <w:rPr>
          <w:noProof/>
        </w:rPr>
        <w:instrText xml:space="preserve"> PAGEREF _Toc264744530 \h </w:instrText>
      </w:r>
      <w:r>
        <w:rPr>
          <w:noProof/>
        </w:rPr>
      </w:r>
      <w:r>
        <w:rPr>
          <w:noProof/>
        </w:rPr>
        <w:fldChar w:fldCharType="separate"/>
      </w:r>
      <w:r>
        <w:rPr>
          <w:noProof/>
        </w:rPr>
        <w:t>13</w:t>
      </w:r>
      <w:r>
        <w:rPr>
          <w:noProof/>
        </w:rPr>
        <w:fldChar w:fldCharType="end"/>
      </w:r>
    </w:p>
    <w:p w14:paraId="1AC3AAD7"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5.3.1</w:t>
      </w:r>
      <w:r>
        <w:rPr>
          <w:rFonts w:eastAsiaTheme="minorEastAsia" w:cstheme="minorBidi"/>
          <w:smallCaps w:val="0"/>
          <w:noProof/>
          <w:color w:val="auto"/>
          <w:kern w:val="0"/>
          <w:sz w:val="24"/>
          <w:szCs w:val="24"/>
          <w:lang w:val="en-US" w:eastAsia="ja-JP"/>
        </w:rPr>
        <w:tab/>
      </w:r>
      <w:r w:rsidRPr="006C58F1">
        <w:rPr>
          <w:noProof/>
          <w:lang w:val="en-US"/>
        </w:rPr>
        <w:t>DiscoverySettings</w:t>
      </w:r>
      <w:r>
        <w:rPr>
          <w:noProof/>
        </w:rPr>
        <w:tab/>
      </w:r>
      <w:r>
        <w:rPr>
          <w:noProof/>
        </w:rPr>
        <w:fldChar w:fldCharType="begin"/>
      </w:r>
      <w:r>
        <w:rPr>
          <w:noProof/>
        </w:rPr>
        <w:instrText xml:space="preserve"> PAGEREF _Toc264744531 \h </w:instrText>
      </w:r>
      <w:r>
        <w:rPr>
          <w:noProof/>
        </w:rPr>
      </w:r>
      <w:r>
        <w:rPr>
          <w:noProof/>
        </w:rPr>
        <w:fldChar w:fldCharType="separate"/>
      </w:r>
      <w:r>
        <w:rPr>
          <w:noProof/>
        </w:rPr>
        <w:t>13</w:t>
      </w:r>
      <w:r>
        <w:rPr>
          <w:noProof/>
        </w:rPr>
        <w:fldChar w:fldCharType="end"/>
      </w:r>
    </w:p>
    <w:p w14:paraId="5F7DC7BB"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Pr>
          <w:noProof/>
        </w:rPr>
        <w:t>5.3.2</w:t>
      </w:r>
      <w:r>
        <w:rPr>
          <w:rFonts w:eastAsiaTheme="minorEastAsia" w:cstheme="minorBidi"/>
          <w:smallCaps w:val="0"/>
          <w:noProof/>
          <w:color w:val="auto"/>
          <w:kern w:val="0"/>
          <w:sz w:val="24"/>
          <w:szCs w:val="24"/>
          <w:lang w:val="en-US" w:eastAsia="ja-JP"/>
        </w:rPr>
        <w:tab/>
      </w:r>
      <w:r>
        <w:rPr>
          <w:noProof/>
        </w:rPr>
        <w:t>uiConfig</w:t>
      </w:r>
      <w:r>
        <w:rPr>
          <w:noProof/>
        </w:rPr>
        <w:tab/>
      </w:r>
      <w:r>
        <w:rPr>
          <w:noProof/>
        </w:rPr>
        <w:fldChar w:fldCharType="begin"/>
      </w:r>
      <w:r>
        <w:rPr>
          <w:noProof/>
        </w:rPr>
        <w:instrText xml:space="preserve"> PAGEREF _Toc264744532 \h </w:instrText>
      </w:r>
      <w:r>
        <w:rPr>
          <w:noProof/>
        </w:rPr>
      </w:r>
      <w:r>
        <w:rPr>
          <w:noProof/>
        </w:rPr>
        <w:fldChar w:fldCharType="separate"/>
      </w:r>
      <w:r>
        <w:rPr>
          <w:noProof/>
        </w:rPr>
        <w:t>13</w:t>
      </w:r>
      <w:r>
        <w:rPr>
          <w:noProof/>
        </w:rPr>
        <w:fldChar w:fldCharType="end"/>
      </w:r>
    </w:p>
    <w:p w14:paraId="776431AA"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Pr>
          <w:noProof/>
        </w:rPr>
        <w:t>5.3.3</w:t>
      </w:r>
      <w:r>
        <w:rPr>
          <w:rFonts w:eastAsiaTheme="minorEastAsia" w:cstheme="minorBidi"/>
          <w:smallCaps w:val="0"/>
          <w:noProof/>
          <w:color w:val="auto"/>
          <w:kern w:val="0"/>
          <w:sz w:val="24"/>
          <w:szCs w:val="24"/>
          <w:lang w:val="en-US" w:eastAsia="ja-JP"/>
        </w:rPr>
        <w:tab/>
      </w:r>
      <w:r>
        <w:rPr>
          <w:noProof/>
        </w:rPr>
        <w:t>userStateConfig</w:t>
      </w:r>
      <w:r>
        <w:rPr>
          <w:noProof/>
        </w:rPr>
        <w:tab/>
      </w:r>
      <w:r>
        <w:rPr>
          <w:noProof/>
        </w:rPr>
        <w:fldChar w:fldCharType="begin"/>
      </w:r>
      <w:r>
        <w:rPr>
          <w:noProof/>
        </w:rPr>
        <w:instrText xml:space="preserve"> PAGEREF _Toc264744533 \h </w:instrText>
      </w:r>
      <w:r>
        <w:rPr>
          <w:noProof/>
        </w:rPr>
      </w:r>
      <w:r>
        <w:rPr>
          <w:noProof/>
        </w:rPr>
        <w:fldChar w:fldCharType="separate"/>
      </w:r>
      <w:r>
        <w:rPr>
          <w:noProof/>
        </w:rPr>
        <w:t>14</w:t>
      </w:r>
      <w:r>
        <w:rPr>
          <w:noProof/>
        </w:rPr>
        <w:fldChar w:fldCharType="end"/>
      </w:r>
    </w:p>
    <w:p w14:paraId="59D233B4" w14:textId="77777777" w:rsidR="00B81048" w:rsidRDefault="00B81048">
      <w:pPr>
        <w:pStyle w:val="TOC3"/>
        <w:tabs>
          <w:tab w:val="left" w:pos="696"/>
          <w:tab w:val="right" w:pos="9910"/>
        </w:tabs>
        <w:rPr>
          <w:rFonts w:eastAsiaTheme="minorEastAsia" w:cstheme="minorBidi"/>
          <w:smallCaps w:val="0"/>
          <w:noProof/>
          <w:color w:val="auto"/>
          <w:kern w:val="0"/>
          <w:sz w:val="24"/>
          <w:szCs w:val="24"/>
          <w:lang w:val="en-US" w:eastAsia="ja-JP"/>
        </w:rPr>
      </w:pPr>
      <w:r w:rsidRPr="006C58F1">
        <w:rPr>
          <w:noProof/>
          <w:lang w:val="en-US"/>
        </w:rPr>
        <w:t>5.3.4</w:t>
      </w:r>
      <w:r>
        <w:rPr>
          <w:rFonts w:eastAsiaTheme="minorEastAsia" w:cstheme="minorBidi"/>
          <w:smallCaps w:val="0"/>
          <w:noProof/>
          <w:color w:val="auto"/>
          <w:kern w:val="0"/>
          <w:sz w:val="24"/>
          <w:szCs w:val="24"/>
          <w:lang w:val="en-US" w:eastAsia="ja-JP"/>
        </w:rPr>
        <w:tab/>
      </w:r>
      <w:r w:rsidRPr="006C58F1">
        <w:rPr>
          <w:noProof/>
          <w:lang w:val="en-US"/>
        </w:rPr>
        <w:t>DiscoveryError</w:t>
      </w:r>
      <w:r>
        <w:rPr>
          <w:noProof/>
        </w:rPr>
        <w:tab/>
      </w:r>
      <w:r>
        <w:rPr>
          <w:noProof/>
        </w:rPr>
        <w:fldChar w:fldCharType="begin"/>
      </w:r>
      <w:r>
        <w:rPr>
          <w:noProof/>
        </w:rPr>
        <w:instrText xml:space="preserve"> PAGEREF _Toc264744534 \h </w:instrText>
      </w:r>
      <w:r>
        <w:rPr>
          <w:noProof/>
        </w:rPr>
      </w:r>
      <w:r>
        <w:rPr>
          <w:noProof/>
        </w:rPr>
        <w:fldChar w:fldCharType="separate"/>
      </w:r>
      <w:r>
        <w:rPr>
          <w:noProof/>
        </w:rPr>
        <w:t>14</w:t>
      </w:r>
      <w:r>
        <w:rPr>
          <w:noProof/>
        </w:rPr>
        <w:fldChar w:fldCharType="end"/>
      </w:r>
    </w:p>
    <w:p w14:paraId="70165E6C" w14:textId="77777777" w:rsidR="00B81048" w:rsidRDefault="00B81048">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58F1">
        <w:rPr>
          <w:noProof/>
          <w:lang w:val="en-US"/>
        </w:rPr>
        <w:t>6</w:t>
      </w:r>
      <w:r>
        <w:rPr>
          <w:rFonts w:eastAsiaTheme="minorEastAsia" w:cstheme="minorBidi"/>
          <w:b w:val="0"/>
          <w:bCs w:val="0"/>
          <w:caps w:val="0"/>
          <w:noProof/>
          <w:color w:val="auto"/>
          <w:kern w:val="0"/>
          <w:sz w:val="24"/>
          <w:szCs w:val="24"/>
          <w:u w:val="none"/>
          <w:lang w:val="en-US" w:eastAsia="ja-JP"/>
        </w:rPr>
        <w:tab/>
      </w:r>
      <w:r w:rsidRPr="006C58F1">
        <w:rPr>
          <w:noProof/>
          <w:lang w:val="en-US"/>
        </w:rPr>
        <w:t>References</w:t>
      </w:r>
      <w:r>
        <w:rPr>
          <w:noProof/>
        </w:rPr>
        <w:tab/>
      </w:r>
      <w:r>
        <w:rPr>
          <w:noProof/>
        </w:rPr>
        <w:fldChar w:fldCharType="begin"/>
      </w:r>
      <w:r>
        <w:rPr>
          <w:noProof/>
        </w:rPr>
        <w:instrText xml:space="preserve"> PAGEREF _Toc264744535 \h </w:instrText>
      </w:r>
      <w:r>
        <w:rPr>
          <w:noProof/>
        </w:rPr>
      </w:r>
      <w:r>
        <w:rPr>
          <w:noProof/>
        </w:rPr>
        <w:fldChar w:fldCharType="separate"/>
      </w:r>
      <w:r>
        <w:rPr>
          <w:noProof/>
        </w:rPr>
        <w:t>16</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0" w:name="_Ref257290381"/>
      <w:bookmarkStart w:id="1" w:name="_Toc264744511"/>
      <w:r w:rsidRPr="006C4EAB">
        <w:rPr>
          <w:lang w:val="en-US"/>
        </w:rPr>
        <w:lastRenderedPageBreak/>
        <w:t>Introduction</w:t>
      </w:r>
      <w:bookmarkEnd w:id="0"/>
      <w:bookmarkEnd w:id="1"/>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1EBEB44D"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 [IdpDisco] or by importing a JavaScript</w:t>
      </w:r>
      <w:r w:rsidR="00660A85">
        <w:rPr>
          <w:lang w:val="en-US"/>
        </w:rPr>
        <w:t xml:space="preserve"> from the Discovery Service and let the end user choose Identity Provider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w:t>
      </w:r>
      <w:r w:rsidR="00030ED8">
        <w:rPr>
          <w:lang w:val="en-US"/>
        </w:rPr>
        <w:t>s</w:t>
      </w:r>
      <w:r w:rsidR="00030ED8">
        <w:rPr>
          <w:lang w:val="en-US"/>
        </w:rPr>
        <w:t>covery Service.</w:t>
      </w:r>
    </w:p>
    <w:p w14:paraId="588DEC11" w14:textId="1EA42066" w:rsidR="00030ED8" w:rsidRDefault="00030ED8" w:rsidP="00030ED8">
      <w:pPr>
        <w:pStyle w:val="Heading1"/>
        <w:rPr>
          <w:lang w:val="en-US"/>
        </w:rPr>
      </w:pPr>
      <w:bookmarkStart w:id="2" w:name="_Ref257279200"/>
      <w:bookmarkStart w:id="3" w:name="_Toc264744512"/>
      <w:r>
        <w:rPr>
          <w:lang w:val="en-US"/>
        </w:rPr>
        <w:t>Discovery Service Logic</w:t>
      </w:r>
      <w:bookmarkEnd w:id="2"/>
      <w:bookmarkEnd w:id="3"/>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4" w:name="_Ref260305400"/>
      <w:bookmarkStart w:id="5" w:name="_Ref260305411"/>
      <w:bookmarkStart w:id="6" w:name="_Toc264744513"/>
      <w:r w:rsidRPr="00182677">
        <w:rPr>
          <w:lang w:val="en-US"/>
        </w:rPr>
        <w:t>Matching of Identity Providers</w:t>
      </w:r>
      <w:bookmarkEnd w:id="4"/>
      <w:bookmarkEnd w:id="5"/>
      <w:bookmarkEnd w:id="6"/>
    </w:p>
    <w:p w14:paraId="07C8EBAD" w14:textId="487AC6CB"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 xml:space="preserve">” [Eid2EntCat] </w:t>
      </w:r>
      <w:r w:rsidR="00474592">
        <w:rPr>
          <w:lang w:val="en-US"/>
        </w:rPr>
        <w:t>defines the different</w:t>
      </w:r>
      <w:r w:rsidR="00B725BA">
        <w:rPr>
          <w:lang w:val="en-US"/>
        </w:rPr>
        <w:t xml:space="preserve"> entity categories and their meaning. Chapter 1.4 of [Eid2EntCat]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17472A7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6948CA"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 xml:space="preserve">-pnr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6948CA"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http://id.elegnamnden.se/ec/1.0/loa4-pnr</w:t>
            </w:r>
            <w:r w:rsidRPr="00306973">
              <w:rPr>
                <w:sz w:val="16"/>
                <w:szCs w:val="16"/>
                <w:lang w:val="en-US"/>
              </w:rPr>
              <w:t>)</w:t>
            </w:r>
          </w:p>
        </w:tc>
      </w:tr>
      <w:tr w:rsidR="00306973" w:rsidRPr="006948CA"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6948CA"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w:t>
            </w:r>
            <w:r w:rsidR="00EF5B63" w:rsidRPr="00306973">
              <w:rPr>
                <w:sz w:val="16"/>
                <w:szCs w:val="16"/>
                <w:lang w:val="en-US"/>
              </w:rPr>
              <w:t>oa</w:t>
            </w:r>
            <w:r w:rsidRPr="00306973">
              <w:rPr>
                <w:sz w:val="16"/>
                <w:szCs w:val="16"/>
                <w:lang w:val="en-US"/>
              </w:rPr>
              <w:t>3</w:t>
            </w:r>
            <w:proofErr w:type="gramEnd"/>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6948CA"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6948CA"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3C216B00" w:rsidR="007249A5" w:rsidRDefault="007249A5" w:rsidP="007249A5">
      <w:pPr>
        <w:rPr>
          <w:lang w:val="en-US"/>
        </w:rPr>
      </w:pPr>
      <w:r w:rsidRPr="00071420">
        <w:rPr>
          <w:b/>
          <w:lang w:val="en-US"/>
        </w:rPr>
        <w:t>Example 2</w:t>
      </w:r>
      <w:r>
        <w:rPr>
          <w:lang w:val="en-US"/>
        </w:rPr>
        <w:t>:</w:t>
      </w:r>
    </w:p>
    <w:p w14:paraId="76A41970" w14:textId="197A1A52"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77777777"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9A68FA2"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51C1FA16"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77777777"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6948CA" w14:paraId="6D959506"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77777777"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77777777"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tc>
      </w:tr>
      <w:tr w:rsidR="00306973" w:rsidRPr="006948CA" w14:paraId="7F2F5F7F"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77777777"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3D781E3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0F4116A9" w14:textId="77777777" w:rsidR="007249A5" w:rsidRDefault="007249A5" w:rsidP="007249A5">
      <w:pPr>
        <w:ind w:left="720"/>
        <w:rPr>
          <w:lang w:val="en-US"/>
        </w:rPr>
      </w:pPr>
    </w:p>
    <w:p w14:paraId="2EC076E9" w14:textId="1DA2B443"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7" w:name="_Ref257290368"/>
      <w:bookmarkStart w:id="8" w:name="_Ref257290540"/>
      <w:bookmarkStart w:id="9" w:name="_Ref260320918"/>
      <w:bookmarkStart w:id="10" w:name="_Ref260320928"/>
      <w:bookmarkStart w:id="11" w:name="_Ref260483117"/>
      <w:bookmarkStart w:id="12" w:name="_Toc264744514"/>
      <w:r w:rsidRPr="00182677">
        <w:rPr>
          <w:lang w:val="en-US"/>
        </w:rPr>
        <w:t>User State</w:t>
      </w:r>
      <w:bookmarkEnd w:id="7"/>
      <w:r w:rsidR="00727476">
        <w:rPr>
          <w:lang w:val="en-US"/>
        </w:rPr>
        <w:t xml:space="preserve"> and Remembered Choices</w:t>
      </w:r>
      <w:bookmarkEnd w:id="8"/>
      <w:bookmarkEnd w:id="9"/>
      <w:bookmarkEnd w:id="10"/>
      <w:bookmarkEnd w:id="11"/>
      <w:bookmarkEnd w:id="12"/>
    </w:p>
    <w:p w14:paraId="4A1B46F4" w14:textId="42178FA4"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fact enables the possibility for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2157D874"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2E6CB9">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2E6CB9"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3" w:name="_Toc264744515"/>
      <w:r>
        <w:rPr>
          <w:lang w:val="en-US"/>
        </w:rPr>
        <w:t>Discovery according to “</w:t>
      </w:r>
      <w:r w:rsidRPr="00C2652D">
        <w:rPr>
          <w:lang w:val="en-US"/>
        </w:rPr>
        <w:t>Identity Provider Discovery Service Protocol and Profile</w:t>
      </w:r>
      <w:r>
        <w:rPr>
          <w:lang w:val="en-US"/>
        </w:rPr>
        <w:t>”</w:t>
      </w:r>
      <w:bookmarkEnd w:id="13"/>
    </w:p>
    <w:p w14:paraId="7387970E" w14:textId="154FB028"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7F48DF">
        <w:rPr>
          <w:lang w:val="en-US"/>
        </w:rPr>
        <w:t xml:space="preserve"> [IdpDisco], describes how</w:t>
      </w:r>
      <w:r w:rsidR="003A1044">
        <w:rPr>
          <w:lang w:val="en-US"/>
        </w:rPr>
        <w:t xml:space="preserve"> a central discovery service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2E6CB9">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2E6CB9"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2E6CB9">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2017D2AB" w:rsidR="009F0A33" w:rsidRPr="0000118D" w:rsidRDefault="00626A13" w:rsidP="00532717">
      <w:pPr>
        <w:rPr>
          <w:lang w:val="en-US"/>
        </w:rPr>
      </w:pPr>
      <w:r>
        <w:rPr>
          <w:lang w:val="en-US"/>
        </w:rPr>
        <w:t xml:space="preserve">The specification ([IdpDisco])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4" w:name="_Toc264744516"/>
      <w:r w:rsidRPr="0000118D">
        <w:rPr>
          <w:lang w:val="en-US"/>
        </w:rPr>
        <w:lastRenderedPageBreak/>
        <w:t>Discovery Response Addresses</w:t>
      </w:r>
      <w:bookmarkEnd w:id="14"/>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C4B110"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[IdpDisco]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06BA6B03"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[IdpDisco]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5" w:name="_Ref259999944"/>
      <w:bookmarkStart w:id="16" w:name="_Ref259999949"/>
      <w:bookmarkStart w:id="17" w:name="_Toc264744517"/>
      <w:r w:rsidRPr="0000118D">
        <w:rPr>
          <w:lang w:val="en-US"/>
        </w:rPr>
        <w:t>Silent Discovery Service</w:t>
      </w:r>
      <w:bookmarkEnd w:id="15"/>
      <w:bookmarkEnd w:id="16"/>
      <w:bookmarkEnd w:id="17"/>
    </w:p>
    <w:p w14:paraId="56797022" w14:textId="7837AAC3"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2E6CB9">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F200A2" w:rsidRPr="00182677">
        <w:rPr>
          <w:lang w:val="en-US"/>
        </w:rPr>
        <w:t>User State</w:t>
      </w:r>
      <w:r w:rsidR="00F200A2">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18" w:name="_Toc264744518"/>
      <w:r>
        <w:rPr>
          <w:lang w:val="en-US"/>
        </w:rPr>
        <w:t>The Discovery Service and Mobile Devices</w:t>
      </w:r>
      <w:bookmarkEnd w:id="18"/>
    </w:p>
    <w:p w14:paraId="39B6BD73" w14:textId="2EEC63B6"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adapted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269E47E1" w14:textId="77777777" w:rsidR="00C96A31" w:rsidRDefault="00C96A31" w:rsidP="002C645B">
      <w:pPr>
        <w:rPr>
          <w:lang w:val="en-US"/>
        </w:rPr>
      </w:pPr>
    </w:p>
    <w:p w14:paraId="213852B0" w14:textId="0C7E3C15" w:rsidR="00C96A31" w:rsidRDefault="00C96A31" w:rsidP="002C645B">
      <w:pPr>
        <w:rPr>
          <w:lang w:val="en-US"/>
        </w:rPr>
      </w:pPr>
      <w:r>
        <w:rPr>
          <w:lang w:val="en-US"/>
        </w:rPr>
        <w:t xml:space="preserve">The Discovery Service will not try to detect the </w:t>
      </w:r>
      <w:r w:rsidR="006347BC">
        <w:rPr>
          <w:lang w:val="en-US"/>
        </w:rPr>
        <w:t xml:space="preserve">type of </w:t>
      </w:r>
      <w:r>
        <w:rPr>
          <w:lang w:val="en-US"/>
        </w:rPr>
        <w:t>user agent (i.e., web browser) for HTTP requests. Instead</w:t>
      </w:r>
      <w:r w:rsidR="006347BC">
        <w:rPr>
          <w:lang w:val="en-US"/>
        </w:rPr>
        <w:t xml:space="preserve"> it will base its HTML-rendering on what the Service Provider states in its metadata. </w:t>
      </w:r>
      <w:r w:rsidR="00AE28AE">
        <w:rPr>
          <w:lang w:val="en-US"/>
        </w:rPr>
        <w:t xml:space="preserve">A Service Provider may include the </w:t>
      </w:r>
      <w:r w:rsidR="00F6170C" w:rsidRPr="00F6170C">
        <w:rPr>
          <w:rStyle w:val="Code"/>
        </w:rPr>
        <w:t>mobile-auth</w:t>
      </w:r>
      <w:r w:rsidR="00F6170C">
        <w:rPr>
          <w:lang w:val="en-US"/>
        </w:rPr>
        <w:t xml:space="preserve"> (</w:t>
      </w:r>
      <w:r w:rsidR="00F6170C" w:rsidRPr="00F6170C">
        <w:rPr>
          <w:i/>
          <w:lang w:val="en-US"/>
        </w:rPr>
        <w:t>http://id.elegnamnden.se/sprop/1.0/mobile-auth</w:t>
      </w:r>
      <w:r w:rsidR="00F6170C">
        <w:rPr>
          <w:lang w:val="en-US"/>
        </w:rPr>
        <w:t>) Service Property among its Entity Categories in its metadata entry. By doing so, the Service Provider informs the D</w:t>
      </w:r>
      <w:r w:rsidR="002C6747">
        <w:rPr>
          <w:lang w:val="en-US"/>
        </w:rPr>
        <w:t>iscovery Service about two</w:t>
      </w:r>
      <w:r w:rsidR="00F6170C">
        <w:rPr>
          <w:lang w:val="en-US"/>
        </w:rPr>
        <w:t xml:space="preserve"> things:</w:t>
      </w:r>
    </w:p>
    <w:p w14:paraId="53C1F37D" w14:textId="4AE50264" w:rsidR="00F6170C" w:rsidRDefault="005B7E40" w:rsidP="00F6170C">
      <w:pPr>
        <w:pStyle w:val="ListParagraph"/>
        <w:numPr>
          <w:ilvl w:val="0"/>
          <w:numId w:val="31"/>
        </w:numPr>
        <w:rPr>
          <w:lang w:val="en-US"/>
        </w:rPr>
      </w:pPr>
      <w:r>
        <w:rPr>
          <w:lang w:val="en-US"/>
        </w:rPr>
        <w:t>T</w:t>
      </w:r>
      <w:r w:rsidR="00F6170C">
        <w:rPr>
          <w:lang w:val="en-US"/>
        </w:rPr>
        <w:t>hat it should only display Identity Providers that also defines this category in the list of possibl</w:t>
      </w:r>
      <w:r>
        <w:rPr>
          <w:lang w:val="en-US"/>
        </w:rPr>
        <w:t>e eIDs (Identity Providers)</w:t>
      </w:r>
      <w:r w:rsidR="0075058B">
        <w:rPr>
          <w:rStyle w:val="FootnoteReference"/>
          <w:lang w:val="en-US"/>
        </w:rPr>
        <w:footnoteReference w:id="2"/>
      </w:r>
      <w:r>
        <w:rPr>
          <w:lang w:val="en-US"/>
        </w:rPr>
        <w:t>.</w:t>
      </w:r>
      <w:r w:rsidR="00F43BD0">
        <w:rPr>
          <w:lang w:val="en-US"/>
        </w:rPr>
        <w:t xml:space="preserve"> </w:t>
      </w:r>
    </w:p>
    <w:p w14:paraId="4115FD4A" w14:textId="1B19CD12" w:rsidR="0045614B" w:rsidRDefault="005B7E40" w:rsidP="00F6170C">
      <w:pPr>
        <w:pStyle w:val="ListParagraph"/>
        <w:numPr>
          <w:ilvl w:val="0"/>
          <w:numId w:val="31"/>
        </w:numPr>
        <w:rPr>
          <w:lang w:val="en-US"/>
        </w:rPr>
      </w:pPr>
      <w:r>
        <w:rPr>
          <w:lang w:val="en-US"/>
        </w:rPr>
        <w:t>T</w:t>
      </w:r>
      <w:r w:rsidR="0045614B">
        <w:rPr>
          <w:lang w:val="en-US"/>
        </w:rPr>
        <w:t xml:space="preserve">hat the Discovery </w:t>
      </w:r>
      <w:r w:rsidR="00443E56">
        <w:rPr>
          <w:lang w:val="en-US"/>
        </w:rPr>
        <w:t xml:space="preserve">Service </w:t>
      </w:r>
      <w:r w:rsidR="0045614B">
        <w:rPr>
          <w:lang w:val="en-US"/>
        </w:rPr>
        <w:t>user interface should be adapted for a mobile device.</w:t>
      </w:r>
    </w:p>
    <w:p w14:paraId="0C8F1D65" w14:textId="77777777" w:rsidR="001A1D54" w:rsidRDefault="001A1D54" w:rsidP="001A1D54">
      <w:pPr>
        <w:rPr>
          <w:lang w:val="en-US"/>
        </w:rPr>
      </w:pPr>
    </w:p>
    <w:p w14:paraId="453DA6AF" w14:textId="7A987954" w:rsidR="001A1D54" w:rsidRPr="001A1D54" w:rsidRDefault="001A1D54" w:rsidP="001A1D54">
      <w:pPr>
        <w:rPr>
          <w:lang w:val="en-US"/>
        </w:rPr>
      </w:pPr>
      <w:r>
        <w:rPr>
          <w:lang w:val="en-US"/>
        </w:rPr>
        <w:t>See “</w:t>
      </w:r>
      <w:r w:rsidRPr="001A1D54">
        <w:rPr>
          <w:lang w:val="en-US"/>
        </w:rPr>
        <w:t>Entity Categories for the Swedish eID Framework</w:t>
      </w:r>
      <w:r>
        <w:rPr>
          <w:lang w:val="en-US"/>
        </w:rPr>
        <w:t>” [Eid2EntCat] for more information about the use of ent</w:t>
      </w:r>
      <w:r>
        <w:rPr>
          <w:lang w:val="en-US"/>
        </w:rPr>
        <w:t>i</w:t>
      </w:r>
      <w:r>
        <w:rPr>
          <w:lang w:val="en-US"/>
        </w:rPr>
        <w:t>ty categories.</w:t>
      </w:r>
    </w:p>
    <w:p w14:paraId="4E6FC9BD" w14:textId="77777777" w:rsidR="004F088C" w:rsidRDefault="004F088C">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FA7F4BE" w14:textId="33AA5E71" w:rsidR="0000118D" w:rsidRDefault="00726379" w:rsidP="00363E6F">
      <w:pPr>
        <w:pStyle w:val="Heading1"/>
        <w:rPr>
          <w:lang w:val="en-US"/>
        </w:rPr>
      </w:pPr>
      <w:bookmarkStart w:id="19" w:name="_Toc264744519"/>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19"/>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0" w:name="_Ref390164332"/>
      <w:bookmarkStart w:id="21" w:name="_Ref390164337"/>
      <w:bookmarkStart w:id="22" w:name="_Toc264744520"/>
      <w:r>
        <w:rPr>
          <w:lang w:val="en-US"/>
        </w:rPr>
        <w:t>Architecture</w:t>
      </w:r>
      <w:r w:rsidR="00544D9F">
        <w:rPr>
          <w:lang w:val="en-US"/>
        </w:rPr>
        <w:t xml:space="preserve"> and </w:t>
      </w:r>
      <w:r w:rsidR="00D278EE">
        <w:rPr>
          <w:lang w:val="en-US"/>
        </w:rPr>
        <w:t>D</w:t>
      </w:r>
      <w:r w:rsidR="003227FD">
        <w:rPr>
          <w:lang w:val="en-US"/>
        </w:rPr>
        <w:t>ependencies</w:t>
      </w:r>
      <w:bookmarkEnd w:id="20"/>
      <w:bookmarkEnd w:id="21"/>
      <w:bookmarkEnd w:id="22"/>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151381B8">
            <wp:extent cx="4907280" cy="2362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2E6CB9">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41248C9E"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2E6CB9">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002618">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002618" w:rsidRPr="00826674">
        <w:rPr>
          <w:lang w:val="en-US"/>
        </w:rPr>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w:t>
      </w:r>
      <w:proofErr w:type="spellStart"/>
      <w:r w:rsidRPr="002E6CB9">
        <w:rPr>
          <w:lang w:val="en-US"/>
        </w:rPr>
        <w:t>iFrame</w:t>
      </w:r>
      <w:proofErr w:type="spellEnd"/>
      <w:r w:rsidRPr="002E6CB9">
        <w:rPr>
          <w:lang w:val="en-US"/>
        </w:rPr>
        <w:t xml:space="preserve"> </w:t>
      </w:r>
      <w:r w:rsidR="0052409B">
        <w:rPr>
          <w:lang w:val="en-US"/>
        </w:rPr>
        <w:t>that</w:t>
      </w:r>
      <w:r w:rsidRPr="002E6CB9">
        <w:rPr>
          <w:lang w:val="en-US"/>
        </w:rPr>
        <w:t xml:space="preserve"> makes</w:t>
      </w:r>
      <w:r>
        <w:rPr>
          <w:lang w:val="en-US"/>
        </w:rPr>
        <w:t xml:space="preserve"> calls (using </w:t>
      </w:r>
      <w:proofErr w:type="spellStart"/>
      <w:r w:rsidRPr="00E368A0">
        <w:rPr>
          <w:i/>
          <w:lang w:val="en-US"/>
        </w:rPr>
        <w:t>PostMessage</w:t>
      </w:r>
      <w:proofErr w:type="spellEnd"/>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eIDs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2B6BB8">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6948CA"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2E6CB9">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2E6CB9"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7EEB0F96" w:rsidR="00A1545F" w:rsidRDefault="00A1545F" w:rsidP="00BE1C23">
            <w:pPr>
              <w:rPr>
                <w:lang w:val="en-US"/>
              </w:rPr>
            </w:pPr>
            <w:r>
              <w:rPr>
                <w:lang w:val="en-US"/>
              </w:rPr>
              <w:t xml:space="preserve">The JavaScript API is described in chapter </w:t>
            </w:r>
            <w:r>
              <w:rPr>
                <w:lang w:val="en-US"/>
              </w:rPr>
              <w:fldChar w:fldCharType="begin"/>
            </w:r>
            <w:r>
              <w:rPr>
                <w:lang w:val="en-US"/>
              </w:rPr>
              <w:instrText xml:space="preserve"> REF _Ref260483742 \r \h </w:instrText>
            </w:r>
            <w:r>
              <w:rPr>
                <w:lang w:val="en-US"/>
              </w:rPr>
            </w:r>
            <w:r>
              <w:rPr>
                <w:lang w:val="en-US"/>
              </w:rPr>
              <w:fldChar w:fldCharType="separate"/>
            </w:r>
            <w:r w:rsidR="006B42C7">
              <w:rPr>
                <w:lang w:val="en-US"/>
              </w:rPr>
              <w:t>5</w:t>
            </w:r>
            <w:r>
              <w:rPr>
                <w:lang w:val="en-US"/>
              </w:rPr>
              <w:fldChar w:fldCharType="end"/>
            </w:r>
            <w:r>
              <w:rPr>
                <w:lang w:val="en-US"/>
              </w:rPr>
              <w:t xml:space="preserve"> below.</w:t>
            </w:r>
          </w:p>
        </w:tc>
      </w:tr>
      <w:tr w:rsidR="00BE1C23" w:rsidRPr="006948CA"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6948CA"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3" w:name="_Toc264744521"/>
      <w:r>
        <w:rPr>
          <w:lang w:val="en-US"/>
        </w:rPr>
        <w:t xml:space="preserve">Step-by-step </w:t>
      </w:r>
      <w:r w:rsidR="00602A58">
        <w:rPr>
          <w:lang w:val="en-US"/>
        </w:rPr>
        <w:t>Integration</w:t>
      </w:r>
      <w:bookmarkEnd w:id="23"/>
    </w:p>
    <w:p w14:paraId="409CCC44" w14:textId="107CABA8" w:rsidR="002027F9" w:rsidRDefault="002027F9" w:rsidP="00C92BC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6363CB">
        <w:rPr>
          <w:lang w:val="en-US"/>
        </w:rPr>
        <w:t xml:space="preserve"> </w:t>
      </w:r>
      <w:r w:rsidR="00AC4BFA">
        <w:rPr>
          <w:lang w:val="en-US"/>
        </w:rPr>
        <w:t>Study</w:t>
      </w:r>
      <w:r w:rsidR="006363CB">
        <w:rPr>
          <w:lang w:val="en-US"/>
        </w:rPr>
        <w:t xml:space="preserve"> chapter </w:t>
      </w:r>
      <w:r w:rsidR="006363CB">
        <w:rPr>
          <w:lang w:val="en-US"/>
        </w:rPr>
        <w:fldChar w:fldCharType="begin"/>
      </w:r>
      <w:r w:rsidR="006363CB">
        <w:rPr>
          <w:lang w:val="en-US"/>
        </w:rPr>
        <w:instrText xml:space="preserve"> REF _Ref260483742 \r \h </w:instrText>
      </w:r>
      <w:r w:rsidR="006363CB">
        <w:rPr>
          <w:lang w:val="en-US"/>
        </w:rPr>
      </w:r>
      <w:r w:rsidR="006363CB">
        <w:rPr>
          <w:lang w:val="en-US"/>
        </w:rPr>
        <w:fldChar w:fldCharType="separate"/>
      </w:r>
      <w:r w:rsidR="006363CB">
        <w:rPr>
          <w:lang w:val="en-US"/>
        </w:rPr>
        <w:t>5</w:t>
      </w:r>
      <w:r w:rsidR="006363CB">
        <w:rPr>
          <w:lang w:val="en-US"/>
        </w:rPr>
        <w:fldChar w:fldCharType="end"/>
      </w:r>
      <w:r w:rsidR="006363CB">
        <w:rPr>
          <w:lang w:val="en-US"/>
        </w:rPr>
        <w:t>, “</w:t>
      </w:r>
      <w:r w:rsidR="006363CB">
        <w:rPr>
          <w:lang w:val="en-US"/>
        </w:rPr>
        <w:fldChar w:fldCharType="begin"/>
      </w:r>
      <w:r w:rsidR="006363CB">
        <w:rPr>
          <w:lang w:val="en-US"/>
        </w:rPr>
        <w:instrText xml:space="preserve"> REF _Ref260483742 \h </w:instrText>
      </w:r>
      <w:r w:rsidR="006363CB">
        <w:rPr>
          <w:lang w:val="en-US"/>
        </w:rPr>
      </w:r>
      <w:r w:rsidR="006363CB">
        <w:rPr>
          <w:lang w:val="en-US"/>
        </w:rPr>
        <w:fldChar w:fldCharType="separate"/>
      </w:r>
      <w:r w:rsidR="00C92BCB">
        <w:rPr>
          <w:lang w:val="en-US"/>
        </w:rPr>
        <w:t xml:space="preserve">Discovery Service </w:t>
      </w:r>
      <w:r w:rsidR="00C92BCB" w:rsidRPr="003870E5">
        <w:rPr>
          <w:lang w:val="en-US"/>
        </w:rPr>
        <w:t>JavaScript API</w:t>
      </w:r>
      <w:r w:rsidR="006363CB">
        <w:rPr>
          <w:lang w:val="en-US"/>
        </w:rPr>
        <w:fldChar w:fldCharType="end"/>
      </w:r>
      <w:r w:rsidR="006363CB">
        <w:rPr>
          <w:lang w:val="en-US"/>
        </w:rPr>
        <w:t>”, for a full specification of the JavaScript functions and objects mentioned in this chapter.</w:t>
      </w:r>
      <w:r w:rsidR="00650C33">
        <w:rPr>
          <w:lang w:val="en-US"/>
        </w:rPr>
        <w:t xml:space="preserve"> </w:t>
      </w:r>
    </w:p>
    <w:p w14:paraId="4E80404B" w14:textId="08BA7B56" w:rsidR="005D5C11" w:rsidRDefault="005D5C11" w:rsidP="005D5C11">
      <w:pPr>
        <w:pStyle w:val="Heading3"/>
        <w:rPr>
          <w:lang w:val="en-US"/>
        </w:rPr>
      </w:pPr>
      <w:bookmarkStart w:id="24" w:name="_Toc264744522"/>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24"/>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36015B7A" w:rsidR="00BB4477" w:rsidRPr="00BB4477" w:rsidRDefault="00BB4477" w:rsidP="004D26B9">
      <w:pPr>
        <w:rPr>
          <w:lang w:val="en-US"/>
        </w:rPr>
      </w:pPr>
      <w:r w:rsidRPr="00BB4477">
        <w:rPr>
          <w:lang w:val="en-US"/>
        </w:rPr>
        <w:t xml:space="preserve"> </w:t>
      </w: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77A1C2"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https://anvisning.sveleg.se/UI/stylesheets/compact.local</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25" w:name="_Toc264744523"/>
      <w:r w:rsidRPr="00065D1A">
        <w:rPr>
          <w:lang w:val="en-US"/>
        </w:rPr>
        <w:t xml:space="preserve">Laying out the Discovery </w:t>
      </w:r>
      <w:r w:rsidR="00107D21">
        <w:rPr>
          <w:lang w:val="en-US"/>
        </w:rPr>
        <w:t>A</w:t>
      </w:r>
      <w:r w:rsidRPr="00065D1A">
        <w:rPr>
          <w:lang w:val="en-US"/>
        </w:rPr>
        <w:t>rea</w:t>
      </w:r>
      <w:bookmarkEnd w:id="25"/>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w:t>
      </w:r>
      <w:proofErr w:type="spellStart"/>
      <w:r w:rsidR="00072920">
        <w:rPr>
          <w:lang w:val="en-US"/>
        </w:rPr>
        <w:t>iFrame</w:t>
      </w:r>
      <w:proofErr w:type="spellEnd"/>
      <w:r w:rsidR="00072920">
        <w:rPr>
          <w:lang w:val="en-US"/>
        </w:rPr>
        <w:t>) that is used</w:t>
      </w:r>
      <w:r w:rsidR="006E0863">
        <w:rPr>
          <w:lang w:val="en-US"/>
        </w:rPr>
        <w:t xml:space="preserve"> to obtain and update the user state and remembered choices by making calls </w:t>
      </w:r>
      <w:r w:rsidR="007411A8">
        <w:rPr>
          <w:lang w:val="en-US"/>
        </w:rPr>
        <w:t xml:space="preserve">(using </w:t>
      </w:r>
      <w:proofErr w:type="spellStart"/>
      <w:r w:rsidR="007411A8" w:rsidRPr="007411A8">
        <w:rPr>
          <w:i/>
          <w:lang w:val="en-US"/>
        </w:rPr>
        <w:t>PostMessage</w:t>
      </w:r>
      <w:proofErr w:type="spellEnd"/>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354910D"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280 pixels, and even if the </w:t>
      </w:r>
      <w:r w:rsidR="005F5BB9">
        <w:rPr>
          <w:lang w:val="en-US"/>
        </w:rPr>
        <w:t xml:space="preserve">given </w:t>
      </w:r>
      <w:r w:rsidR="00F72092">
        <w:rPr>
          <w:lang w:val="en-US"/>
        </w:rPr>
        <w:t>width of the element is smaller than this the size will still be 280 pixels.</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26" w:name="_Toc264744524"/>
      <w:r>
        <w:rPr>
          <w:lang w:val="en-US"/>
        </w:rPr>
        <w:t>Invoking the doDiscovery Function</w:t>
      </w:r>
      <w:r w:rsidR="00825B5F">
        <w:rPr>
          <w:lang w:val="en-US"/>
        </w:rPr>
        <w:t xml:space="preserve"> and Handling the Result</w:t>
      </w:r>
      <w:bookmarkEnd w:id="26"/>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40E05ED5" w14:textId="6CB684F2" w:rsidR="00395904" w:rsidRDefault="00DD5400" w:rsidP="00DD5400">
      <w:pPr>
        <w:rPr>
          <w:lang w:val="en-US"/>
        </w:rPr>
      </w:pPr>
      <w:bookmarkStart w:id="27"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772DE2">
        <w:rPr>
          <w:lang w:val="en-US"/>
        </w:rPr>
        <w:fldChar w:fldCharType="begin"/>
      </w:r>
      <w:r w:rsidR="00772DE2">
        <w:rPr>
          <w:lang w:val="en-US"/>
        </w:rPr>
        <w:instrText xml:space="preserve"> REF _Ref260912848 \r \h </w:instrText>
      </w:r>
      <w:r w:rsidR="00772DE2">
        <w:rPr>
          <w:lang w:val="en-US"/>
        </w:rPr>
      </w:r>
      <w:r w:rsidR="00772DE2">
        <w:rPr>
          <w:lang w:val="en-US"/>
        </w:rPr>
        <w:fldChar w:fldCharType="separate"/>
      </w:r>
      <w:r w:rsidR="00772DE2">
        <w:rPr>
          <w:lang w:val="en-US"/>
        </w:rPr>
        <w:t>5</w:t>
      </w:r>
      <w:r w:rsidR="00772DE2">
        <w:rPr>
          <w:lang w:val="en-US"/>
        </w:rPr>
        <w:fldChar w:fldCharType="end"/>
      </w:r>
      <w:r w:rsidR="00772DE2">
        <w:rPr>
          <w:lang w:val="en-US"/>
        </w:rPr>
        <w:t>, “</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772DE2">
        <w:rPr>
          <w:lang w:val="en-US"/>
        </w:rPr>
        <w:t xml:space="preserve">Discovery Service </w:t>
      </w:r>
      <w:r w:rsidR="00772DE2" w:rsidRPr="003870E5">
        <w:rPr>
          <w:lang w:val="en-US"/>
        </w:rPr>
        <w:t>JavaScript API</w:t>
      </w:r>
      <w:r w:rsidR="00772DE2">
        <w:rPr>
          <w:lang w:val="en-US"/>
        </w:rPr>
        <w:fldChar w:fldCharType="end"/>
      </w:r>
      <w:r w:rsidR="00772DE2">
        <w:rPr>
          <w:lang w:val="en-US"/>
        </w:rPr>
        <w:t>”.</w:t>
      </w:r>
    </w:p>
    <w:p w14:paraId="530DE777" w14:textId="77777777" w:rsidR="00F32B66" w:rsidRDefault="00F32B66" w:rsidP="00F32B66">
      <w:pPr>
        <w:rPr>
          <w:lang w:val="en-US"/>
        </w:rPr>
      </w:pP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368A0"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E368A0">
        <w:rPr>
          <w:rFonts w:ascii="Courier New" w:hAnsi="Courier New" w:cs="Courier New"/>
          <w:bCs/>
          <w:noProof/>
          <w:sz w:val="14"/>
          <w:szCs w:val="14"/>
          <w:lang w:val="en-US"/>
        </w:rPr>
        <w:t>var url = "https://www.sp-authority.se/saml/req?</w:t>
      </w:r>
      <w:r w:rsidR="008C1540" w:rsidRPr="00E368A0">
        <w:rPr>
          <w:rFonts w:ascii="Courier New" w:hAnsi="Courier New" w:cs="Courier New"/>
          <w:bCs/>
          <w:noProof/>
          <w:sz w:val="14"/>
          <w:szCs w:val="14"/>
          <w:lang w:val="en-US"/>
        </w:rPr>
        <w:t>entityID</w:t>
      </w:r>
      <w:r w:rsidRPr="00E368A0">
        <w:rPr>
          <w:rFonts w:ascii="Courier New" w:hAnsi="Courier New" w:cs="Courier New"/>
          <w:bCs/>
          <w:noProof/>
          <w:sz w:val="14"/>
          <w:szCs w:val="14"/>
          <w:lang w:val="en-US"/>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368A0">
        <w:rPr>
          <w:rFonts w:ascii="Courier New" w:hAnsi="Courier New" w:cs="Courier New"/>
          <w:bCs/>
          <w:noProof/>
          <w:sz w:val="14"/>
          <w:szCs w:val="14"/>
          <w:lang w:val="en-US"/>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28" w:name="_Ref260912848"/>
      <w:r>
        <w:rPr>
          <w:lang w:val="en-US"/>
        </w:rPr>
        <w:br w:type="page"/>
      </w:r>
    </w:p>
    <w:p w14:paraId="2024814A" w14:textId="065F612E" w:rsidR="003870E5" w:rsidRDefault="008155DF" w:rsidP="006B42C7">
      <w:pPr>
        <w:pStyle w:val="Heading1"/>
        <w:rPr>
          <w:lang w:val="en-US"/>
        </w:rPr>
      </w:pPr>
      <w:bookmarkStart w:id="29" w:name="_Toc264744525"/>
      <w:r>
        <w:rPr>
          <w:lang w:val="en-US"/>
        </w:rPr>
        <w:lastRenderedPageBreak/>
        <w:t xml:space="preserve">Discovery Service </w:t>
      </w:r>
      <w:r w:rsidR="003870E5" w:rsidRPr="003870E5">
        <w:rPr>
          <w:lang w:val="en-US"/>
        </w:rPr>
        <w:t>JavaScript API</w:t>
      </w:r>
      <w:bookmarkEnd w:id="27"/>
      <w:bookmarkEnd w:id="28"/>
      <w:bookmarkEnd w:id="29"/>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30" w:name="_Toc264744526"/>
      <w:r>
        <w:rPr>
          <w:lang w:val="en-US"/>
        </w:rPr>
        <w:t>Namespace</w:t>
      </w:r>
      <w:r w:rsidR="00A05A81">
        <w:rPr>
          <w:lang w:val="en-US"/>
        </w:rPr>
        <w:t xml:space="preserve"> and dependencies</w:t>
      </w:r>
      <w:bookmarkEnd w:id="30"/>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31" w:name="_Toc264744527"/>
      <w:r>
        <w:rPr>
          <w:lang w:val="en-US"/>
        </w:rPr>
        <w:t>Functions</w:t>
      </w:r>
      <w:bookmarkEnd w:id="31"/>
    </w:p>
    <w:p w14:paraId="07088B8C" w14:textId="60E849D8" w:rsidR="0004596C" w:rsidRPr="001B515F" w:rsidRDefault="00296FBB" w:rsidP="006B42C7">
      <w:pPr>
        <w:pStyle w:val="Heading3"/>
        <w:rPr>
          <w:lang w:val="en-US"/>
        </w:rPr>
      </w:pPr>
      <w:bookmarkStart w:id="32" w:name="_Ref260485078"/>
      <w:bookmarkStart w:id="33" w:name="_Toc264744528"/>
      <w:r w:rsidRPr="00F2183F">
        <w:rPr>
          <w:lang w:val="en-US"/>
        </w:rPr>
        <w:t>getVersion</w:t>
      </w:r>
      <w:bookmarkEnd w:id="32"/>
      <w:bookmarkEnd w:id="33"/>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6948CA"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r w:rsidRPr="00BF7089">
              <w:rPr>
                <w:i/>
                <w:lang w:val="en-US"/>
              </w:rPr>
              <w:t>major.minor.fix</w:t>
            </w:r>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6948CA"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34" w:name="_Toc264744529"/>
      <w:r w:rsidRPr="00F2183F">
        <w:rPr>
          <w:lang w:val="en-US"/>
        </w:rPr>
        <w:t>doDiscovery</w:t>
      </w:r>
      <w:bookmarkEnd w:id="3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2E6CB9">
              <w:rPr>
                <w:lang w:val="en-US"/>
              </w:rPr>
              <w:t>5.3.1</w:t>
            </w:r>
            <w:r w:rsidR="005A5651">
              <w:rPr>
                <w:lang w:val="en-US"/>
              </w:rPr>
              <w:fldChar w:fldCharType="end"/>
            </w:r>
            <w:r w:rsidR="005A5651">
              <w:rPr>
                <w:lang w:val="en-US"/>
              </w:rPr>
              <w:t xml:space="preserve"> below.</w:t>
            </w:r>
          </w:p>
        </w:tc>
      </w:tr>
      <w:tr w:rsidR="00325AFB" w:rsidRPr="006948CA"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6948CA"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2E6CB9">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6948CA"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w:t>
            </w:r>
            <w:proofErr w:type="gramStart"/>
            <w:r>
              <w:rPr>
                <w:lang w:val="en-US"/>
              </w:rPr>
              <w:t xml:space="preserve">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proofErr w:type="gramEnd"/>
            <w:r w:rsidR="004C18DD">
              <w:rPr>
                <w:lang w:val="en-US"/>
              </w:rPr>
              <w:t xml:space="preserve"> in case of errors.</w:t>
            </w:r>
          </w:p>
        </w:tc>
      </w:tr>
    </w:tbl>
    <w:p w14:paraId="7737B01C" w14:textId="04CE95DE" w:rsidR="00097D2D" w:rsidRDefault="00097D2D" w:rsidP="006B42C7">
      <w:pPr>
        <w:pStyle w:val="Heading2"/>
        <w:rPr>
          <w:lang w:val="en-US"/>
        </w:rPr>
      </w:pPr>
      <w:bookmarkStart w:id="35" w:name="_Toc264744530"/>
      <w:r w:rsidRPr="008E2E38">
        <w:rPr>
          <w:lang w:val="en-US"/>
        </w:rPr>
        <w:lastRenderedPageBreak/>
        <w:t>Objects</w:t>
      </w:r>
      <w:bookmarkEnd w:id="35"/>
    </w:p>
    <w:p w14:paraId="47BBA4A0" w14:textId="04A767BE" w:rsidR="00461D5E" w:rsidRPr="00BB68B3" w:rsidRDefault="00461D5E" w:rsidP="006B42C7">
      <w:pPr>
        <w:pStyle w:val="Heading3"/>
        <w:rPr>
          <w:lang w:val="en-US"/>
        </w:rPr>
      </w:pPr>
      <w:bookmarkStart w:id="36" w:name="_Ref260314502"/>
      <w:bookmarkStart w:id="37" w:name="_Toc264744531"/>
      <w:r w:rsidRPr="00BB68B3">
        <w:rPr>
          <w:lang w:val="en-US"/>
        </w:rPr>
        <w:t>DiscoverySettings</w:t>
      </w:r>
      <w:bookmarkEnd w:id="36"/>
      <w:bookmarkEnd w:id="37"/>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6948CA"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6948CA"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6948CA"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6948CA"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627ACBAC" w:rsidR="000B674E" w:rsidRDefault="0087737B" w:rsidP="00875B1F">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 xml:space="preserve">dered see </w:t>
            </w:r>
            <w:r w:rsidR="007B4298">
              <w:rPr>
                <w:lang w:val="en-US"/>
              </w:rPr>
              <w:fldChar w:fldCharType="begin"/>
            </w:r>
            <w:r w:rsidR="007B4298">
              <w:rPr>
                <w:lang w:val="en-US"/>
              </w:rPr>
              <w:instrText xml:space="preserve"> REF _Ref260316304 \r \h </w:instrText>
            </w:r>
            <w:r w:rsidR="007B4298">
              <w:rPr>
                <w:lang w:val="en-US"/>
              </w:rPr>
            </w:r>
            <w:r w:rsidR="007B4298">
              <w:rPr>
                <w:lang w:val="en-US"/>
              </w:rPr>
              <w:fldChar w:fldCharType="separate"/>
            </w:r>
            <w:r w:rsidR="002E6CB9">
              <w:rPr>
                <w:lang w:val="en-US"/>
              </w:rPr>
              <w:t>5.3.2</w:t>
            </w:r>
            <w:r w:rsidR="007B4298">
              <w:rPr>
                <w:lang w:val="en-US"/>
              </w:rPr>
              <w:fldChar w:fldCharType="end"/>
            </w:r>
            <w:r w:rsidR="007B4298">
              <w:rPr>
                <w:lang w:val="en-US"/>
              </w:rPr>
              <w:t xml:space="preserve"> below.</w:t>
            </w:r>
          </w:p>
        </w:tc>
      </w:tr>
      <w:tr w:rsidR="000B674E" w:rsidRPr="006948CA"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2E6CB9">
              <w:rPr>
                <w:lang w:val="en-US"/>
              </w:rPr>
              <w:t>5.3.3</w:t>
            </w:r>
            <w:r w:rsidR="002E6CB9">
              <w:rPr>
                <w:lang w:val="en-US"/>
              </w:rPr>
              <w:fldChar w:fldCharType="end"/>
            </w:r>
            <w:r w:rsidR="002E6CB9">
              <w:rPr>
                <w:lang w:val="en-US"/>
              </w:rPr>
              <w:t xml:space="preserve"> </w:t>
            </w:r>
            <w:r>
              <w:rPr>
                <w:lang w:val="en-US"/>
              </w:rPr>
              <w:t>below.</w:t>
            </w:r>
          </w:p>
        </w:tc>
      </w:tr>
      <w:tr w:rsidR="00026180" w:rsidRPr="006948CA"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6948CA"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2E6CB9">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38" w:name="_Ref260314748"/>
      <w:bookmarkStart w:id="39" w:name="_Toc264744532"/>
      <w:r>
        <w:t>uiConfig</w:t>
      </w:r>
      <w:bookmarkEnd w:id="39"/>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6948CA"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7777777"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[IdpDisco].</w:t>
            </w:r>
          </w:p>
          <w:p w14:paraId="4893823C" w14:textId="1DC2AC3D"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w:t>
            </w:r>
            <w:proofErr w:type="gramStart"/>
            <w:r w:rsidR="00425C89">
              <w:rPr>
                <w:lang w:val="en-US"/>
              </w:rPr>
              <w:t xml:space="preserve">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2E6CB9">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425C89" w:rsidRPr="00182677">
              <w:rPr>
                <w:lang w:val="en-US"/>
              </w:rPr>
              <w:t>User State</w:t>
            </w:r>
            <w:r w:rsidR="00425C89">
              <w:rPr>
                <w:lang w:val="en-US"/>
              </w:rPr>
              <w:t xml:space="preserve"> and Remembered Choi</w:t>
            </w:r>
            <w:r w:rsidR="00425C89">
              <w:rPr>
                <w:lang w:val="en-US"/>
              </w:rPr>
              <w:t>c</w:t>
            </w:r>
            <w:r w:rsidR="00425C89">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proofErr w:type="gramEnd"/>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6948CA"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0D3D4C1" w:rsidR="00884AA0" w:rsidRDefault="00884AA0" w:rsidP="00884AA0">
            <w:pPr>
              <w:rPr>
                <w:lang w:val="en-US"/>
              </w:rPr>
            </w:pPr>
            <w:r w:rsidRPr="001E753B">
              <w:rPr>
                <w:lang w:val="en-US"/>
              </w:rPr>
              <w:t xml:space="preserve">The language is specified with two or three letters according to IANA </w:t>
            </w:r>
            <w:proofErr w:type="spellStart"/>
            <w:r w:rsidRPr="001E753B">
              <w:rPr>
                <w:lang w:val="en-US"/>
              </w:rPr>
              <w:t>Subtag</w:t>
            </w:r>
            <w:proofErr w:type="spellEnd"/>
            <w:r w:rsidRPr="001E753B">
              <w:rPr>
                <w:lang w:val="en-US"/>
              </w:rPr>
              <w:t xml:space="preserve"> Registry [</w:t>
            </w:r>
            <w:r>
              <w:rPr>
                <w:lang w:val="en-US"/>
              </w:rPr>
              <w:t>IANA-Lang], e.g. “en” for English and “</w:t>
            </w:r>
            <w:proofErr w:type="spellStart"/>
            <w:r>
              <w:rPr>
                <w:lang w:val="en-US"/>
              </w:rPr>
              <w:t>sv</w:t>
            </w:r>
            <w:proofErr w:type="spellEnd"/>
            <w:r>
              <w:rPr>
                <w:lang w:val="en-US"/>
              </w:rPr>
              <w:t>” for Swedish.</w:t>
            </w:r>
          </w:p>
        </w:tc>
      </w:tr>
      <w:tr w:rsidR="00E860E2" w:rsidRPr="006948CA" w14:paraId="7B4D10C5" w14:textId="77777777" w:rsidTr="00886D59">
        <w:trPr>
          <w:trHeight w:val="340"/>
        </w:trPr>
        <w:tc>
          <w:tcPr>
            <w:tcW w:w="2206" w:type="dxa"/>
          </w:tcPr>
          <w:p w14:paraId="481131CE" w14:textId="4E3CA718" w:rsidR="00E860E2" w:rsidRDefault="002E37BD" w:rsidP="00233958">
            <w:pPr>
              <w:rPr>
                <w:rStyle w:val="Code"/>
              </w:rPr>
            </w:pPr>
            <w:r>
              <w:rPr>
                <w:rStyle w:val="Code"/>
              </w:rPr>
              <w:t>showCancelButton</w:t>
            </w:r>
          </w:p>
        </w:tc>
        <w:tc>
          <w:tcPr>
            <w:tcW w:w="992" w:type="dxa"/>
          </w:tcPr>
          <w:p w14:paraId="56B091F6" w14:textId="55F5943C" w:rsidR="00E860E2" w:rsidRPr="00D8106F" w:rsidRDefault="002E37BD" w:rsidP="00233958">
            <w:pPr>
              <w:jc w:val="center"/>
              <w:rPr>
                <w:rFonts w:ascii="Zapf Dingbats" w:hAnsi="Zapf Dingbats"/>
              </w:rPr>
            </w:pPr>
            <w:r w:rsidRPr="0005309C">
              <w:rPr>
                <w:rStyle w:val="Code"/>
              </w:rPr>
              <w:t>false</w:t>
            </w:r>
          </w:p>
        </w:tc>
        <w:tc>
          <w:tcPr>
            <w:tcW w:w="6246" w:type="dxa"/>
          </w:tcPr>
          <w:p w14:paraId="4EDC7A4F" w14:textId="78170B26" w:rsidR="00E860E2" w:rsidRDefault="00286312" w:rsidP="00233958">
            <w:pPr>
              <w:rPr>
                <w:lang w:val="en-US"/>
              </w:rPr>
            </w:pPr>
            <w:r>
              <w:rPr>
                <w:lang w:val="en-US"/>
              </w:rPr>
              <w:t xml:space="preserve">Instructs the </w:t>
            </w:r>
            <w:r w:rsidRPr="00286312">
              <w:rPr>
                <w:rStyle w:val="Code"/>
              </w:rPr>
              <w:t>doDiscovery</w:t>
            </w:r>
            <w:r>
              <w:rPr>
                <w:lang w:val="en-US"/>
              </w:rPr>
              <w:t xml:space="preserve"> function whether to include a Cancel-button in the user interface being created.</w:t>
            </w:r>
            <w:r w:rsidR="00233958">
              <w:rPr>
                <w:lang w:val="en-US"/>
              </w:rPr>
              <w:t xml:space="preserve"> Depending on how the</w:t>
            </w:r>
            <w:r w:rsidR="007E3964">
              <w:rPr>
                <w:lang w:val="en-US"/>
              </w:rPr>
              <w:t xml:space="preserve"> user interface is integrated on the Service Provider web site, the use of a Cancel-button may or may not be desired.</w:t>
            </w:r>
          </w:p>
        </w:tc>
      </w:tr>
      <w:tr w:rsidR="00E860E2" w:rsidRPr="006948CA"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24E1A0C9" w:rsidR="00E860E2" w:rsidRDefault="00B30403" w:rsidP="00233958">
            <w:pPr>
              <w:rPr>
                <w:lang w:val="en-US"/>
              </w:rPr>
            </w:pPr>
            <w:r>
              <w:rPr>
                <w:lang w:val="en-US"/>
              </w:rPr>
              <w:t>Tells whether HTML-links should be included in the generated user interface. These links typically points to informational resources about eID and the federation.</w:t>
            </w:r>
          </w:p>
        </w:tc>
      </w:tr>
    </w:tbl>
    <w:p w14:paraId="46C82ADF" w14:textId="77777777" w:rsidR="000B674E" w:rsidRDefault="000B674E" w:rsidP="000B674E">
      <w:pPr>
        <w:rPr>
          <w:lang w:val="en-US"/>
        </w:rPr>
      </w:pPr>
    </w:p>
    <w:p w14:paraId="08218DBF" w14:textId="77E1B919" w:rsidR="000B674E" w:rsidRDefault="00AF79A3" w:rsidP="000B674E">
      <w:pPr>
        <w:pStyle w:val="Heading3"/>
      </w:pPr>
      <w:bookmarkStart w:id="40" w:name="_Ref390164152"/>
      <w:bookmarkStart w:id="41" w:name="_Toc264744533"/>
      <w:r>
        <w:t>userState</w:t>
      </w:r>
      <w:r w:rsidR="000B674E">
        <w:t>Config</w:t>
      </w:r>
      <w:bookmarkEnd w:id="40"/>
      <w:bookmarkEnd w:id="41"/>
    </w:p>
    <w:p w14:paraId="0A479EF9" w14:textId="56FDBB98"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2E6CB9">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2E6CB9" w:rsidRPr="00182677">
        <w:rPr>
          <w:lang w:val="en-US"/>
        </w:rPr>
        <w:t>User State</w:t>
      </w:r>
      <w:r w:rsidR="002E6CB9">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2E6CB9">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2E6CB9">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826674"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826674"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826674"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r w:rsidR="000B674E" w:rsidRPr="00826674" w14:paraId="6C6D364E" w14:textId="77777777" w:rsidTr="00E368A0">
        <w:trPr>
          <w:trHeight w:val="340"/>
        </w:trPr>
        <w:tc>
          <w:tcPr>
            <w:tcW w:w="3056" w:type="dxa"/>
          </w:tcPr>
          <w:p w14:paraId="79A374F3" w14:textId="37EF1682" w:rsidR="000B674E" w:rsidRDefault="00AF79A3" w:rsidP="000B674E">
            <w:pPr>
              <w:rPr>
                <w:rStyle w:val="Code"/>
              </w:rPr>
            </w:pPr>
            <w:r>
              <w:rPr>
                <w:rStyle w:val="Code"/>
              </w:rPr>
              <w:t>userState</w:t>
            </w:r>
            <w:r w:rsidR="000B674E">
              <w:rPr>
                <w:rStyle w:val="Code"/>
              </w:rPr>
              <w:t>Domain</w:t>
            </w:r>
          </w:p>
        </w:tc>
        <w:tc>
          <w:tcPr>
            <w:tcW w:w="1276" w:type="dxa"/>
          </w:tcPr>
          <w:p w14:paraId="0ECA7B4D" w14:textId="241978EA" w:rsidR="000B674E" w:rsidRPr="00E368A0" w:rsidRDefault="00E368A0" w:rsidP="00E368A0">
            <w:pPr>
              <w:jc w:val="center"/>
              <w:rPr>
                <w:rFonts w:cs="Arial"/>
              </w:rPr>
            </w:pPr>
            <w:r w:rsidRPr="00E368A0">
              <w:rPr>
                <w:rStyle w:val="Code"/>
                <w:rFonts w:ascii="Arial" w:hAnsi="Arial" w:cs="Arial"/>
              </w:rPr>
              <w:t>Current domain</w:t>
            </w:r>
          </w:p>
        </w:tc>
        <w:tc>
          <w:tcPr>
            <w:tcW w:w="5112" w:type="dxa"/>
          </w:tcPr>
          <w:p w14:paraId="08E8F78B" w14:textId="7C690C8A" w:rsidR="000B674E" w:rsidRDefault="00D24065" w:rsidP="00AF79A3">
            <w:pPr>
              <w:rPr>
                <w:lang w:val="en-US"/>
              </w:rPr>
            </w:pPr>
            <w:r>
              <w:rPr>
                <w:lang w:val="en-US"/>
              </w:rPr>
              <w:t>A string that specifies the domain to use as own d</w:t>
            </w:r>
            <w:r>
              <w:rPr>
                <w:lang w:val="en-US"/>
              </w:rPr>
              <w:t>o</w:t>
            </w:r>
            <w:r>
              <w:rPr>
                <w:lang w:val="en-US"/>
              </w:rPr>
              <w:t xml:space="preserve">main for </w:t>
            </w:r>
            <w:r w:rsidR="00AF79A3">
              <w:rPr>
                <w:lang w:val="en-US"/>
              </w:rPr>
              <w:t>pre-selected eIDs</w:t>
            </w:r>
            <w:r>
              <w:rPr>
                <w:lang w:val="en-US"/>
              </w:rPr>
              <w:t>, e.g. “domain.com” when current domain is “myservice.domain.com”</w:t>
            </w:r>
            <w:r w:rsidR="000B674E">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42" w:name="_Ref260315087"/>
      <w:bookmarkStart w:id="43" w:name="_Toc264744534"/>
      <w:r w:rsidRPr="00E368A0">
        <w:rPr>
          <w:lang w:val="en-US"/>
        </w:rPr>
        <w:t>DiscoveryError</w:t>
      </w:r>
      <w:bookmarkEnd w:id="38"/>
      <w:bookmarkEnd w:id="42"/>
      <w:bookmarkEnd w:id="43"/>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6948CA"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lastRenderedPageBreak/>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6948CA"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6948CA"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6948CA"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6948CA"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6948CA"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6948CA"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6948CA"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6948CA"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6948CA"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t>not be reached.</w:t>
            </w:r>
          </w:p>
        </w:tc>
      </w:tr>
      <w:tr w:rsidR="00DD0663" w:rsidRPr="006948CA"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6948CA"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44" w:name="_Toc264744535"/>
      <w:r>
        <w:rPr>
          <w:lang w:val="en-US"/>
        </w:rPr>
        <w:lastRenderedPageBreak/>
        <w:t>R</w:t>
      </w:r>
      <w:r w:rsidR="00A821EE" w:rsidRPr="006C4EAB">
        <w:rPr>
          <w:lang w:val="en-US"/>
        </w:rPr>
        <w:t>eferences</w:t>
      </w:r>
      <w:bookmarkEnd w:id="44"/>
    </w:p>
    <w:p w14:paraId="32452862" w14:textId="77777777" w:rsidR="00224FC0" w:rsidRDefault="00224FC0" w:rsidP="00224FC0">
      <w:pPr>
        <w:rPr>
          <w:bCs/>
          <w:lang w:val="en-US"/>
        </w:rPr>
      </w:pPr>
      <w:r>
        <w:rPr>
          <w:bCs/>
          <w:lang w:val="en-US"/>
        </w:rPr>
        <w:t>[IdpDisco]</w:t>
      </w:r>
    </w:p>
    <w:p w14:paraId="1F18D0FD" w14:textId="6840799E" w:rsidR="00927DDE" w:rsidRPr="00BE794D" w:rsidRDefault="00693101" w:rsidP="00224FC0">
      <w:pPr>
        <w:ind w:left="720"/>
        <w:rPr>
          <w:color w:val="000080"/>
          <w:u w:val="single"/>
          <w:lang w:val="en-US"/>
        </w:rPr>
      </w:pPr>
      <w:hyperlink r:id="rId11" w:history="1">
        <w:r w:rsidR="00224FC0" w:rsidRPr="008B4498">
          <w:rPr>
            <w:rStyle w:val="Hyperlink"/>
            <w:lang w:val="en-US"/>
          </w:rPr>
          <w:t>OASIS Committee Specification, Identity Provider Discovery Service Protocol and Profile, March 2008.</w:t>
        </w:r>
      </w:hyperlink>
      <w:r w:rsidR="00927DDE">
        <w:rPr>
          <w:lang w:val="en-US"/>
        </w:rPr>
        <w:br/>
      </w:r>
    </w:p>
    <w:p w14:paraId="7CB52764" w14:textId="5C2D8490" w:rsidR="00BE794D" w:rsidRDefault="00BE794D" w:rsidP="00927DDE">
      <w:pPr>
        <w:rPr>
          <w:lang w:val="en-US"/>
        </w:rPr>
      </w:pPr>
      <w:r>
        <w:rPr>
          <w:lang w:val="en-US"/>
        </w:rPr>
        <w:t>[Eid2EntCat]</w:t>
      </w:r>
    </w:p>
    <w:p w14:paraId="25B9C5F8" w14:textId="7616149B" w:rsidR="00C774C4" w:rsidRDefault="00C774C4" w:rsidP="00C774C4">
      <w:pPr>
        <w:ind w:left="720"/>
        <w:rPr>
          <w:lang w:val="en-US"/>
        </w:rPr>
      </w:pPr>
      <w:hyperlink r:id="rId12" w:history="1">
        <w:r w:rsidRPr="00BB0734">
          <w:rPr>
            <w:rStyle w:val="Hyperlink"/>
            <w:lang w:val="en-US"/>
          </w:rPr>
          <w:t>Entity Categories for the Swedish eID Framework.</w:t>
        </w:r>
      </w:hyperlink>
    </w:p>
    <w:p w14:paraId="2BD06135" w14:textId="77777777" w:rsidR="00C774C4" w:rsidRDefault="00C774C4" w:rsidP="00C774C4">
      <w:pPr>
        <w:rPr>
          <w:lang w:val="en-US"/>
        </w:rPr>
      </w:pPr>
    </w:p>
    <w:p w14:paraId="1FF46C34" w14:textId="77777777" w:rsidR="00C774C4" w:rsidRDefault="00C774C4" w:rsidP="00C774C4">
      <w:pPr>
        <w:rPr>
          <w:lang w:val="en-US"/>
        </w:rPr>
      </w:pPr>
      <w:r>
        <w:rPr>
          <w:lang w:val="en-US"/>
        </w:rPr>
        <w:t>[Eid2LoA]</w:t>
      </w:r>
    </w:p>
    <w:p w14:paraId="527576D7" w14:textId="3B0CC05C" w:rsidR="009D1EA5" w:rsidRDefault="009D1EA5" w:rsidP="009D1EA5">
      <w:pPr>
        <w:ind w:left="720"/>
        <w:rPr>
          <w:lang w:val="en-US"/>
        </w:rPr>
      </w:pPr>
      <w:hyperlink r:id="rId13" w:history="1">
        <w:r w:rsidRPr="00A8213A">
          <w:rPr>
            <w:rStyle w:val="Hyperlink"/>
            <w:lang w:val="en-US"/>
          </w:rPr>
          <w:t>Authentication Context Classes for Levels of Assurance for the Swedish eID Framework.</w:t>
        </w:r>
      </w:hyperlink>
    </w:p>
    <w:p w14:paraId="1AF0F94E" w14:textId="4DC67B4F" w:rsidR="00C774C4" w:rsidRDefault="00C774C4" w:rsidP="00C774C4">
      <w:pPr>
        <w:rPr>
          <w:lang w:val="en-US"/>
        </w:rPr>
      </w:pPr>
    </w:p>
    <w:p w14:paraId="2998EE65" w14:textId="77777777" w:rsidR="00C774C4" w:rsidRDefault="00C774C4" w:rsidP="00C774C4">
      <w:pPr>
        <w:rPr>
          <w:lang w:val="en-US"/>
        </w:rPr>
      </w:pPr>
      <w:r>
        <w:rPr>
          <w:lang w:val="en-US"/>
        </w:rPr>
        <w:t>[Eid2Attributes]</w:t>
      </w:r>
    </w:p>
    <w:p w14:paraId="742DE699" w14:textId="79C5302E" w:rsidR="00C774C4" w:rsidRDefault="00C774C4" w:rsidP="00C774C4">
      <w:pPr>
        <w:rPr>
          <w:lang w:val="en-US"/>
        </w:rPr>
      </w:pPr>
      <w:r>
        <w:rPr>
          <w:lang w:val="en-US"/>
        </w:rPr>
        <w:tab/>
      </w:r>
      <w:hyperlink r:id="rId14" w:history="1">
        <w:r w:rsidR="003C5435" w:rsidRPr="00A8213A">
          <w:rPr>
            <w:rStyle w:val="Hyperlink"/>
            <w:lang w:val="en-US"/>
          </w:rPr>
          <w:t>Attribute Specification for the Swedish eID Framework.</w:t>
        </w:r>
      </w:hyperlink>
      <w:bookmarkStart w:id="45" w:name="_GoBack"/>
      <w:bookmarkEnd w:id="45"/>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693101" w:rsidP="008B401A">
      <w:pPr>
        <w:ind w:left="720"/>
        <w:rPr>
          <w:lang w:val="en-US"/>
        </w:rPr>
      </w:pPr>
      <w:hyperlink r:id="rId15" w:history="1">
        <w:r w:rsidR="008B401A" w:rsidRPr="001E753B">
          <w:rPr>
            <w:rStyle w:val="Hyperlink"/>
            <w:lang w:val="en-US"/>
          </w:rPr>
          <w:t>http://www.iana.org/assignments/language-subtag-registry/language-subtag-registry</w:t>
        </w:r>
      </w:hyperlink>
      <w:r w:rsidR="00B31910">
        <w:rPr>
          <w:lang w:val="en-US"/>
        </w:rPr>
        <w:t>.</w:t>
      </w:r>
    </w:p>
    <w:p w14:paraId="3BFDA09B" w14:textId="77777777" w:rsidR="006A4D6C" w:rsidRDefault="006A4D6C" w:rsidP="00927DDE">
      <w:pPr>
        <w:rPr>
          <w:lang w:val="en-US"/>
        </w:rPr>
      </w:pPr>
    </w:p>
    <w:p w14:paraId="00DED33D" w14:textId="77777777" w:rsidR="00E31AD6" w:rsidRPr="00E31AD6" w:rsidRDefault="00E31AD6" w:rsidP="00E31AD6"/>
    <w:sectPr w:rsidR="00E31AD6" w:rsidRPr="00E31AD6" w:rsidSect="003A47DD">
      <w:headerReference w:type="default" r:id="rId16"/>
      <w:footerReference w:type="default" r:id="rId17"/>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E8107" w14:textId="77777777" w:rsidR="00E368A0" w:rsidRDefault="00E368A0">
      <w:pPr>
        <w:spacing w:line="240" w:lineRule="auto"/>
      </w:pPr>
      <w:r>
        <w:separator/>
      </w:r>
    </w:p>
  </w:endnote>
  <w:endnote w:type="continuationSeparator" w:id="0">
    <w:p w14:paraId="473CBB99" w14:textId="77777777" w:rsidR="00E368A0" w:rsidRDefault="00E36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rial Narrow"/>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Zapf Dingbats">
    <w:altName w:val="Wingdings 2"/>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368A0" w:rsidRPr="00C912BA" w14:paraId="3F26EF42" w14:textId="77777777" w:rsidTr="00D74D00">
      <w:tc>
        <w:tcPr>
          <w:tcW w:w="7208" w:type="dxa"/>
          <w:gridSpan w:val="4"/>
          <w:tcBorders>
            <w:bottom w:val="single" w:sz="4" w:space="0" w:color="auto"/>
          </w:tcBorders>
        </w:tcPr>
        <w:p w14:paraId="3B08F497" w14:textId="77777777" w:rsidR="00E368A0" w:rsidRPr="00C912BA" w:rsidRDefault="00E368A0" w:rsidP="00F27527">
          <w:pPr>
            <w:pStyle w:val="Ledtext"/>
            <w:rPr>
              <w:spacing w:val="20"/>
              <w:sz w:val="16"/>
              <w:szCs w:val="16"/>
              <w:lang w:val="sv-SE"/>
            </w:rPr>
          </w:pPr>
          <w:bookmarkStart w:id="46" w:name="www"/>
          <w:r w:rsidRPr="00C912BA">
            <w:rPr>
              <w:b/>
              <w:bCs/>
              <w:sz w:val="16"/>
              <w:lang w:val="sv-SE"/>
            </w:rPr>
            <w:t>www.</w:t>
          </w:r>
          <w:r>
            <w:rPr>
              <w:b/>
              <w:bCs/>
              <w:sz w:val="16"/>
              <w:lang w:val="sv-SE"/>
            </w:rPr>
            <w:t>elegnamnden</w:t>
          </w:r>
          <w:r w:rsidRPr="00C912BA">
            <w:rPr>
              <w:b/>
              <w:bCs/>
              <w:sz w:val="16"/>
              <w:lang w:val="sv-SE"/>
            </w:rPr>
            <w:t>.se</w:t>
          </w:r>
          <w:bookmarkEnd w:id="46"/>
        </w:p>
      </w:tc>
      <w:tc>
        <w:tcPr>
          <w:tcW w:w="2347" w:type="dxa"/>
          <w:tcBorders>
            <w:bottom w:val="single" w:sz="4" w:space="0" w:color="auto"/>
          </w:tcBorders>
        </w:tcPr>
        <w:p w14:paraId="619C2AE8" w14:textId="77777777" w:rsidR="00E368A0" w:rsidRPr="00C912BA" w:rsidRDefault="00E368A0" w:rsidP="00F27527">
          <w:pPr>
            <w:pStyle w:val="Ledtext"/>
            <w:rPr>
              <w:sz w:val="16"/>
              <w:lang w:val="sv-SE"/>
            </w:rPr>
          </w:pPr>
        </w:p>
      </w:tc>
    </w:tr>
    <w:tr w:rsidR="00E368A0" w:rsidRPr="00C912BA" w14:paraId="0BBF8E42" w14:textId="77777777" w:rsidTr="00D74D00">
      <w:tc>
        <w:tcPr>
          <w:tcW w:w="1988" w:type="dxa"/>
          <w:tcBorders>
            <w:top w:val="single" w:sz="4" w:space="0" w:color="auto"/>
          </w:tcBorders>
        </w:tcPr>
        <w:p w14:paraId="53B57CCF" w14:textId="77777777" w:rsidR="00E368A0" w:rsidRPr="00C912BA" w:rsidRDefault="00E368A0" w:rsidP="00F27527">
          <w:pPr>
            <w:pStyle w:val="Ledtext"/>
            <w:rPr>
              <w:lang w:val="sv-SE"/>
            </w:rPr>
          </w:pPr>
          <w:bookmarkStart w:id="47" w:name="PostadressLed"/>
          <w:r>
            <w:rPr>
              <w:lang w:val="sv-SE"/>
            </w:rPr>
            <w:t>Postadress</w:t>
          </w:r>
          <w:bookmarkEnd w:id="47"/>
        </w:p>
      </w:tc>
      <w:tc>
        <w:tcPr>
          <w:tcW w:w="1620" w:type="dxa"/>
          <w:tcBorders>
            <w:top w:val="single" w:sz="4" w:space="0" w:color="auto"/>
          </w:tcBorders>
        </w:tcPr>
        <w:p w14:paraId="7481F620" w14:textId="77777777" w:rsidR="00E368A0" w:rsidRPr="00C912BA" w:rsidRDefault="00E368A0"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368A0" w:rsidRPr="00C912BA" w:rsidRDefault="00E368A0" w:rsidP="00F27527">
          <w:pPr>
            <w:pStyle w:val="Ledtext"/>
            <w:rPr>
              <w:lang w:val="sv-SE"/>
            </w:rPr>
          </w:pPr>
          <w:bookmarkStart w:id="48" w:name="TelefonVaxelLed"/>
          <w:r>
            <w:rPr>
              <w:lang w:val="sv-SE"/>
            </w:rPr>
            <w:t>Telefon växel</w:t>
          </w:r>
          <w:bookmarkEnd w:id="48"/>
        </w:p>
      </w:tc>
      <w:tc>
        <w:tcPr>
          <w:tcW w:w="1800" w:type="dxa"/>
          <w:tcBorders>
            <w:top w:val="single" w:sz="4" w:space="0" w:color="auto"/>
          </w:tcBorders>
        </w:tcPr>
        <w:p w14:paraId="0987B1B2" w14:textId="77777777" w:rsidR="00E368A0" w:rsidRPr="00C912BA" w:rsidRDefault="00E368A0" w:rsidP="00F27527">
          <w:pPr>
            <w:pStyle w:val="Ledtext"/>
            <w:rPr>
              <w:lang w:val="sv-SE"/>
            </w:rPr>
          </w:pPr>
          <w:bookmarkStart w:id="49" w:name="TelefonVaxelUtlLedtext"/>
          <w:bookmarkEnd w:id="49"/>
        </w:p>
      </w:tc>
      <w:tc>
        <w:tcPr>
          <w:tcW w:w="2347" w:type="dxa"/>
          <w:tcBorders>
            <w:top w:val="single" w:sz="4" w:space="0" w:color="auto"/>
          </w:tcBorders>
        </w:tcPr>
        <w:p w14:paraId="35B8C08C" w14:textId="77777777" w:rsidR="00E368A0" w:rsidRPr="00C912BA" w:rsidRDefault="00E368A0" w:rsidP="00F27527">
          <w:pPr>
            <w:pStyle w:val="Ledtext"/>
            <w:rPr>
              <w:lang w:val="sv-SE"/>
            </w:rPr>
          </w:pPr>
          <w:bookmarkStart w:id="50" w:name="EpostLed"/>
          <w:r>
            <w:rPr>
              <w:lang w:val="sv-SE"/>
            </w:rPr>
            <w:t>E-postadress</w:t>
          </w:r>
          <w:bookmarkEnd w:id="50"/>
        </w:p>
      </w:tc>
    </w:tr>
    <w:tr w:rsidR="00E368A0" w:rsidRPr="00C912BA" w14:paraId="06607072" w14:textId="77777777" w:rsidTr="00D74D00">
      <w:tc>
        <w:tcPr>
          <w:tcW w:w="1988" w:type="dxa"/>
        </w:tcPr>
        <w:p w14:paraId="4EC133D2" w14:textId="77777777" w:rsidR="00E368A0" w:rsidRPr="00C912BA" w:rsidRDefault="00E368A0" w:rsidP="00F27527">
          <w:pPr>
            <w:pStyle w:val="Ledtext"/>
            <w:rPr>
              <w:b/>
              <w:bCs/>
              <w:lang w:val="sv-SE"/>
            </w:rPr>
          </w:pPr>
          <w:bookmarkStart w:id="51" w:name="Postadress"/>
          <w:r>
            <w:rPr>
              <w:b/>
              <w:bCs/>
              <w:lang w:val="sv-SE"/>
            </w:rPr>
            <w:t xml:space="preserve">171 94  SOLNA </w:t>
          </w:r>
          <w:bookmarkEnd w:id="51"/>
        </w:p>
      </w:tc>
      <w:tc>
        <w:tcPr>
          <w:tcW w:w="1620" w:type="dxa"/>
        </w:tcPr>
        <w:p w14:paraId="64EDE1D1" w14:textId="77777777" w:rsidR="00E368A0" w:rsidRPr="00C912BA" w:rsidRDefault="00E368A0" w:rsidP="00F27527">
          <w:pPr>
            <w:pStyle w:val="Ledtext"/>
            <w:ind w:left="-57"/>
            <w:rPr>
              <w:b/>
              <w:bCs/>
              <w:lang w:val="sv-SE"/>
            </w:rPr>
          </w:pPr>
          <w:r>
            <w:rPr>
              <w:b/>
              <w:bCs/>
              <w:lang w:val="sv-SE"/>
            </w:rPr>
            <w:t>Korta gatan 10</w:t>
          </w:r>
        </w:p>
      </w:tc>
      <w:tc>
        <w:tcPr>
          <w:tcW w:w="1800" w:type="dxa"/>
        </w:tcPr>
        <w:p w14:paraId="14FD09A9" w14:textId="77777777" w:rsidR="00E368A0" w:rsidRPr="00C912BA" w:rsidRDefault="00E368A0" w:rsidP="00F27527">
          <w:pPr>
            <w:pStyle w:val="Ledtext"/>
            <w:rPr>
              <w:b/>
              <w:bCs/>
              <w:lang w:val="sv-SE"/>
            </w:rPr>
          </w:pPr>
          <w:bookmarkStart w:id="52" w:name="TelefonVaxel"/>
          <w:r>
            <w:rPr>
              <w:b/>
              <w:bCs/>
              <w:lang w:val="sv-SE"/>
            </w:rPr>
            <w:t xml:space="preserve">010-574 21 00 </w:t>
          </w:r>
          <w:bookmarkEnd w:id="52"/>
          <w:r>
            <w:rPr>
              <w:b/>
              <w:bCs/>
              <w:lang w:val="sv-SE"/>
            </w:rPr>
            <w:t xml:space="preserve"> </w:t>
          </w:r>
        </w:p>
      </w:tc>
      <w:tc>
        <w:tcPr>
          <w:tcW w:w="1800" w:type="dxa"/>
        </w:tcPr>
        <w:p w14:paraId="4A68601A" w14:textId="77777777" w:rsidR="00E368A0" w:rsidRPr="00C912BA" w:rsidRDefault="00E368A0" w:rsidP="00F27527">
          <w:pPr>
            <w:pStyle w:val="Ledtext"/>
            <w:rPr>
              <w:b/>
              <w:bCs/>
              <w:lang w:val="sv-SE"/>
            </w:rPr>
          </w:pPr>
          <w:bookmarkStart w:id="53" w:name="TelefonVaxelUtl"/>
          <w:bookmarkEnd w:id="53"/>
        </w:p>
      </w:tc>
      <w:tc>
        <w:tcPr>
          <w:tcW w:w="2347" w:type="dxa"/>
        </w:tcPr>
        <w:p w14:paraId="213B98C5" w14:textId="77777777" w:rsidR="00E368A0" w:rsidRPr="00C912BA" w:rsidRDefault="00E368A0" w:rsidP="00F27527">
          <w:pPr>
            <w:pStyle w:val="Ledtext"/>
            <w:rPr>
              <w:b/>
              <w:bCs/>
              <w:lang w:val="sv-SE"/>
            </w:rPr>
          </w:pPr>
          <w:bookmarkStart w:id="54" w:name="EmailFot"/>
          <w:r>
            <w:rPr>
              <w:b/>
              <w:bCs/>
              <w:lang w:val="sv-SE"/>
            </w:rPr>
            <w:t>kansliet@elegnamnden.se</w:t>
          </w:r>
          <w:bookmarkEnd w:id="54"/>
        </w:p>
      </w:tc>
    </w:tr>
  </w:tbl>
  <w:p w14:paraId="07C1B5E6" w14:textId="4AB8A180" w:rsidR="00E368A0" w:rsidRDefault="00E368A0"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9E1F2F">
      <w:rPr>
        <w:noProof/>
        <w:color w:val="808080"/>
        <w:sz w:val="16"/>
      </w:rPr>
      <w:t>16</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E1F2F">
      <w:rPr>
        <w:noProof/>
        <w:color w:val="808080"/>
        <w:sz w:val="16"/>
      </w:rPr>
      <w:t>16</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4EF20" w14:textId="77777777" w:rsidR="00E368A0" w:rsidRDefault="00E368A0">
      <w:pPr>
        <w:spacing w:line="240" w:lineRule="auto"/>
      </w:pPr>
      <w:r>
        <w:separator/>
      </w:r>
    </w:p>
  </w:footnote>
  <w:footnote w:type="continuationSeparator" w:id="0">
    <w:p w14:paraId="06FC9E51" w14:textId="77777777" w:rsidR="00E368A0" w:rsidRDefault="00E368A0">
      <w:pPr>
        <w:spacing w:line="240" w:lineRule="auto"/>
      </w:pPr>
      <w:r>
        <w:continuationSeparator/>
      </w:r>
    </w:p>
  </w:footnote>
  <w:footnote w:id="1">
    <w:p w14:paraId="14BBEA0A" w14:textId="21EA1B7E" w:rsidR="00E368A0" w:rsidRPr="00A8081B" w:rsidRDefault="00E368A0">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09178A91" w:rsidR="00E368A0" w:rsidRPr="001C013A" w:rsidRDefault="00E368A0">
      <w:pPr>
        <w:pStyle w:val="FootnoteText"/>
        <w:rPr>
          <w:lang w:val="en-US"/>
        </w:rPr>
      </w:pPr>
      <w:r>
        <w:rPr>
          <w:rStyle w:val="FootnoteReference"/>
        </w:rPr>
        <w:footnoteRef/>
      </w:r>
      <w:r w:rsidRPr="001C013A">
        <w:rPr>
          <w:lang w:val="en-US"/>
        </w:rPr>
        <w:t xml:space="preserve"> </w:t>
      </w:r>
      <w:r>
        <w:rPr>
          <w:lang w:val="en-US"/>
        </w:rPr>
        <w:t xml:space="preserve">By including the </w:t>
      </w:r>
      <w:r w:rsidRPr="00513834">
        <w:rPr>
          <w:rStyle w:val="Code"/>
        </w:rPr>
        <w:t>mobile-auth</w:t>
      </w:r>
      <w:r>
        <w:rPr>
          <w:lang w:val="en-US"/>
        </w:rPr>
        <w:t xml:space="preserve"> category an Identity Provider asserts that it supports both authentication using a mobile device and that it will display a user interface suitable for mobile devices.</w:t>
      </w:r>
    </w:p>
  </w:footnote>
  <w:footnote w:id="3">
    <w:p w14:paraId="784CE285" w14:textId="456B35F8" w:rsidR="00E368A0" w:rsidRPr="006E25FD" w:rsidRDefault="00E368A0">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2A44159D" w:rsidR="00E368A0" w:rsidRDefault="00E368A0">
    <w:pPr>
      <w:rPr>
        <w:sz w:val="16"/>
        <w:szCs w:val="16"/>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B4310">
      <w:rPr>
        <w:sz w:val="16"/>
        <w:szCs w:val="16"/>
        <w:lang w:val="en-US"/>
      </w:rPr>
      <w:t>ELN-0610-v1.0</w:t>
    </w:r>
  </w:p>
  <w:p w14:paraId="284F6589" w14:textId="77777777" w:rsidR="00341DE0" w:rsidRDefault="00341DE0">
    <w:pPr>
      <w:rPr>
        <w:sz w:val="16"/>
        <w:szCs w:val="16"/>
        <w:lang w:val="en-US"/>
      </w:rPr>
    </w:pPr>
  </w:p>
  <w:p w14:paraId="004070CB" w14:textId="77777777" w:rsidR="00E368A0" w:rsidRDefault="00E368A0">
    <w:pPr>
      <w:rPr>
        <w:rFonts w:eastAsia="Arial" w:cs="Arial"/>
        <w:color w:val="80808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30"/>
  </w:num>
  <w:num w:numId="3">
    <w:abstractNumId w:val="5"/>
  </w:num>
  <w:num w:numId="4">
    <w:abstractNumId w:val="6"/>
  </w:num>
  <w:num w:numId="5">
    <w:abstractNumId w:val="9"/>
  </w:num>
  <w:num w:numId="6">
    <w:abstractNumId w:val="13"/>
  </w:num>
  <w:num w:numId="7">
    <w:abstractNumId w:val="28"/>
  </w:num>
  <w:num w:numId="8">
    <w:abstractNumId w:val="29"/>
  </w:num>
  <w:num w:numId="9">
    <w:abstractNumId w:val="7"/>
  </w:num>
  <w:num w:numId="10">
    <w:abstractNumId w:val="31"/>
  </w:num>
  <w:num w:numId="11">
    <w:abstractNumId w:val="14"/>
  </w:num>
  <w:num w:numId="12">
    <w:abstractNumId w:val="27"/>
  </w:num>
  <w:num w:numId="13">
    <w:abstractNumId w:val="25"/>
  </w:num>
  <w:num w:numId="14">
    <w:abstractNumId w:val="10"/>
  </w:num>
  <w:num w:numId="15">
    <w:abstractNumId w:val="8"/>
  </w:num>
  <w:num w:numId="16">
    <w:abstractNumId w:val="19"/>
  </w:num>
  <w:num w:numId="17">
    <w:abstractNumId w:val="26"/>
  </w:num>
  <w:num w:numId="18">
    <w:abstractNumId w:val="22"/>
  </w:num>
  <w:num w:numId="19">
    <w:abstractNumId w:val="12"/>
  </w:num>
  <w:num w:numId="20">
    <w:abstractNumId w:val="21"/>
  </w:num>
  <w:num w:numId="21">
    <w:abstractNumId w:val="16"/>
  </w:num>
  <w:num w:numId="22">
    <w:abstractNumId w:val="11"/>
  </w:num>
  <w:num w:numId="23">
    <w:abstractNumId w:val="17"/>
  </w:num>
  <w:num w:numId="24">
    <w:abstractNumId w:val="3"/>
  </w:num>
  <w:num w:numId="25">
    <w:abstractNumId w:val="4"/>
  </w:num>
  <w:num w:numId="26">
    <w:abstractNumId w:val="18"/>
  </w:num>
  <w:num w:numId="27">
    <w:abstractNumId w:val="0"/>
  </w:num>
  <w:num w:numId="28">
    <w:abstractNumId w:val="2"/>
  </w:num>
  <w:num w:numId="29">
    <w:abstractNumId w:val="15"/>
  </w:num>
  <w:num w:numId="30">
    <w:abstractNumId w:val="1"/>
  </w:num>
  <w:num w:numId="31">
    <w:abstractNumId w:val="23"/>
  </w:num>
  <w:num w:numId="32">
    <w:abstractNumId w:val="24"/>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embedSystemFonts/>
  <w:activeWritingStyle w:appName="MSWord" w:lang="sv-SE" w:vendorID="22" w:dllVersion="513" w:checkStyle="1"/>
  <w:proofState w:spelling="clean" w:grammar="clean"/>
  <w:doNotTrackMove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6180"/>
    <w:rsid w:val="00026A5E"/>
    <w:rsid w:val="00026FF4"/>
    <w:rsid w:val="00030ED8"/>
    <w:rsid w:val="00031F53"/>
    <w:rsid w:val="00032094"/>
    <w:rsid w:val="00034115"/>
    <w:rsid w:val="00037E6D"/>
    <w:rsid w:val="000422C6"/>
    <w:rsid w:val="000446C8"/>
    <w:rsid w:val="00044D43"/>
    <w:rsid w:val="000458DE"/>
    <w:rsid w:val="0004596C"/>
    <w:rsid w:val="00047817"/>
    <w:rsid w:val="00047AF4"/>
    <w:rsid w:val="00047CDA"/>
    <w:rsid w:val="00050932"/>
    <w:rsid w:val="00051702"/>
    <w:rsid w:val="00052118"/>
    <w:rsid w:val="00052565"/>
    <w:rsid w:val="0005309C"/>
    <w:rsid w:val="00054912"/>
    <w:rsid w:val="0005627F"/>
    <w:rsid w:val="000563EE"/>
    <w:rsid w:val="00057444"/>
    <w:rsid w:val="000621E4"/>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B2C"/>
    <w:rsid w:val="00084D13"/>
    <w:rsid w:val="00085F2D"/>
    <w:rsid w:val="000879AC"/>
    <w:rsid w:val="00090192"/>
    <w:rsid w:val="00091883"/>
    <w:rsid w:val="00096211"/>
    <w:rsid w:val="0009669D"/>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43EA"/>
    <w:rsid w:val="000D4FD1"/>
    <w:rsid w:val="000D5579"/>
    <w:rsid w:val="000D5781"/>
    <w:rsid w:val="000E0B6E"/>
    <w:rsid w:val="000E219A"/>
    <w:rsid w:val="000E24F6"/>
    <w:rsid w:val="000E2CCB"/>
    <w:rsid w:val="000E51AE"/>
    <w:rsid w:val="000E5790"/>
    <w:rsid w:val="000E5BA9"/>
    <w:rsid w:val="000E5D0F"/>
    <w:rsid w:val="000E7B0C"/>
    <w:rsid w:val="000F010E"/>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5FC"/>
    <w:rsid w:val="001A1D54"/>
    <w:rsid w:val="001A235C"/>
    <w:rsid w:val="001A335B"/>
    <w:rsid w:val="001A3B49"/>
    <w:rsid w:val="001A409D"/>
    <w:rsid w:val="001A549D"/>
    <w:rsid w:val="001A5B2D"/>
    <w:rsid w:val="001A5DE1"/>
    <w:rsid w:val="001A6741"/>
    <w:rsid w:val="001B0C4A"/>
    <w:rsid w:val="001B10A1"/>
    <w:rsid w:val="001B1E69"/>
    <w:rsid w:val="001B3EE6"/>
    <w:rsid w:val="001B4998"/>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35E"/>
    <w:rsid w:val="001F23B5"/>
    <w:rsid w:val="001F24FF"/>
    <w:rsid w:val="001F3290"/>
    <w:rsid w:val="001F377B"/>
    <w:rsid w:val="001F456A"/>
    <w:rsid w:val="001F53FB"/>
    <w:rsid w:val="00201FC9"/>
    <w:rsid w:val="002027F9"/>
    <w:rsid w:val="002032B8"/>
    <w:rsid w:val="002045C1"/>
    <w:rsid w:val="00206162"/>
    <w:rsid w:val="002067F8"/>
    <w:rsid w:val="002069EF"/>
    <w:rsid w:val="002077EB"/>
    <w:rsid w:val="0021133C"/>
    <w:rsid w:val="00211D62"/>
    <w:rsid w:val="00213CDF"/>
    <w:rsid w:val="002150CE"/>
    <w:rsid w:val="00215361"/>
    <w:rsid w:val="0021556B"/>
    <w:rsid w:val="00217C88"/>
    <w:rsid w:val="00220F18"/>
    <w:rsid w:val="00221687"/>
    <w:rsid w:val="00222764"/>
    <w:rsid w:val="00224FC0"/>
    <w:rsid w:val="0022514F"/>
    <w:rsid w:val="00227514"/>
    <w:rsid w:val="00227E48"/>
    <w:rsid w:val="00232B75"/>
    <w:rsid w:val="00232D30"/>
    <w:rsid w:val="0023301B"/>
    <w:rsid w:val="00233958"/>
    <w:rsid w:val="002339F7"/>
    <w:rsid w:val="00234292"/>
    <w:rsid w:val="00234E8D"/>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577"/>
    <w:rsid w:val="0025369F"/>
    <w:rsid w:val="0025486D"/>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7C7"/>
    <w:rsid w:val="0027549D"/>
    <w:rsid w:val="00275A02"/>
    <w:rsid w:val="00276A09"/>
    <w:rsid w:val="0027765F"/>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469"/>
    <w:rsid w:val="002D158F"/>
    <w:rsid w:val="002D1C21"/>
    <w:rsid w:val="002D3B10"/>
    <w:rsid w:val="002D3FE2"/>
    <w:rsid w:val="002D4B01"/>
    <w:rsid w:val="002D4B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26C6"/>
    <w:rsid w:val="0030330D"/>
    <w:rsid w:val="0030352C"/>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75DE"/>
    <w:rsid w:val="00380F2B"/>
    <w:rsid w:val="00382CFC"/>
    <w:rsid w:val="00384746"/>
    <w:rsid w:val="00384BAB"/>
    <w:rsid w:val="00384CF4"/>
    <w:rsid w:val="00385C73"/>
    <w:rsid w:val="003870E5"/>
    <w:rsid w:val="00390A4A"/>
    <w:rsid w:val="00391EAB"/>
    <w:rsid w:val="00394555"/>
    <w:rsid w:val="00395513"/>
    <w:rsid w:val="00395904"/>
    <w:rsid w:val="0039596B"/>
    <w:rsid w:val="00395EB7"/>
    <w:rsid w:val="00396AD5"/>
    <w:rsid w:val="003A1044"/>
    <w:rsid w:val="003A1E71"/>
    <w:rsid w:val="003A3D31"/>
    <w:rsid w:val="003A47DD"/>
    <w:rsid w:val="003A51FF"/>
    <w:rsid w:val="003A5A77"/>
    <w:rsid w:val="003A5C63"/>
    <w:rsid w:val="003A6400"/>
    <w:rsid w:val="003A69DB"/>
    <w:rsid w:val="003A7522"/>
    <w:rsid w:val="003B0233"/>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5580"/>
    <w:rsid w:val="003D5AFF"/>
    <w:rsid w:val="003D604B"/>
    <w:rsid w:val="003D6DEF"/>
    <w:rsid w:val="003D727F"/>
    <w:rsid w:val="003E1A79"/>
    <w:rsid w:val="003E7E89"/>
    <w:rsid w:val="003F0A0C"/>
    <w:rsid w:val="003F0BA0"/>
    <w:rsid w:val="003F0DE4"/>
    <w:rsid w:val="003F15CD"/>
    <w:rsid w:val="003F2F0A"/>
    <w:rsid w:val="003F3574"/>
    <w:rsid w:val="003F5EF5"/>
    <w:rsid w:val="003F6DD9"/>
    <w:rsid w:val="003F6F5C"/>
    <w:rsid w:val="00401ABF"/>
    <w:rsid w:val="00403C7B"/>
    <w:rsid w:val="00405BC6"/>
    <w:rsid w:val="00405CB9"/>
    <w:rsid w:val="00406A83"/>
    <w:rsid w:val="00411204"/>
    <w:rsid w:val="00413389"/>
    <w:rsid w:val="004136F9"/>
    <w:rsid w:val="00413C86"/>
    <w:rsid w:val="00414D47"/>
    <w:rsid w:val="00416267"/>
    <w:rsid w:val="00416CA1"/>
    <w:rsid w:val="00416E42"/>
    <w:rsid w:val="00417180"/>
    <w:rsid w:val="00420F64"/>
    <w:rsid w:val="004217A2"/>
    <w:rsid w:val="00422F1A"/>
    <w:rsid w:val="00425C89"/>
    <w:rsid w:val="00427A52"/>
    <w:rsid w:val="00430802"/>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D5E"/>
    <w:rsid w:val="00461E06"/>
    <w:rsid w:val="00461F08"/>
    <w:rsid w:val="004620F3"/>
    <w:rsid w:val="00462197"/>
    <w:rsid w:val="0046467A"/>
    <w:rsid w:val="00467AA2"/>
    <w:rsid w:val="00470F02"/>
    <w:rsid w:val="00471134"/>
    <w:rsid w:val="00471FAE"/>
    <w:rsid w:val="0047257A"/>
    <w:rsid w:val="00472A21"/>
    <w:rsid w:val="004735E8"/>
    <w:rsid w:val="004739B9"/>
    <w:rsid w:val="00473CF6"/>
    <w:rsid w:val="00474592"/>
    <w:rsid w:val="00474A92"/>
    <w:rsid w:val="00474AD6"/>
    <w:rsid w:val="004756D5"/>
    <w:rsid w:val="004768D1"/>
    <w:rsid w:val="0047789D"/>
    <w:rsid w:val="004779DC"/>
    <w:rsid w:val="00480EDE"/>
    <w:rsid w:val="004817FF"/>
    <w:rsid w:val="0048355B"/>
    <w:rsid w:val="00484E08"/>
    <w:rsid w:val="00485153"/>
    <w:rsid w:val="00486E1B"/>
    <w:rsid w:val="00487EAE"/>
    <w:rsid w:val="00493490"/>
    <w:rsid w:val="0049386A"/>
    <w:rsid w:val="00494567"/>
    <w:rsid w:val="004954A1"/>
    <w:rsid w:val="00495D31"/>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502DC"/>
    <w:rsid w:val="005505B6"/>
    <w:rsid w:val="00551E99"/>
    <w:rsid w:val="00552660"/>
    <w:rsid w:val="00552C31"/>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19B1"/>
    <w:rsid w:val="005E19E1"/>
    <w:rsid w:val="005E1BFC"/>
    <w:rsid w:val="005E215C"/>
    <w:rsid w:val="005E3695"/>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E6C"/>
    <w:rsid w:val="0068459A"/>
    <w:rsid w:val="00684BDE"/>
    <w:rsid w:val="006863DF"/>
    <w:rsid w:val="0068665C"/>
    <w:rsid w:val="006868BF"/>
    <w:rsid w:val="00687B3F"/>
    <w:rsid w:val="00687FFA"/>
    <w:rsid w:val="0069085E"/>
    <w:rsid w:val="006911F8"/>
    <w:rsid w:val="006926E3"/>
    <w:rsid w:val="00692F14"/>
    <w:rsid w:val="00693101"/>
    <w:rsid w:val="00693AAA"/>
    <w:rsid w:val="0069458A"/>
    <w:rsid w:val="006948CA"/>
    <w:rsid w:val="00694DE2"/>
    <w:rsid w:val="00695082"/>
    <w:rsid w:val="00695F62"/>
    <w:rsid w:val="0069779F"/>
    <w:rsid w:val="006A0874"/>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8DF"/>
    <w:rsid w:val="006E23A8"/>
    <w:rsid w:val="006E25FD"/>
    <w:rsid w:val="006E307B"/>
    <w:rsid w:val="006E41B6"/>
    <w:rsid w:val="006E4EA4"/>
    <w:rsid w:val="006E5345"/>
    <w:rsid w:val="006E59D2"/>
    <w:rsid w:val="006E5DAD"/>
    <w:rsid w:val="006E619A"/>
    <w:rsid w:val="006E6B0C"/>
    <w:rsid w:val="006E729D"/>
    <w:rsid w:val="006E73C6"/>
    <w:rsid w:val="006E747A"/>
    <w:rsid w:val="006E7D10"/>
    <w:rsid w:val="006E7EA8"/>
    <w:rsid w:val="006F0396"/>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2271"/>
    <w:rsid w:val="00712E1C"/>
    <w:rsid w:val="00713AB2"/>
    <w:rsid w:val="00713E1D"/>
    <w:rsid w:val="0071582C"/>
    <w:rsid w:val="00716376"/>
    <w:rsid w:val="00716528"/>
    <w:rsid w:val="007201BC"/>
    <w:rsid w:val="00720910"/>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503D5"/>
    <w:rsid w:val="0075058B"/>
    <w:rsid w:val="00752892"/>
    <w:rsid w:val="00753F5A"/>
    <w:rsid w:val="007554BF"/>
    <w:rsid w:val="00755DC9"/>
    <w:rsid w:val="007561FB"/>
    <w:rsid w:val="00757116"/>
    <w:rsid w:val="0075718E"/>
    <w:rsid w:val="007576DC"/>
    <w:rsid w:val="0075786A"/>
    <w:rsid w:val="00760927"/>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C7C"/>
    <w:rsid w:val="00785777"/>
    <w:rsid w:val="00787A6F"/>
    <w:rsid w:val="00790699"/>
    <w:rsid w:val="00790D64"/>
    <w:rsid w:val="00791680"/>
    <w:rsid w:val="007921FA"/>
    <w:rsid w:val="00793C8E"/>
    <w:rsid w:val="00794ADE"/>
    <w:rsid w:val="00796F49"/>
    <w:rsid w:val="007A0CA6"/>
    <w:rsid w:val="007A1207"/>
    <w:rsid w:val="007A2449"/>
    <w:rsid w:val="007A2625"/>
    <w:rsid w:val="007A3E03"/>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12EB"/>
    <w:rsid w:val="007E3964"/>
    <w:rsid w:val="007E58C7"/>
    <w:rsid w:val="007E62BE"/>
    <w:rsid w:val="007E6636"/>
    <w:rsid w:val="007E6786"/>
    <w:rsid w:val="007E7249"/>
    <w:rsid w:val="007F1888"/>
    <w:rsid w:val="007F2046"/>
    <w:rsid w:val="007F244A"/>
    <w:rsid w:val="007F48DF"/>
    <w:rsid w:val="007F70FC"/>
    <w:rsid w:val="007F78E0"/>
    <w:rsid w:val="008017BD"/>
    <w:rsid w:val="00805200"/>
    <w:rsid w:val="0080632B"/>
    <w:rsid w:val="00806D88"/>
    <w:rsid w:val="00810332"/>
    <w:rsid w:val="008103A2"/>
    <w:rsid w:val="00811464"/>
    <w:rsid w:val="00811D52"/>
    <w:rsid w:val="008155DF"/>
    <w:rsid w:val="00815B9F"/>
    <w:rsid w:val="00816C7D"/>
    <w:rsid w:val="008208FF"/>
    <w:rsid w:val="00821BF8"/>
    <w:rsid w:val="00821E94"/>
    <w:rsid w:val="00822D3A"/>
    <w:rsid w:val="00822D9A"/>
    <w:rsid w:val="00825B5F"/>
    <w:rsid w:val="008267B0"/>
    <w:rsid w:val="00826CCE"/>
    <w:rsid w:val="0082765D"/>
    <w:rsid w:val="00830FC2"/>
    <w:rsid w:val="008320D1"/>
    <w:rsid w:val="00833762"/>
    <w:rsid w:val="00834A90"/>
    <w:rsid w:val="00835576"/>
    <w:rsid w:val="00836108"/>
    <w:rsid w:val="00836864"/>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408B"/>
    <w:rsid w:val="008751EF"/>
    <w:rsid w:val="00875661"/>
    <w:rsid w:val="008757AE"/>
    <w:rsid w:val="00875B1F"/>
    <w:rsid w:val="00876696"/>
    <w:rsid w:val="00876D02"/>
    <w:rsid w:val="0087717F"/>
    <w:rsid w:val="0087737B"/>
    <w:rsid w:val="0087778B"/>
    <w:rsid w:val="00880581"/>
    <w:rsid w:val="00882B06"/>
    <w:rsid w:val="008838A5"/>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538B"/>
    <w:rsid w:val="008F5CB0"/>
    <w:rsid w:val="008F5DDF"/>
    <w:rsid w:val="008F6067"/>
    <w:rsid w:val="008F719B"/>
    <w:rsid w:val="008F7BD1"/>
    <w:rsid w:val="009043E7"/>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53E"/>
    <w:rsid w:val="00931DEB"/>
    <w:rsid w:val="0094774D"/>
    <w:rsid w:val="00947866"/>
    <w:rsid w:val="00950AC3"/>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79C1"/>
    <w:rsid w:val="009B7A8A"/>
    <w:rsid w:val="009C0D6B"/>
    <w:rsid w:val="009C1273"/>
    <w:rsid w:val="009C1FA7"/>
    <w:rsid w:val="009C505B"/>
    <w:rsid w:val="009C661F"/>
    <w:rsid w:val="009C6872"/>
    <w:rsid w:val="009C6B1A"/>
    <w:rsid w:val="009C6FCF"/>
    <w:rsid w:val="009D1530"/>
    <w:rsid w:val="009D17AF"/>
    <w:rsid w:val="009D1EA5"/>
    <w:rsid w:val="009D3461"/>
    <w:rsid w:val="009D3E58"/>
    <w:rsid w:val="009D43B7"/>
    <w:rsid w:val="009D4702"/>
    <w:rsid w:val="009D4E7B"/>
    <w:rsid w:val="009D4F45"/>
    <w:rsid w:val="009D60FF"/>
    <w:rsid w:val="009D7306"/>
    <w:rsid w:val="009E1B88"/>
    <w:rsid w:val="009E1F2F"/>
    <w:rsid w:val="009E4493"/>
    <w:rsid w:val="009E5B89"/>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D1551"/>
    <w:rsid w:val="00AD18C4"/>
    <w:rsid w:val="00AD1CB0"/>
    <w:rsid w:val="00AD284C"/>
    <w:rsid w:val="00AD297E"/>
    <w:rsid w:val="00AD3CB3"/>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30403"/>
    <w:rsid w:val="00B31910"/>
    <w:rsid w:val="00B325AA"/>
    <w:rsid w:val="00B32EE8"/>
    <w:rsid w:val="00B35DA5"/>
    <w:rsid w:val="00B368ED"/>
    <w:rsid w:val="00B36F63"/>
    <w:rsid w:val="00B36F86"/>
    <w:rsid w:val="00B4043D"/>
    <w:rsid w:val="00B40DC3"/>
    <w:rsid w:val="00B42CFB"/>
    <w:rsid w:val="00B47EC1"/>
    <w:rsid w:val="00B52195"/>
    <w:rsid w:val="00B53A47"/>
    <w:rsid w:val="00B546F1"/>
    <w:rsid w:val="00B555CE"/>
    <w:rsid w:val="00B55812"/>
    <w:rsid w:val="00B57378"/>
    <w:rsid w:val="00B573F0"/>
    <w:rsid w:val="00B574B4"/>
    <w:rsid w:val="00B57816"/>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58E2"/>
    <w:rsid w:val="00BB68B3"/>
    <w:rsid w:val="00BB6B23"/>
    <w:rsid w:val="00BC03AD"/>
    <w:rsid w:val="00BC0F65"/>
    <w:rsid w:val="00BC1E1C"/>
    <w:rsid w:val="00BC20BB"/>
    <w:rsid w:val="00BC53D6"/>
    <w:rsid w:val="00BC755D"/>
    <w:rsid w:val="00BD0416"/>
    <w:rsid w:val="00BD6D79"/>
    <w:rsid w:val="00BE027D"/>
    <w:rsid w:val="00BE1317"/>
    <w:rsid w:val="00BE1C23"/>
    <w:rsid w:val="00BE2EC9"/>
    <w:rsid w:val="00BE3419"/>
    <w:rsid w:val="00BE3634"/>
    <w:rsid w:val="00BE794D"/>
    <w:rsid w:val="00BE7C97"/>
    <w:rsid w:val="00BF0FBC"/>
    <w:rsid w:val="00BF14D3"/>
    <w:rsid w:val="00BF1B8C"/>
    <w:rsid w:val="00BF1CC2"/>
    <w:rsid w:val="00BF2CDE"/>
    <w:rsid w:val="00BF3105"/>
    <w:rsid w:val="00BF3955"/>
    <w:rsid w:val="00BF4DAD"/>
    <w:rsid w:val="00BF6B46"/>
    <w:rsid w:val="00BF707C"/>
    <w:rsid w:val="00BF7089"/>
    <w:rsid w:val="00BF7534"/>
    <w:rsid w:val="00BF7E11"/>
    <w:rsid w:val="00BF7EDB"/>
    <w:rsid w:val="00C00D57"/>
    <w:rsid w:val="00C010E2"/>
    <w:rsid w:val="00C01B70"/>
    <w:rsid w:val="00C03BCA"/>
    <w:rsid w:val="00C04AF0"/>
    <w:rsid w:val="00C054EE"/>
    <w:rsid w:val="00C06C56"/>
    <w:rsid w:val="00C07366"/>
    <w:rsid w:val="00C0737D"/>
    <w:rsid w:val="00C122B1"/>
    <w:rsid w:val="00C1314D"/>
    <w:rsid w:val="00C13690"/>
    <w:rsid w:val="00C148F1"/>
    <w:rsid w:val="00C14ABE"/>
    <w:rsid w:val="00C1517E"/>
    <w:rsid w:val="00C153AA"/>
    <w:rsid w:val="00C15EA9"/>
    <w:rsid w:val="00C2163C"/>
    <w:rsid w:val="00C21F89"/>
    <w:rsid w:val="00C2374C"/>
    <w:rsid w:val="00C23AE3"/>
    <w:rsid w:val="00C260E9"/>
    <w:rsid w:val="00C2652D"/>
    <w:rsid w:val="00C31753"/>
    <w:rsid w:val="00C3422B"/>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37B2"/>
    <w:rsid w:val="00C737DE"/>
    <w:rsid w:val="00C74303"/>
    <w:rsid w:val="00C74664"/>
    <w:rsid w:val="00C763B5"/>
    <w:rsid w:val="00C76F11"/>
    <w:rsid w:val="00C774C4"/>
    <w:rsid w:val="00C812A2"/>
    <w:rsid w:val="00C82226"/>
    <w:rsid w:val="00C823F0"/>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337F"/>
    <w:rsid w:val="00CF38F1"/>
    <w:rsid w:val="00CF4030"/>
    <w:rsid w:val="00CF5B3A"/>
    <w:rsid w:val="00CF65EE"/>
    <w:rsid w:val="00CF7E6A"/>
    <w:rsid w:val="00D002DF"/>
    <w:rsid w:val="00D00DFD"/>
    <w:rsid w:val="00D0154E"/>
    <w:rsid w:val="00D01760"/>
    <w:rsid w:val="00D0178F"/>
    <w:rsid w:val="00D01DE0"/>
    <w:rsid w:val="00D03427"/>
    <w:rsid w:val="00D05875"/>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D00"/>
    <w:rsid w:val="00D756AF"/>
    <w:rsid w:val="00D75855"/>
    <w:rsid w:val="00D761A1"/>
    <w:rsid w:val="00D80711"/>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11DC"/>
    <w:rsid w:val="00DB137A"/>
    <w:rsid w:val="00DB23F8"/>
    <w:rsid w:val="00DB4310"/>
    <w:rsid w:val="00DB4892"/>
    <w:rsid w:val="00DB50F2"/>
    <w:rsid w:val="00DB6FA3"/>
    <w:rsid w:val="00DC0112"/>
    <w:rsid w:val="00DC030D"/>
    <w:rsid w:val="00DC047E"/>
    <w:rsid w:val="00DC09DA"/>
    <w:rsid w:val="00DC2FEF"/>
    <w:rsid w:val="00DC3102"/>
    <w:rsid w:val="00DC355B"/>
    <w:rsid w:val="00DC4287"/>
    <w:rsid w:val="00DC46F2"/>
    <w:rsid w:val="00DC4E27"/>
    <w:rsid w:val="00DC512E"/>
    <w:rsid w:val="00DC51BB"/>
    <w:rsid w:val="00DC5889"/>
    <w:rsid w:val="00DC7440"/>
    <w:rsid w:val="00DD0663"/>
    <w:rsid w:val="00DD5400"/>
    <w:rsid w:val="00DD6352"/>
    <w:rsid w:val="00DD7544"/>
    <w:rsid w:val="00DE13CD"/>
    <w:rsid w:val="00DE2A93"/>
    <w:rsid w:val="00DE2D64"/>
    <w:rsid w:val="00DE36CB"/>
    <w:rsid w:val="00DE7028"/>
    <w:rsid w:val="00DF0933"/>
    <w:rsid w:val="00DF1693"/>
    <w:rsid w:val="00DF2457"/>
    <w:rsid w:val="00DF4507"/>
    <w:rsid w:val="00DF6717"/>
    <w:rsid w:val="00DF73EF"/>
    <w:rsid w:val="00DF76C5"/>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3109C"/>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474"/>
    <w:rsid w:val="00EB5435"/>
    <w:rsid w:val="00EB5E0F"/>
    <w:rsid w:val="00EB5ED4"/>
    <w:rsid w:val="00EB7FB5"/>
    <w:rsid w:val="00EC2A7D"/>
    <w:rsid w:val="00EC2CDD"/>
    <w:rsid w:val="00EC2D09"/>
    <w:rsid w:val="00EC3C55"/>
    <w:rsid w:val="00EC447A"/>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33CD"/>
    <w:rsid w:val="00F549F2"/>
    <w:rsid w:val="00F5589B"/>
    <w:rsid w:val="00F5592B"/>
    <w:rsid w:val="00F55DFD"/>
    <w:rsid w:val="00F55FD8"/>
    <w:rsid w:val="00F56846"/>
    <w:rsid w:val="00F6170C"/>
    <w:rsid w:val="00F62AF6"/>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FE"/>
    <w:rsid w:val="00FD23DF"/>
    <w:rsid w:val="00FD32B5"/>
    <w:rsid w:val="00FD3431"/>
    <w:rsid w:val="00FD4CBD"/>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10" Type="http://schemas.openxmlformats.org/officeDocument/2006/relationships/image" Target="media/image2.emf"/><Relationship Id="rId11" Type="http://schemas.openxmlformats.org/officeDocument/2006/relationships/hyperlink" Target="http://docs.oasis-open.org/security/saml/Post2.0/sstc-saml-idp-discovery.pdf" TargetMode="External"/><Relationship Id="rId12" Type="http://schemas.openxmlformats.org/officeDocument/2006/relationships/hyperlink" Target="http://www.elegnamnden.se/download/18.77dbcb041438070e039d6f3/1391026648245/ELN-0606+-+Bilaga+Tekniskt+ramverk+-+Entity+Categories+for+the+Swedish+eID+Framework.pdf" TargetMode="External"/><Relationship Id="rId13" Type="http://schemas.openxmlformats.org/officeDocument/2006/relationships/hyperlink" Target="http://www.elegnamnden.se/download/18.77dbcb041438070e039d6f2/1391026646527/ELN-0605+-+Bilaga+Tekniskt+ramverk+-+Authentication+Context+Classes+for+Levels+of+Assurance+for+the+Swedish+eID+Framework.pdf" TargetMode="External"/><Relationship Id="rId14" Type="http://schemas.openxmlformats.org/officeDocument/2006/relationships/hyperlink" Target="http://www.elegnamnden.se/download/18.77dbcb041438070e039d6f1/1391026645646/ELN-0604+-+Bilaga+Tekniskt+ramverk+-+Attribute+Specification+for+the+Swedish+eID+Framework.pdf" TargetMode="External"/><Relationship Id="rId15" Type="http://schemas.openxmlformats.org/officeDocument/2006/relationships/hyperlink" Target="http://www.iana.org/assignments/language-subtag-registry/language-subtag-registry"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B9545-EF66-2243-BC1A-598FC21E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4954</Words>
  <Characters>28239</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33127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26</cp:revision>
  <cp:lastPrinted>2012-09-23T19:26:00Z</cp:lastPrinted>
  <dcterms:created xsi:type="dcterms:W3CDTF">2014-06-13T12:59:00Z</dcterms:created>
  <dcterms:modified xsi:type="dcterms:W3CDTF">2014-06-18T19:03:00Z</dcterms:modified>
</cp:coreProperties>
</file>