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PBS Overseas Speed &amp; Latency</w:t>
      </w:r>
    </w:p>
    <w:p>
      <w:pPr>
        <w:jc w:val="left"/>
      </w:pPr>
      <w:r>
        <w:rPr>
          <w:b/>
          <w:sz w:val="28"/>
        </w:rPr>
        <w:t>Before vs. After Report</w:t>
      </w:r>
    </w:p>
    <w:p>
      <w:r>
        <w:rPr>
          <w:b/>
        </w:rPr>
        <w:t xml:space="preserve">Date: </w:t>
      </w:r>
      <w:r>
        <w:t>2026-06-22</w:t>
      </w:r>
    </w:p>
    <w:p>
      <w:r>
        <w:rPr>
          <w:b/>
        </w:rPr>
        <w:t xml:space="preserve">Scope: </w:t>
      </w:r>
      <w:r>
        <w:t>pbs-server (Fastify, :3002) and pbs-portal (React / Vite / TanStack Query)</w:t>
      </w:r>
    </w:p>
    <w:p>
      <w:r>
        <w:rPr>
          <w:b/>
        </w:rPr>
        <w:t xml:space="preserve">Branch merged to main: </w:t>
      </w:r>
      <w:r>
        <w:t>origin/main @ 2a21a32a  (PBS version B8→9 / F4→5)</w:t>
      </w:r>
    </w:p>
    <w:p>
      <w:r>
        <w:rPr>
          <w:b/>
        </w:rPr>
        <w:t xml:space="preserve">Plan: </w:t>
      </w:r>
      <w:r>
        <w:t>docs/superpowers/plans/2026-06-22-0829-pbs-overseas-speed-latency.md</w:t>
      </w:r>
    </w:p>
    <w:p>
      <w:pPr>
        <w:pStyle w:val="Heading1"/>
      </w:pPr>
      <w:r>
        <w:rPr>
          <w:color w:val="1F4E79"/>
        </w:rPr>
        <w:t>1. Executive Summary</w:t>
      </w:r>
    </w:p>
    <w:p>
      <w:r>
        <w:t>Seven changes reduce the data transferred and the number of round trips PBS clients make, and add the instrumentation needed to keep latency in budget. Payload sizes for the heavy read endpoints drop by roughly 88–91% once gzip is enabled; the portal first load goes from three sequential requests to one combined request; and repeat loads of stable user data return an empty 304 instead of re-sending the whole body.</w:t>
      </w:r>
    </w:p>
    <w:p>
      <w:pPr>
        <w:pStyle w:val="ListBullet"/>
      </w:pPr>
      <w:r>
        <w:t>Response compression (@fastify/compress, gzip, ≥1 KB).</w:t>
      </w:r>
    </w:p>
    <w:p>
      <w:pPr>
        <w:pStyle w:val="ListBullet"/>
      </w:pPr>
      <w:r>
        <w:t>Low-cardinality per-route latency and response-size Prometheus metrics.</w:t>
      </w:r>
    </w:p>
    <w:p>
      <w:pPr>
        <w:pStyle w:val="ListBullet"/>
      </w:pPr>
      <w:r>
        <w:t>Private ETags on stable user GETs (bidding calendar, dashboard profile, lineholder summary).</w:t>
      </w:r>
    </w:p>
    <w:p>
      <w:pPr>
        <w:pStyle w:val="ListBullet"/>
      </w:pPr>
      <w:r>
        <w:t>Combined GET /api/portal/bootstrap (profile + calendar + summary in one call).</w:t>
      </w:r>
    </w:p>
    <w:p>
      <w:pPr>
        <w:pStyle w:val="ListBullet"/>
      </w:pPr>
      <w:r>
        <w:t>Portal prefetch of the three shared workbench queries at layout entry.</w:t>
      </w:r>
    </w:p>
    <w:p>
      <w:pPr>
        <w:pStyle w:val="ListBullet"/>
      </w:pPr>
      <w:r>
        <w:t>Performance baseline extended to record response bytes + the bootstrap endpoint.</w:t>
      </w:r>
    </w:p>
    <w:p>
      <w:pPr>
        <w:pStyle w:val="ListBullet"/>
      </w:pPr>
      <w:r>
        <w:t>Overseas static-asset cache-header guidance documented for deployment.</w:t>
      </w:r>
    </w:p>
    <w:p>
      <w:pPr>
        <w:pStyle w:val="Heading1"/>
      </w:pPr>
      <w:r>
        <w:rPr>
          <w:color w:val="1F4E79"/>
        </w:rPr>
        <w:t>2. Measurement Method</w:t>
      </w:r>
    </w:p>
    <w:p>
      <w:r>
        <w:t>The byte and round-trip figures below are REAL measurements taken against the shipped server code, executed in-process via fastify.inject with realistically sized representative payloads (a 30-day bidding calendar with ~40 events and a lineholder summary with 40 bid items). They exercise the actual compression plugin, the private-ETag helper, and the /portal/bootstrap route.</w:t>
      </w:r>
    </w:p>
    <w:p>
      <w:r>
        <w:rPr>
          <w:i/>
          <w:color w:val="606060"/>
          <w:sz w:val="18"/>
        </w:rPr>
        <w:t>Latency in milliseconds over a real overseas link was NOT measured from this environment. The ms figures in Section 6 are an explicit model (round trips × assumed RTT + transfer time at an assumed throughput) and are labelled as estimates. The reproduction commands in the Appendix produce real overseas ms.</w:t>
      </w:r>
    </w:p>
    <w:p>
      <w:pPr>
        <w:pStyle w:val="Heading1"/>
      </w:pPr>
      <w:r>
        <w:rPr>
          <w:color w:val="1F4E79"/>
        </w:rPr>
        <w:t>3. Payload Size — Before vs. After Compression</w:t>
      </w:r>
    </w:p>
    <w:p>
      <w:r>
        <w:t>“Before” is the uncompressed JSON body the server previously returned. “After” is the gzip-encoded body now returned when the client sends Accept-Encoding: gzip. Responses under the 1 KB threshold are intentionally left uncompressed.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448"/>
          </w:tcPr>
          <w:p>
            <w:r/>
            <w:r>
              <w:rPr>
                <w:b/>
                <w:sz w:val="19"/>
              </w:rPr>
              <w:t>Endpoint</w:t>
            </w:r>
          </w:p>
        </w:tc>
        <w:tc>
          <w:tcPr>
            <w:tcW w:type="dxa" w:w="2160"/>
          </w:tcPr>
          <w:p>
            <w:r/>
            <w:r>
              <w:rPr>
                <w:b/>
                <w:sz w:val="19"/>
              </w:rPr>
              <w:t>Before (raw)</w:t>
            </w:r>
          </w:p>
        </w:tc>
        <w:tc>
          <w:tcPr>
            <w:tcW w:type="dxa" w:w="2160"/>
          </w:tcPr>
          <w:p>
            <w:r/>
            <w:r>
              <w:rPr>
                <w:b/>
                <w:sz w:val="19"/>
              </w:rPr>
              <w:t>After (gzip)</w:t>
            </w:r>
          </w:p>
        </w:tc>
        <w:tc>
          <w:tcPr>
            <w:tcW w:type="dxa" w:w="1440"/>
          </w:tcPr>
          <w:p>
            <w:r/>
            <w:r>
              <w:rPr>
                <w:b/>
                <w:sz w:val="19"/>
              </w:rPr>
              <w:t>Reduction</w:t>
            </w:r>
          </w:p>
        </w:tc>
        <w:tc>
          <w:tcPr>
            <w:tcW w:type="dxa" w:w="1296"/>
          </w:tcPr>
          <w:p>
            <w:r/>
            <w:r>
              <w:rPr>
                <w:b/>
                <w:sz w:val="19"/>
              </w:rPr>
              <w:t>Encoding</w:t>
            </w:r>
          </w:p>
        </w:tc>
      </w:tr>
      <w:tr>
        <w:tc>
          <w:tcPr>
            <w:tcW w:type="dxa" w:w="2448"/>
          </w:tcPr>
          <w:p>
            <w:r/>
            <w:r>
              <w:rPr>
                <w:sz w:val="19"/>
              </w:rPr>
              <w:t>Bidding calendar</w:t>
            </w:r>
          </w:p>
        </w:tc>
        <w:tc>
          <w:tcPr>
            <w:tcW w:type="dxa" w:w="2160"/>
          </w:tcPr>
          <w:p>
            <w:r/>
            <w:r>
              <w:rPr>
                <w:sz w:val="19"/>
              </w:rPr>
              <w:t>9,772 B (9.5 KB)</w:t>
            </w:r>
          </w:p>
        </w:tc>
        <w:tc>
          <w:tcPr>
            <w:tcW w:type="dxa" w:w="2160"/>
          </w:tcPr>
          <w:p>
            <w:r/>
            <w:r>
              <w:rPr>
                <w:sz w:val="19"/>
              </w:rPr>
              <w:t>1,183 B (1.2 KB)</w:t>
            </w:r>
          </w:p>
        </w:tc>
        <w:tc>
          <w:tcPr>
            <w:tcW w:type="dxa" w:w="1440"/>
          </w:tcPr>
          <w:p>
            <w:r/>
            <w:r>
              <w:rPr>
                <w:sz w:val="19"/>
              </w:rPr>
              <w:t>−88%</w:t>
            </w:r>
          </w:p>
        </w:tc>
        <w:tc>
          <w:tcPr>
            <w:tcW w:type="dxa" w:w="1296"/>
          </w:tcPr>
          <w:p>
            <w:r/>
            <w:r>
              <w:rPr>
                <w:sz w:val="19"/>
              </w:rPr>
              <w:t>gzip</w:t>
            </w:r>
          </w:p>
        </w:tc>
      </w:tr>
      <w:tr>
        <w:tc>
          <w:tcPr>
            <w:tcW w:type="dxa" w:w="2448"/>
          </w:tcPr>
          <w:p>
            <w:r/>
            <w:r>
              <w:rPr>
                <w:sz w:val="19"/>
              </w:rPr>
              <w:t>Dashboard profile</w:t>
            </w:r>
          </w:p>
        </w:tc>
        <w:tc>
          <w:tcPr>
            <w:tcW w:type="dxa" w:w="2160"/>
          </w:tcPr>
          <w:p>
            <w:r/>
            <w:r>
              <w:rPr>
                <w:sz w:val="19"/>
              </w:rPr>
              <w:t>281 B</w:t>
            </w:r>
          </w:p>
        </w:tc>
        <w:tc>
          <w:tcPr>
            <w:tcW w:type="dxa" w:w="2160"/>
          </w:tcPr>
          <w:p>
            <w:r/>
            <w:r>
              <w:rPr>
                <w:sz w:val="19"/>
              </w:rPr>
              <w:t>281 B</w:t>
            </w:r>
          </w:p>
        </w:tc>
        <w:tc>
          <w:tcPr>
            <w:tcW w:type="dxa" w:w="1440"/>
          </w:tcPr>
          <w:p>
            <w:r/>
            <w:r>
              <w:rPr>
                <w:sz w:val="19"/>
              </w:rPr>
              <w:t>—</w:t>
            </w:r>
          </w:p>
        </w:tc>
        <w:tc>
          <w:tcPr>
            <w:tcW w:type="dxa" w:w="1296"/>
          </w:tcPr>
          <w:p>
            <w:r/>
            <w:r>
              <w:rPr>
                <w:sz w:val="19"/>
              </w:rPr>
              <w:t>identity</w:t>
            </w:r>
          </w:p>
        </w:tc>
      </w:tr>
      <w:tr>
        <w:tc>
          <w:tcPr>
            <w:tcW w:type="dxa" w:w="2448"/>
          </w:tcPr>
          <w:p>
            <w:r/>
            <w:r>
              <w:rPr>
                <w:sz w:val="19"/>
              </w:rPr>
              <w:t>Lineholder summary</w:t>
            </w:r>
          </w:p>
        </w:tc>
        <w:tc>
          <w:tcPr>
            <w:tcW w:type="dxa" w:w="2160"/>
          </w:tcPr>
          <w:p>
            <w:r/>
            <w:r>
              <w:rPr>
                <w:sz w:val="19"/>
              </w:rPr>
              <w:t>15,939 B (15.6 KB)</w:t>
            </w:r>
          </w:p>
        </w:tc>
        <w:tc>
          <w:tcPr>
            <w:tcW w:type="dxa" w:w="2160"/>
          </w:tcPr>
          <w:p>
            <w:r/>
            <w:r>
              <w:rPr>
                <w:sz w:val="19"/>
              </w:rPr>
              <w:t>1,445 B (1.4 KB)</w:t>
            </w:r>
          </w:p>
        </w:tc>
        <w:tc>
          <w:tcPr>
            <w:tcW w:type="dxa" w:w="1440"/>
          </w:tcPr>
          <w:p>
            <w:r/>
            <w:r>
              <w:rPr>
                <w:sz w:val="19"/>
              </w:rPr>
              <w:t>−91%</w:t>
            </w:r>
          </w:p>
        </w:tc>
        <w:tc>
          <w:tcPr>
            <w:tcW w:type="dxa" w:w="1296"/>
          </w:tcPr>
          <w:p>
            <w:r/>
            <w:r>
              <w:rPr>
                <w:sz w:val="19"/>
              </w:rPr>
              <w:t>gzip</w:t>
            </w:r>
          </w:p>
        </w:tc>
      </w:tr>
      <w:tr>
        <w:tc>
          <w:tcPr>
            <w:tcW w:type="dxa" w:w="2448"/>
          </w:tcPr>
          <w:p>
            <w:r/>
            <w:r>
              <w:rPr>
                <w:sz w:val="19"/>
              </w:rPr>
              <w:t>Portal bootstrap</w:t>
            </w:r>
          </w:p>
        </w:tc>
        <w:tc>
          <w:tcPr>
            <w:tcW w:type="dxa" w:w="2160"/>
          </w:tcPr>
          <w:p>
            <w:r/>
            <w:r>
              <w:rPr>
                <w:sz w:val="19"/>
              </w:rPr>
              <w:t>25,974 B (25.4 KB)</w:t>
            </w:r>
          </w:p>
        </w:tc>
        <w:tc>
          <w:tcPr>
            <w:tcW w:type="dxa" w:w="2160"/>
          </w:tcPr>
          <w:p>
            <w:r/>
            <w:r>
              <w:rPr>
                <w:sz w:val="19"/>
              </w:rPr>
              <w:t>2,677 B (2.6 KB)</w:t>
            </w:r>
          </w:p>
        </w:tc>
        <w:tc>
          <w:tcPr>
            <w:tcW w:type="dxa" w:w="1440"/>
          </w:tcPr>
          <w:p>
            <w:r/>
            <w:r>
              <w:rPr>
                <w:sz w:val="19"/>
              </w:rPr>
              <w:t>−90%</w:t>
            </w:r>
          </w:p>
        </w:tc>
        <w:tc>
          <w:tcPr>
            <w:tcW w:type="dxa" w:w="1296"/>
          </w:tcPr>
          <w:p>
            <w:r/>
            <w:r>
              <w:rPr>
                <w:sz w:val="19"/>
              </w:rPr>
              <w:t>gzip</w:t>
            </w:r>
          </w:p>
        </w:tc>
      </w:tr>
    </w:tbl>
    <w:p>
      <w:r>
        <w:rPr>
          <w:i/>
          <w:color w:val="606060"/>
          <w:sz w:val="18"/>
        </w:rPr>
        <w:t>Dashboard profile (281 B) is below the 1 KB threshold, so it is sent uncompressed by design.</w:t>
      </w:r>
    </w:p>
    <w:p>
      <w:pPr>
        <w:pStyle w:val="Heading1"/>
      </w:pPr>
      <w:r>
        <w:rPr>
          <w:color w:val="1F4E79"/>
        </w:rPr>
        <w:t>4. Portal First Load — Round Trips</w:t>
      </w:r>
    </w:p>
    <w:p>
      <w:r>
        <w:t>Before, the workbench fetched the profile, bidding calendar, and lineholder summary as three separate requests. After, GET /api/portal/bootstrap returns all three in a single response. Bytes are similar (a single gzip stream over the combined JSON is marginally smaller), but the round trips — the dominant cost over a high-latency overseas link — drop from three to one.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tcPr>
          <w:p>
            <w:r/>
            <w:r>
              <w:rPr>
                <w:b/>
                <w:sz w:val="19"/>
              </w:rPr>
              <w:t>Metric</w:t>
            </w:r>
          </w:p>
        </w:tc>
        <w:tc>
          <w:tcPr>
            <w:tcW w:type="dxa" w:w="2304"/>
          </w:tcPr>
          <w:p>
            <w:r/>
            <w:r>
              <w:rPr>
                <w:b/>
                <w:sz w:val="19"/>
              </w:rPr>
              <w:t>Before</w:t>
            </w:r>
          </w:p>
        </w:tc>
        <w:tc>
          <w:tcPr>
            <w:tcW w:type="dxa" w:w="2304"/>
          </w:tcPr>
          <w:p>
            <w:r/>
            <w:r>
              <w:rPr>
                <w:b/>
                <w:sz w:val="19"/>
              </w:rPr>
              <w:t>After</w:t>
            </w:r>
          </w:p>
        </w:tc>
        <w:tc>
          <w:tcPr>
            <w:tcW w:type="dxa" w:w="2304"/>
          </w:tcPr>
          <w:p>
            <w:r/>
            <w:r>
              <w:rPr>
                <w:b/>
                <w:sz w:val="19"/>
              </w:rPr>
              <w:t>Delta</w:t>
            </w:r>
          </w:p>
        </w:tc>
      </w:tr>
      <w:tr>
        <w:tc>
          <w:tcPr>
            <w:tcW w:type="dxa" w:w="3168"/>
          </w:tcPr>
          <w:p>
            <w:r/>
            <w:r>
              <w:rPr>
                <w:sz w:val="19"/>
              </w:rPr>
              <w:t>Requests (round trips)</w:t>
            </w:r>
          </w:p>
        </w:tc>
        <w:tc>
          <w:tcPr>
            <w:tcW w:type="dxa" w:w="2304"/>
          </w:tcPr>
          <w:p>
            <w:r/>
            <w:r>
              <w:rPr>
                <w:sz w:val="19"/>
              </w:rPr>
              <w:t>3</w:t>
            </w:r>
          </w:p>
        </w:tc>
        <w:tc>
          <w:tcPr>
            <w:tcW w:type="dxa" w:w="2304"/>
          </w:tcPr>
          <w:p>
            <w:r/>
            <w:r>
              <w:rPr>
                <w:sz w:val="19"/>
              </w:rPr>
              <w:t>1</w:t>
            </w:r>
          </w:p>
        </w:tc>
        <w:tc>
          <w:tcPr>
            <w:tcW w:type="dxa" w:w="2304"/>
          </w:tcPr>
          <w:p>
            <w:r/>
            <w:r>
              <w:rPr>
                <w:sz w:val="19"/>
              </w:rPr>
              <w:t>−2 round trips</w:t>
            </w:r>
          </w:p>
        </w:tc>
      </w:tr>
      <w:tr>
        <w:tc>
          <w:tcPr>
            <w:tcW w:type="dxa" w:w="3168"/>
          </w:tcPr>
          <w:p>
            <w:r/>
            <w:r>
              <w:rPr>
                <w:sz w:val="19"/>
              </w:rPr>
              <w:t>Transferred bytes (gzip)</w:t>
            </w:r>
          </w:p>
        </w:tc>
        <w:tc>
          <w:tcPr>
            <w:tcW w:type="dxa" w:w="2304"/>
          </w:tcPr>
          <w:p>
            <w:r/>
            <w:r>
              <w:rPr>
                <w:sz w:val="19"/>
              </w:rPr>
              <w:t>2,909 B (2.8 KB)</w:t>
            </w:r>
          </w:p>
        </w:tc>
        <w:tc>
          <w:tcPr>
            <w:tcW w:type="dxa" w:w="2304"/>
          </w:tcPr>
          <w:p>
            <w:r/>
            <w:r>
              <w:rPr>
                <w:sz w:val="19"/>
              </w:rPr>
              <w:t>2,677 B (2.6 KB)</w:t>
            </w:r>
          </w:p>
        </w:tc>
        <w:tc>
          <w:tcPr>
            <w:tcW w:type="dxa" w:w="2304"/>
          </w:tcPr>
          <w:p>
            <w:r/>
            <w:r>
              <w:rPr>
                <w:sz w:val="19"/>
              </w:rPr>
              <w:t>−232 B</w:t>
            </w:r>
          </w:p>
        </w:tc>
      </w:tr>
    </w:tbl>
    <w:p>
      <w:pPr>
        <w:pStyle w:val="Heading1"/>
      </w:pPr>
      <w:r>
        <w:rPr>
          <w:color w:val="1F4E79"/>
        </w:rPr>
        <w:t>5. Repeat Load — ETag Revalidation</w:t>
      </w:r>
    </w:p>
    <w:p>
      <w:r>
        <w:t>With private ETags, an unchanged stable GET returns 304 Not Modified with an empty body on the next load, instead of re-sending the whole payload.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tcPr>
          <w:p>
            <w:r/>
            <w:r>
              <w:rPr>
                <w:b/>
                <w:sz w:val="19"/>
              </w:rPr>
              <w:t>Endpoint</w:t>
            </w:r>
          </w:p>
        </w:tc>
        <w:tc>
          <w:tcPr>
            <w:tcW w:type="dxa" w:w="2448"/>
          </w:tcPr>
          <w:p>
            <w:r/>
            <w:r>
              <w:rPr>
                <w:b/>
                <w:sz w:val="19"/>
              </w:rPr>
              <w:t>First load (200, gzip)</w:t>
            </w:r>
          </w:p>
        </w:tc>
        <w:tc>
          <w:tcPr>
            <w:tcW w:type="dxa" w:w="2160"/>
          </w:tcPr>
          <w:p>
            <w:r/>
            <w:r>
              <w:rPr>
                <w:b/>
                <w:sz w:val="19"/>
              </w:rPr>
              <w:t>Repeat load</w:t>
            </w:r>
          </w:p>
        </w:tc>
        <w:tc>
          <w:tcPr>
            <w:tcW w:type="dxa" w:w="2304"/>
          </w:tcPr>
          <w:p>
            <w:r/>
            <w:r>
              <w:rPr>
                <w:b/>
                <w:sz w:val="19"/>
              </w:rPr>
              <w:t>Body saved</w:t>
            </w:r>
          </w:p>
        </w:tc>
      </w:tr>
      <w:tr>
        <w:tc>
          <w:tcPr>
            <w:tcW w:type="dxa" w:w="2448"/>
          </w:tcPr>
          <w:p>
            <w:r/>
            <w:r>
              <w:rPr>
                <w:sz w:val="19"/>
              </w:rPr>
              <w:t>Bidding calendar</w:t>
            </w:r>
          </w:p>
        </w:tc>
        <w:tc>
          <w:tcPr>
            <w:tcW w:type="dxa" w:w="2448"/>
          </w:tcPr>
          <w:p>
            <w:r/>
            <w:r>
              <w:rPr>
                <w:sz w:val="19"/>
              </w:rPr>
              <w:t>1,183 B (1.2 KB)</w:t>
            </w:r>
          </w:p>
        </w:tc>
        <w:tc>
          <w:tcPr>
            <w:tcW w:type="dxa" w:w="2160"/>
          </w:tcPr>
          <w:p>
            <w:r/>
            <w:r>
              <w:rPr>
                <w:sz w:val="19"/>
              </w:rPr>
              <w:t>304 / 0 B</w:t>
            </w:r>
          </w:p>
        </w:tc>
        <w:tc>
          <w:tcPr>
            <w:tcW w:type="dxa" w:w="2304"/>
          </w:tcPr>
          <w:p>
            <w:r/>
            <w:r>
              <w:rPr>
                <w:sz w:val="19"/>
              </w:rPr>
              <w:t>−1,183 B (100%)</w:t>
            </w:r>
          </w:p>
        </w:tc>
      </w:tr>
      <w:tr>
        <w:tc>
          <w:tcPr>
            <w:tcW w:type="dxa" w:w="2448"/>
          </w:tcPr>
          <w:p>
            <w:r/>
            <w:r>
              <w:rPr>
                <w:sz w:val="19"/>
              </w:rPr>
              <w:t>Dashboard profile</w:t>
            </w:r>
          </w:p>
        </w:tc>
        <w:tc>
          <w:tcPr>
            <w:tcW w:type="dxa" w:w="2448"/>
          </w:tcPr>
          <w:p>
            <w:r/>
            <w:r>
              <w:rPr>
                <w:sz w:val="19"/>
              </w:rPr>
              <w:t>281 B</w:t>
            </w:r>
          </w:p>
        </w:tc>
        <w:tc>
          <w:tcPr>
            <w:tcW w:type="dxa" w:w="2160"/>
          </w:tcPr>
          <w:p>
            <w:r/>
            <w:r>
              <w:rPr>
                <w:sz w:val="19"/>
              </w:rPr>
              <w:t>304 / 0 B</w:t>
            </w:r>
          </w:p>
        </w:tc>
        <w:tc>
          <w:tcPr>
            <w:tcW w:type="dxa" w:w="2304"/>
          </w:tcPr>
          <w:p>
            <w:r/>
            <w:r>
              <w:rPr>
                <w:sz w:val="19"/>
              </w:rPr>
              <w:t>−281 B (100%)</w:t>
            </w:r>
          </w:p>
        </w:tc>
      </w:tr>
      <w:tr>
        <w:tc>
          <w:tcPr>
            <w:tcW w:type="dxa" w:w="2448"/>
          </w:tcPr>
          <w:p>
            <w:r/>
            <w:r>
              <w:rPr>
                <w:sz w:val="19"/>
              </w:rPr>
              <w:t>Lineholder summary</w:t>
            </w:r>
          </w:p>
        </w:tc>
        <w:tc>
          <w:tcPr>
            <w:tcW w:type="dxa" w:w="2448"/>
          </w:tcPr>
          <w:p>
            <w:r/>
            <w:r>
              <w:rPr>
                <w:sz w:val="19"/>
              </w:rPr>
              <w:t>1,445 B (1.4 KB)</w:t>
            </w:r>
          </w:p>
        </w:tc>
        <w:tc>
          <w:tcPr>
            <w:tcW w:type="dxa" w:w="2160"/>
          </w:tcPr>
          <w:p>
            <w:r/>
            <w:r>
              <w:rPr>
                <w:sz w:val="19"/>
              </w:rPr>
              <w:t>304 / 0 B</w:t>
            </w:r>
          </w:p>
        </w:tc>
        <w:tc>
          <w:tcPr>
            <w:tcW w:type="dxa" w:w="2304"/>
          </w:tcPr>
          <w:p>
            <w:r/>
            <w:r>
              <w:rPr>
                <w:sz w:val="19"/>
              </w:rPr>
              <w:t>−1,445 B (100%)</w:t>
            </w:r>
          </w:p>
        </w:tc>
      </w:tr>
      <w:tr>
        <w:tc>
          <w:tcPr>
            <w:tcW w:type="dxa" w:w="2448"/>
          </w:tcPr>
          <w:p>
            <w:r/>
            <w:r>
              <w:rPr>
                <w:sz w:val="19"/>
              </w:rPr>
              <w:t>Portal bootstrap</w:t>
            </w:r>
          </w:p>
        </w:tc>
        <w:tc>
          <w:tcPr>
            <w:tcW w:type="dxa" w:w="2448"/>
          </w:tcPr>
          <w:p>
            <w:r/>
            <w:r>
              <w:rPr>
                <w:sz w:val="19"/>
              </w:rPr>
              <w:t>2,677 B (2.6 KB)</w:t>
            </w:r>
          </w:p>
        </w:tc>
        <w:tc>
          <w:tcPr>
            <w:tcW w:type="dxa" w:w="2160"/>
          </w:tcPr>
          <w:p>
            <w:r/>
            <w:r>
              <w:rPr>
                <w:sz w:val="19"/>
              </w:rPr>
              <w:t>304 / 0 B</w:t>
            </w:r>
          </w:p>
        </w:tc>
        <w:tc>
          <w:tcPr>
            <w:tcW w:type="dxa" w:w="2304"/>
          </w:tcPr>
          <w:p>
            <w:r/>
            <w:r>
              <w:rPr>
                <w:sz w:val="19"/>
              </w:rPr>
              <w:t>−2,677 B (100%)</w:t>
            </w:r>
          </w:p>
        </w:tc>
      </w:tr>
    </w:tbl>
    <w:p>
      <w:pPr>
        <w:pStyle w:val="Heading1"/>
      </w:pPr>
      <w:r>
        <w:rPr>
          <w:color w:val="1F4E79"/>
        </w:rPr>
        <w:t>6. Estimated Perceived Latency (model)</w:t>
      </w:r>
    </w:p>
    <w:p>
      <w:r>
        <w:t>Estimates only. Assumptions: RTT = 200 ms (representative trans-Pacific), effective throughput ≈ 8 Mbps. Connection reuse (HTTP/2 keep-alive) is assumed, so each request costs one RTT plus its transfer time; first-load requests are treated as sequential (a fetch waterfall).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744"/>
          </w:tcPr>
          <w:p>
            <w:r/>
            <w:r>
              <w:rPr>
                <w:b/>
                <w:sz w:val="19"/>
              </w:rPr>
              <w:t>First-load scenario</w:t>
            </w:r>
          </w:p>
        </w:tc>
        <w:tc>
          <w:tcPr>
            <w:tcW w:type="dxa" w:w="1728"/>
          </w:tcPr>
          <w:p>
            <w:r/>
            <w:r>
              <w:rPr>
                <w:b/>
                <w:sz w:val="19"/>
              </w:rPr>
              <w:t>Round trips</w:t>
            </w:r>
          </w:p>
        </w:tc>
        <w:tc>
          <w:tcPr>
            <w:tcW w:type="dxa" w:w="2016"/>
          </w:tcPr>
          <w:p>
            <w:r/>
            <w:r>
              <w:rPr>
                <w:b/>
                <w:sz w:val="19"/>
              </w:rPr>
              <w:t>Transfer</w:t>
            </w:r>
          </w:p>
        </w:tc>
        <w:tc>
          <w:tcPr>
            <w:tcW w:type="dxa" w:w="2016"/>
          </w:tcPr>
          <w:p>
            <w:r/>
            <w:r>
              <w:rPr>
                <w:b/>
                <w:sz w:val="19"/>
              </w:rPr>
              <w:t>Est. total</w:t>
            </w:r>
          </w:p>
        </w:tc>
      </w:tr>
      <w:tr>
        <w:tc>
          <w:tcPr>
            <w:tcW w:type="dxa" w:w="3744"/>
          </w:tcPr>
          <w:p>
            <w:r/>
            <w:r>
              <w:rPr>
                <w:sz w:val="19"/>
              </w:rPr>
              <w:t>Before (3 requests, uncompressed)</w:t>
            </w:r>
          </w:p>
        </w:tc>
        <w:tc>
          <w:tcPr>
            <w:tcW w:type="dxa" w:w="1728"/>
          </w:tcPr>
          <w:p>
            <w:r/>
            <w:r>
              <w:rPr>
                <w:sz w:val="19"/>
              </w:rPr>
              <w:t>3</w:t>
            </w:r>
          </w:p>
        </w:tc>
        <w:tc>
          <w:tcPr>
            <w:tcW w:type="dxa" w:w="2016"/>
          </w:tcPr>
          <w:p>
            <w:r/>
            <w:r>
              <w:rPr>
                <w:sz w:val="19"/>
              </w:rPr>
              <w:t>~26 ms</w:t>
            </w:r>
          </w:p>
        </w:tc>
        <w:tc>
          <w:tcPr>
            <w:tcW w:type="dxa" w:w="2016"/>
          </w:tcPr>
          <w:p>
            <w:r/>
            <w:r>
              <w:rPr>
                <w:sz w:val="19"/>
              </w:rPr>
              <w:t>~626 ms</w:t>
            </w:r>
          </w:p>
        </w:tc>
      </w:tr>
      <w:tr>
        <w:tc>
          <w:tcPr>
            <w:tcW w:type="dxa" w:w="3744"/>
          </w:tcPr>
          <w:p>
            <w:r/>
            <w:r>
              <w:rPr>
                <w:sz w:val="19"/>
              </w:rPr>
              <w:t>After (1 bootstrap, gzip)</w:t>
            </w:r>
          </w:p>
        </w:tc>
        <w:tc>
          <w:tcPr>
            <w:tcW w:type="dxa" w:w="1728"/>
          </w:tcPr>
          <w:p>
            <w:r/>
            <w:r>
              <w:rPr>
                <w:sz w:val="19"/>
              </w:rPr>
              <w:t>1</w:t>
            </w:r>
          </w:p>
        </w:tc>
        <w:tc>
          <w:tcPr>
            <w:tcW w:type="dxa" w:w="2016"/>
          </w:tcPr>
          <w:p>
            <w:r/>
            <w:r>
              <w:rPr>
                <w:sz w:val="19"/>
              </w:rPr>
              <w:t>~3 ms</w:t>
            </w:r>
          </w:p>
        </w:tc>
        <w:tc>
          <w:tcPr>
            <w:tcW w:type="dxa" w:w="2016"/>
          </w:tcPr>
          <w:p>
            <w:r/>
            <w:r>
              <w:rPr>
                <w:sz w:val="19"/>
              </w:rPr>
              <w:t>~203 ms</w:t>
            </w:r>
          </w:p>
        </w:tc>
      </w:tr>
    </w:tbl>
    <w:p>
      <w:r>
        <w:rPr>
          <w:b/>
          <w:color w:val="1E7A34"/>
        </w:rPr>
        <w:t>Modelled first-load improvement: ~423 ms (68% faster).</w:t>
      </w:r>
    </w:p>
    <w:p/>
    <w:tbl>
      <w:tblPr>
        <w:tblStyle w:val="LightGrid-Accent1"/>
        <w:tblW w:type="auto" w:w="0"/>
        <w:jc w:val="center"/>
        <w:tblLook w:firstColumn="1" w:firstRow="1" w:lastColumn="0" w:lastRow="0" w:noHBand="0" w:noVBand="1" w:val="04A0"/>
      </w:tblPr>
      <w:tblGrid>
        <w:gridCol w:w="2880"/>
        <w:gridCol w:w="2880"/>
        <w:gridCol w:w="2880"/>
      </w:tblGrid>
      <w:tr>
        <w:tc>
          <w:tcPr>
            <w:tcW w:type="dxa" w:w="4032"/>
          </w:tcPr>
          <w:p>
            <w:r/>
            <w:r>
              <w:rPr>
                <w:b/>
                <w:sz w:val="19"/>
              </w:rPr>
              <w:t>Repeat-load scenario (bootstrap)</w:t>
            </w:r>
          </w:p>
        </w:tc>
        <w:tc>
          <w:tcPr>
            <w:tcW w:type="dxa" w:w="2160"/>
          </w:tcPr>
          <w:p>
            <w:r/>
            <w:r>
              <w:rPr>
                <w:b/>
                <w:sz w:val="19"/>
              </w:rPr>
              <w:t>Transfer</w:t>
            </w:r>
          </w:p>
        </w:tc>
        <w:tc>
          <w:tcPr>
            <w:tcW w:type="dxa" w:w="2160"/>
          </w:tcPr>
          <w:p>
            <w:r/>
            <w:r>
              <w:rPr>
                <w:b/>
                <w:sz w:val="19"/>
              </w:rPr>
              <w:t>Est. total</w:t>
            </w:r>
          </w:p>
        </w:tc>
      </w:tr>
      <w:tr>
        <w:tc>
          <w:tcPr>
            <w:tcW w:type="dxa" w:w="4032"/>
          </w:tcPr>
          <w:p>
            <w:r/>
            <w:r>
              <w:rPr>
                <w:sz w:val="19"/>
              </w:rPr>
              <w:t>Before (re-send full gzip body)</w:t>
            </w:r>
          </w:p>
        </w:tc>
        <w:tc>
          <w:tcPr>
            <w:tcW w:type="dxa" w:w="2160"/>
          </w:tcPr>
          <w:p>
            <w:r/>
            <w:r>
              <w:rPr>
                <w:sz w:val="19"/>
              </w:rPr>
              <w:t>~3 ms</w:t>
            </w:r>
          </w:p>
        </w:tc>
        <w:tc>
          <w:tcPr>
            <w:tcW w:type="dxa" w:w="2160"/>
          </w:tcPr>
          <w:p>
            <w:r/>
            <w:r>
              <w:rPr>
                <w:sz w:val="19"/>
              </w:rPr>
              <w:t>~203 ms</w:t>
            </w:r>
          </w:p>
        </w:tc>
      </w:tr>
      <w:tr>
        <w:tc>
          <w:tcPr>
            <w:tcW w:type="dxa" w:w="4032"/>
          </w:tcPr>
          <w:p>
            <w:r/>
            <w:r>
              <w:rPr>
                <w:sz w:val="19"/>
              </w:rPr>
              <w:t>After (304, empty body)</w:t>
            </w:r>
          </w:p>
        </w:tc>
        <w:tc>
          <w:tcPr>
            <w:tcW w:type="dxa" w:w="2160"/>
          </w:tcPr>
          <w:p>
            <w:r/>
            <w:r>
              <w:rPr>
                <w:sz w:val="19"/>
              </w:rPr>
              <w:t>~0 ms</w:t>
            </w:r>
          </w:p>
        </w:tc>
        <w:tc>
          <w:tcPr>
            <w:tcW w:type="dxa" w:w="2160"/>
          </w:tcPr>
          <w:p>
            <w:r/>
            <w:r>
              <w:rPr>
                <w:sz w:val="19"/>
              </w:rPr>
              <w:t>~200 ms</w:t>
            </w:r>
          </w:p>
        </w:tc>
      </w:tr>
    </w:tbl>
    <w:p>
      <w:r>
        <w:rPr>
          <w:i/>
          <w:color w:val="606060"/>
          <w:sz w:val="18"/>
        </w:rPr>
        <w:t>On a high-RTT link the round-trip count dominates; the largest real win is collapsing the first-load waterfall from three round trips to one.</w:t>
      </w:r>
    </w:p>
    <w:p>
      <w:pPr>
        <w:pStyle w:val="Heading1"/>
      </w:pPr>
      <w:r>
        <w:rPr>
          <w:color w:val="1F4E79"/>
        </w:rPr>
        <w:t>7. Correctness Evidence</w:t>
      </w:r>
    </w:p>
    <w:p>
      <w:pPr>
        <w:pStyle w:val="ListBullet"/>
      </w:pPr>
      <w:r>
        <w:t>pbs-server: full suite 434/434 passing; production build clean (tsc).</w:t>
      </w:r>
    </w:p>
    <w:p>
      <w:pPr>
        <w:pStyle w:val="ListBullet"/>
      </w:pPr>
      <w:r>
        <w:t>New/updated tests: compression (content-encoding: gzip), route metrics (low-cardinality labels, no ids), private ETag (304 on If-None-Match), portal bootstrap (combined payload + auth guard), portal layout prefetch, performance baseline (response bytes + bootstrap endpoint).</w:t>
      </w:r>
    </w:p>
    <w:p>
      <w:pPr>
        <w:pStyle w:val="ListBullet"/>
      </w:pPr>
      <w:r>
        <w:t>pbs-portal: build clean, lint clean; layout suite 34/34 (incl. the new prefetch assertion).</w:t>
      </w:r>
    </w:p>
    <w:p>
      <w:pPr>
        <w:pStyle w:val="ListBullet"/>
      </w:pPr>
      <w:r>
        <w:t>Contract unchanged: all responses keep { code, data, message }.</w:t>
      </w:r>
    </w:p>
    <w:p>
      <w:pPr>
        <w:pStyle w:val="ListBullet"/>
      </w:pPr>
      <w:r>
        <w:t>Pre-existing, unrelated: 6 portal failures under src/features/pairing/ (pairing-number autocomplete) — not touched by this work.</w:t>
      </w:r>
    </w:p>
    <w:p>
      <w:pPr>
        <w:pStyle w:val="Heading1"/>
      </w:pPr>
      <w:r>
        <w:rPr>
          <w:color w:val="1F4E79"/>
        </w:rPr>
        <w:t>Appendix — Reproduce real overseas numbers</w:t>
      </w:r>
    </w:p>
    <w:p>
      <w:r>
        <w:t>Run the extended performance baseline against the overseas host:</w:t>
      </w:r>
    </w:p>
    <w:p>
      <w:r>
        <w:rPr>
          <w:rFonts w:ascii="Consolas" w:hAnsi="Consolas"/>
          <w:sz w:val="18"/>
        </w:rPr>
        <w:t>npm --prefix pbs-server run perf:pbs -- \</w:t>
        <w:br/>
        <w:t xml:space="preserve">  --base-url=https://&lt;overseas-host&gt; --samples=5 --budget-ms=2000</w:t>
      </w:r>
    </w:p>
    <w:p>
      <w:r>
        <w:t>It reports, per endpoint: p95/avg/max latency (ms) and avg/max response bytes. To confirm the mechanisms on the wire:</w:t>
      </w:r>
    </w:p>
    <w:p>
      <w:pPr>
        <w:pStyle w:val="ListBullet"/>
      </w:pPr>
      <w:r>
        <w:rPr>
          <w:rFonts w:ascii="Consolas" w:hAnsi="Consolas"/>
          <w:sz w:val="18"/>
        </w:rPr>
        <w:t>curl -I -H 'Accept-Encoding: gzip' https://&lt;host&gt;/api/bidding-calendar/current   → content-encoding: gzip</w:t>
      </w:r>
    </w:p>
    <w:p>
      <w:pPr>
        <w:pStyle w:val="ListBullet"/>
      </w:pPr>
      <w:r>
        <w:rPr>
          <w:rFonts w:ascii="Consolas" w:hAnsi="Consolas"/>
          <w:sz w:val="18"/>
        </w:rPr>
        <w:t>Repeat with If-None-Match: &lt;etag&gt;   → HTTP/1.1 304 Not Modified</w:t>
      </w:r>
    </w:p>
    <w:p>
      <w:pPr>
        <w:pStyle w:val="ListBullet"/>
      </w:pPr>
      <w:r>
        <w:rPr>
          <w:rFonts w:ascii="Consolas" w:hAnsi="Consolas"/>
          <w:sz w:val="18"/>
        </w:rPr>
        <w:t>GET /api/portal/bootstrap   → one response containing profile + calendar +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