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緊急貿易金融保証 契約書様式（最終版）</w:t>
      </w:r>
    </w:p>
    <w:p>
      <w:pPr>
        <w:jc w:val="center"/>
      </w:pPr>
      <w:r>
        <w:t>（LM-02 72h Toolkit Deploy / Contracts + Seals ready）</w:t>
      </w:r>
    </w:p>
    <w:p/>
    <w:p>
      <w:r>
        <w:rPr>
          <w:b/>
        </w:rPr>
        <w:t>AUDIT 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THP-Hardening-LastOneMile</w:t>
            </w:r>
          </w:p>
        </w:tc>
      </w:tr>
      <w:tr>
        <w:tc>
          <w:tcPr>
            <w:tcW w:type="dxa" w:w="4320"/>
          </w:tcPr>
          <w:p>
            <w:r>
              <w:t>Task ID</w:t>
            </w:r>
          </w:p>
        </w:tc>
        <w:tc>
          <w:tcPr>
            <w:tcW w:type="dxa" w:w="4320"/>
          </w:tcPr>
          <w:p>
            <w:r>
              <w:t>LM-02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LM-02_Emergency_Finance_Contract_Final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2025-09-18 v1.0-final-draft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(Commander Approval Pending)</w:t>
            </w:r>
          </w:p>
        </w:tc>
      </w:tr>
      <w:tr>
        <w:tc>
          <w:tcPr>
            <w:tcW w:type="dxa" w:w="4320"/>
          </w:tcPr>
          <w:p>
            <w:r>
              <w:t>Prepared</w:t>
            </w:r>
          </w:p>
        </w:tc>
        <w:tc>
          <w:tcPr>
            <w:tcW w:type="dxa" w:w="4320"/>
          </w:tcPr>
          <w:p>
            <w:r>
              <w:t>2025-09-18 04:55 JST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Codex Support (Ops Liaison)</w:t>
            </w:r>
          </w:p>
        </w:tc>
      </w:tr>
      <w:tr>
        <w:tc>
          <w:tcPr>
            <w:tcW w:type="dxa" w:w="4320"/>
          </w:tcPr>
          <w:p>
            <w:r>
              <w:t>Commander Approval ID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第一条　目的</w:t>
      </w:r>
    </w:p>
    <w:p>
      <w:pPr>
        <w:pStyle w:val="ListBullet"/>
      </w:pPr>
      <w:r>
        <w:t>危機時における日本貿易保険（NEXI）および国際協力銀行（JBIC）による緊急保証枠を即時に立ち上げ、72時間以内に資金繰りを確保すること。</w:t>
      </w:r>
    </w:p>
    <w:p>
      <w:pPr>
        <w:pStyle w:val="ListBullet"/>
      </w:pPr>
      <w:r>
        <w:t>LM-01 危機ダッシュボードおよび TriggerTable の警戒ステータスと連動し、非伝統的な資金フローを合理化すること。</w:t>
      </w:r>
    </w:p>
    <w:p>
      <w:pPr>
        <w:pStyle w:val="Heading2"/>
      </w:pPr>
      <w:r>
        <w:t>第二条　当事者</w:t>
      </w:r>
    </w:p>
    <w:p>
      <w:pPr>
        <w:pStyle w:val="ListBullet"/>
      </w:pPr>
      <w:r>
        <w:t>甲：日本貿易保険（NEXI）</w:t>
      </w:r>
    </w:p>
    <w:p>
      <w:pPr>
        <w:pStyle w:val="ListBullet"/>
      </w:pPr>
      <w:r>
        <w:t>乙：国際協力銀行（JBIC）</w:t>
      </w:r>
    </w:p>
    <w:p>
      <w:pPr>
        <w:pStyle w:val="ListBullet"/>
      </w:pPr>
      <w:r>
        <w:t>丙：経済産業省（監督官庁）</w:t>
      </w:r>
    </w:p>
    <w:p>
      <w:pPr>
        <w:pStyle w:val="ListBullet"/>
      </w:pPr>
      <w:r>
        <w:t>丁：主要保証受益者（国内外緊急輸入事業者、指定金融機関）</w:t>
      </w:r>
    </w:p>
    <w:p>
      <w:pPr>
        <w:pStyle w:val="Heading2"/>
      </w:pPr>
      <w:r>
        <w:t>第三条　定義</w:t>
      </w:r>
    </w:p>
    <w:p>
      <w:pPr>
        <w:pStyle w:val="ListBullet"/>
      </w:pPr>
      <w:r>
        <w:t>「TriggerTable」とは LM-01/LM-02 が共同管理する臨界指標リストをいう。</w:t>
      </w:r>
    </w:p>
    <w:p>
      <w:pPr>
        <w:pStyle w:val="ListBullet"/>
      </w:pPr>
      <w:r>
        <w:t>「保証案件」とは緊急貿易金融保証の個別契約であり、Commander 承認IDと Audit Header を必須とする。</w:t>
      </w:r>
    </w:p>
    <w:p>
      <w:pPr>
        <w:pStyle w:val="ListBullet"/>
      </w:pPr>
      <w:r>
        <w:t>「72h Toolkit Coordinator」とは本契約の統括窓口であり、Contract Registry を維持する役職をいう。</w:t>
      </w:r>
    </w:p>
    <w:p>
      <w:pPr>
        <w:pStyle w:val="Heading2"/>
      </w:pPr>
      <w:r>
        <w:t>第四条　発動条件</w:t>
      </w:r>
    </w:p>
    <w:p>
      <w:pPr>
        <w:pStyle w:val="ListBullet"/>
      </w:pPr>
      <w:r>
        <w:t>TR-01 または TR-02 が Critical 判定となった場合、甲乙は 1 時間以内に保証枠の有効化を宣言し、各保証テンプレートを貸付先に送付する。</w:t>
      </w:r>
    </w:p>
    <w:p>
      <w:pPr>
        <w:pStyle w:val="ListBullet"/>
      </w:pPr>
      <w:r>
        <w:t>TR-04 または TR-06 が Critical 判定となった場合、MiniLateral 回廊向けの外貨保証枠を優先的に再配分する。</w:t>
      </w:r>
    </w:p>
    <w:p>
      <w:pPr>
        <w:pStyle w:val="ListBullet"/>
      </w:pPr>
      <w:r>
        <w:t>Commander が追加指示を行った場合、当該指示は本契約の一部を構成する。</w:t>
      </w:r>
    </w:p>
    <w:p>
      <w:pPr>
        <w:pStyle w:val="Heading2"/>
      </w:pPr>
      <w:r>
        <w:t>第五条　保証枠および条件</w:t>
      </w:r>
    </w:p>
    <w:p>
      <w:pPr>
        <w:pStyle w:val="ListBullet"/>
      </w:pPr>
      <w:r>
        <w:t>初期保証総額：2.5兆円相当（JPY/EUR/KRW換算を含む）。</w:t>
      </w:r>
    </w:p>
    <w:p>
      <w:pPr>
        <w:pStyle w:val="ListBullet"/>
      </w:pPr>
      <w:r>
        <w:t>単一受益者への割当上限：総額の 15% または Commander 指示による特例。</w:t>
      </w:r>
    </w:p>
    <w:p>
      <w:pPr>
        <w:pStyle w:val="ListBullet"/>
      </w:pPr>
      <w:r>
        <w:t>保証料率：臨界度に応じ 35〜70bps の範囲で設定し、変更時は Commander 承認IDを付す。</w:t>
      </w:r>
    </w:p>
    <w:p>
      <w:pPr>
        <w:pStyle w:val="ListBullet"/>
      </w:pPr>
      <w:r>
        <w:t>担保要件：各受益者は OpsRoom が認める有価証券または信用補完を差し入れる。</w:t>
      </w:r>
    </w:p>
    <w:p>
      <w:pPr>
        <w:pStyle w:val="Heading2"/>
      </w:pPr>
      <w:r>
        <w:t>第六条　業務フロー</w:t>
      </w:r>
    </w:p>
    <w:p>
      <w:pPr>
        <w:pStyle w:val="ListBullet"/>
      </w:pPr>
      <w:r>
        <w:t>72h Toolkit Coordinator が Trigger 発生通知を受領後、Contract Registry に案件番号を採番する。</w:t>
      </w:r>
    </w:p>
    <w:p>
      <w:pPr>
        <w:pStyle w:val="ListBullet"/>
      </w:pPr>
      <w:r>
        <w:t>各案件は DocuSign-Gov による電子署名完了後、/contracts/signed/YYYYMMDD に格納する。</w:t>
      </w:r>
    </w:p>
    <w:p>
      <w:pPr>
        <w:pStyle w:val="ListBullet"/>
      </w:pPr>
      <w:r>
        <w:t>保証書発行後 3 時間以内に Commander へ実施報告を提出し、War-Room が監査記録を更新する。</w:t>
      </w:r>
    </w:p>
    <w:p>
      <w:pPr>
        <w:pStyle w:val="Heading2"/>
      </w:pPr>
      <w:r>
        <w:t>第七条　監査・報告</w:t>
      </w:r>
    </w:p>
    <w:p>
      <w:pPr>
        <w:pStyle w:val="ListBullet"/>
      </w:pPr>
      <w:r>
        <w:t>各保証案件は Audit Header を付し、audit_log.jsonl に逐次書き込む。</w:t>
      </w:r>
    </w:p>
    <w:p>
      <w:pPr>
        <w:pStyle w:val="ListBullet"/>
      </w:pPr>
      <w:r>
        <w:t>72 時間ごとに合同レビューを実施し、保証残高・利用状況および再保険要否を評価する。</w:t>
      </w:r>
    </w:p>
    <w:p>
      <w:pPr>
        <w:pStyle w:val="ListBullet"/>
      </w:pPr>
      <w:r>
        <w:t>Legal_Triggers Promulgation（LM-05）に基づく告示との整合を保つ。</w:t>
      </w:r>
    </w:p>
    <w:p>
      <w:pPr>
        <w:pStyle w:val="Heading2"/>
      </w:pPr>
      <w:r>
        <w:t>第八条　秘密保持および情報管理</w:t>
      </w:r>
    </w:p>
    <w:p>
      <w:pPr>
        <w:pStyle w:val="ListBullet"/>
      </w:pPr>
      <w:r>
        <w:t>契約関連情報は「雪玉」区分の暗号化基準に従い、SecureLine/VPN 経由でのみ共有する。</w:t>
      </w:r>
    </w:p>
    <w:p>
      <w:pPr>
        <w:pStyle w:val="ListBullet"/>
      </w:pPr>
      <w:r>
        <w:t>情報漏洩が発生した場合、48 時間以内に Incident Report を Commander へ提出し、再発防止策を添付する。</w:t>
      </w:r>
    </w:p>
    <w:p>
      <w:pPr>
        <w:pStyle w:val="Heading2"/>
      </w:pPr>
      <w:r>
        <w:t>第九条　有効期間と更新</w:t>
      </w:r>
    </w:p>
    <w:p>
      <w:pPr>
        <w:pStyle w:val="ListBullet"/>
      </w:pPr>
      <w:r>
        <w:t>本契約は署名日から 72 時間有効とし、Commander 承認によって延長または終了する。</w:t>
      </w:r>
    </w:p>
    <w:p>
      <w:pPr>
        <w:pStyle w:val="ListBullet"/>
      </w:pPr>
      <w:r>
        <w:t>有効期間終了の 24 時間前までに更新可否の協議を実施する。</w:t>
      </w:r>
    </w:p>
    <w:p>
      <w:pPr>
        <w:pStyle w:val="Heading2"/>
      </w:pPr>
      <w:r>
        <w:t>付属書１　TriggerTable 優先連携</w:t>
      </w:r>
    </w:p>
    <w:p>
      <w:r>
        <w:t>（LM-02_Toolkit_Spec.md 第4章に基づく）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Trigger Code</w:t>
            </w:r>
          </w:p>
        </w:tc>
        <w:tc>
          <w:tcPr>
            <w:tcW w:type="dxa" w:w="2160"/>
          </w:tcPr>
          <w:p>
            <w:r>
              <w:t>発動条件</w:t>
            </w:r>
          </w:p>
        </w:tc>
        <w:tc>
          <w:tcPr>
            <w:tcW w:type="dxa" w:w="2160"/>
          </w:tcPr>
          <w:p>
            <w:r>
              <w:t>72h アクション</w:t>
            </w:r>
          </w:p>
        </w:tc>
        <w:tc>
          <w:tcPr>
            <w:tcW w:type="dxa" w:w="2160"/>
          </w:tcPr>
          <w:p>
            <w:r>
              <w:t>担当</w:t>
            </w:r>
          </w:p>
        </w:tc>
      </w:tr>
      <w:tr>
        <w:tc>
          <w:tcPr>
            <w:tcW w:type="dxa" w:w="2160"/>
          </w:tcPr>
          <w:p>
            <w:r>
              <w:t>TR-01 Treasury</w:t>
            </w:r>
          </w:p>
        </w:tc>
        <w:tc>
          <w:tcPr>
            <w:tcW w:type="dxa" w:w="2160"/>
          </w:tcPr>
          <w:p>
            <w:r>
              <w:t>Tail ≥ 12bp または Bid-to-Cover ≤ 2.0</w:t>
            </w:r>
          </w:p>
        </w:tc>
        <w:tc>
          <w:tcPr>
            <w:tcW w:type="dxa" w:w="2160"/>
          </w:tcPr>
          <w:p>
            <w:r>
              <w:t>1h以内に保証枠起動／12h以内に契約提示</w:t>
            </w:r>
          </w:p>
        </w:tc>
        <w:tc>
          <w:tcPr>
            <w:tcW w:type="dxa" w:w="2160"/>
          </w:tcPr>
          <w:p>
            <w:r>
              <w:t>NEXI 契約班</w:t>
            </w:r>
          </w:p>
        </w:tc>
      </w:tr>
      <w:tr>
        <w:tc>
          <w:tcPr>
            <w:tcW w:type="dxa" w:w="2160"/>
          </w:tcPr>
          <w:p>
            <w:r>
              <w:t>TR-02 Market Vol</w:t>
            </w:r>
          </w:p>
        </w:tc>
        <w:tc>
          <w:tcPr>
            <w:tcW w:type="dxa" w:w="2160"/>
          </w:tcPr>
          <w:p>
            <w:r>
              <w:t>MOVE ≥ 180 ＆ Subprime OAS ≥ 300bps</w:t>
            </w:r>
          </w:p>
        </w:tc>
        <w:tc>
          <w:tcPr>
            <w:tcW w:type="dxa" w:w="2160"/>
          </w:tcPr>
          <w:p>
            <w:r>
              <w:t>2h以内にCCP調整／24h以内に保証料率改定案</w:t>
            </w:r>
          </w:p>
        </w:tc>
        <w:tc>
          <w:tcPr>
            <w:tcW w:type="dxa" w:w="2160"/>
          </w:tcPr>
          <w:p>
            <w:r>
              <w:t>JBIC 市場対策班</w:t>
            </w:r>
          </w:p>
        </w:tc>
      </w:tr>
      <w:tr>
        <w:tc>
          <w:tcPr>
            <w:tcW w:type="dxa" w:w="2160"/>
          </w:tcPr>
          <w:p>
            <w:r>
              <w:t>TR-03 Energy/Food</w:t>
            </w:r>
          </w:p>
        </w:tc>
        <w:tc>
          <w:tcPr>
            <w:tcW w:type="dxa" w:w="2160"/>
          </w:tcPr>
          <w:p>
            <w:r>
              <w:t>Brent ≥ $150 または Wheat YoY ≥ 120%</w:t>
            </w:r>
          </w:p>
        </w:tc>
        <w:tc>
          <w:tcPr>
            <w:tcW w:type="dxa" w:w="2160"/>
          </w:tcPr>
          <w:p>
            <w:r>
              <w:t>1h以内に備蓄ライン保証／24h以内に輸入金融供与</w:t>
            </w:r>
          </w:p>
        </w:tc>
        <w:tc>
          <w:tcPr>
            <w:tcW w:type="dxa" w:w="2160"/>
          </w:tcPr>
          <w:p>
            <w:r>
              <w:t>経産省 資源エネルギー庁</w:t>
            </w:r>
          </w:p>
        </w:tc>
      </w:tr>
      <w:tr>
        <w:tc>
          <w:tcPr>
            <w:tcW w:type="dxa" w:w="2160"/>
          </w:tcPr>
          <w:p>
            <w:r>
              <w:t>TR-04 FX Buffer</w:t>
            </w:r>
          </w:p>
        </w:tc>
        <w:tc>
          <w:tcPr>
            <w:tcW w:type="dxa" w:w="2160"/>
          </w:tcPr>
          <w:p>
            <w:r>
              <w:t>CNH-CNY ≥ 0.040 ＆ FX Reserve ≤ $2.8T</w:t>
            </w:r>
          </w:p>
        </w:tc>
        <w:tc>
          <w:tcPr>
            <w:tcW w:type="dxa" w:w="2160"/>
          </w:tcPr>
          <w:p>
            <w:r>
              <w:t>3h以内に外貨保証枠をMiniLateralへ移管</w:t>
            </w:r>
          </w:p>
        </w:tc>
        <w:tc>
          <w:tcPr>
            <w:tcW w:type="dxa" w:w="2160"/>
          </w:tcPr>
          <w:p>
            <w:r>
              <w:t>NEXI/JBIC 外貨チーム</w:t>
            </w:r>
          </w:p>
        </w:tc>
      </w:tr>
      <w:tr>
        <w:tc>
          <w:tcPr>
            <w:tcW w:type="dxa" w:w="2160"/>
          </w:tcPr>
          <w:p>
            <w:r>
              <w:t>TR-05 Parallel FX</w:t>
            </w:r>
          </w:p>
        </w:tc>
        <w:tc>
          <w:tcPr>
            <w:tcW w:type="dxa" w:w="2160"/>
          </w:tcPr>
          <w:p>
            <w:r>
              <w:t>並行市場プレミアム ≥ 40%</w:t>
            </w:r>
          </w:p>
        </w:tc>
        <w:tc>
          <w:tcPr>
            <w:tcW w:type="dxa" w:w="2160"/>
          </w:tcPr>
          <w:p>
            <w:r>
              <w:t>4h以内に保証枠拡張／48h以内に対象国別通知</w:t>
            </w:r>
          </w:p>
        </w:tc>
        <w:tc>
          <w:tcPr>
            <w:tcW w:type="dxa" w:w="2160"/>
          </w:tcPr>
          <w:p>
            <w:r>
              <w:t>JBIC 海外金融班</w:t>
            </w:r>
          </w:p>
        </w:tc>
      </w:tr>
      <w:tr>
        <w:tc>
          <w:tcPr>
            <w:tcW w:type="dxa" w:w="2160"/>
          </w:tcPr>
          <w:p>
            <w:r>
              <w:t>TR-06 NATO Sentinel</w:t>
            </w:r>
          </w:p>
        </w:tc>
        <w:tc>
          <w:tcPr>
            <w:tcW w:type="dxa" w:w="2160"/>
          </w:tcPr>
          <w:p>
            <w:r>
              <w:t>Eastern Sentinel Critical</w:t>
            </w:r>
          </w:p>
        </w:tc>
        <w:tc>
          <w:tcPr>
            <w:tcW w:type="dxa" w:w="2160"/>
          </w:tcPr>
          <w:p>
            <w:r>
              <w:t>2h以内に国境輸送保証設定／24h以内にMoU調整</w:t>
            </w:r>
          </w:p>
        </w:tc>
        <w:tc>
          <w:tcPr>
            <w:tcW w:type="dxa" w:w="2160"/>
          </w:tcPr>
          <w:p>
            <w:r>
              <w:t>JIMS OpsRoom</w:t>
            </w:r>
          </w:p>
        </w:tc>
      </w:tr>
    </w:tbl>
    <w:p>
      <w:r>
        <w:br w:type="page"/>
      </w:r>
    </w:p>
    <w:p>
      <w:pPr>
        <w:pStyle w:val="Heading2"/>
      </w:pPr>
      <w:r>
        <w:t>署名欄</w:t>
      </w:r>
    </w:p>
    <w:p>
      <w:r>
        <w:t>※ Commander Approval 発行後、DocuSign-Gov ワークフローにて電子署名を完了すること。</w:t>
      </w:r>
    </w:p>
    <w:p>
      <w:r>
        <w:t>甲：日本貿易保険（NEXI） 代表取締役_____________________</w:t>
      </w:r>
    </w:p>
    <w:p>
      <w:r>
        <w:t>乙：国際協力銀行（JBIC） 総裁_____________________</w:t>
      </w:r>
    </w:p>
    <w:p>
      <w:r>
        <w:t>丙：経済産業省 商務情報政策局長_____________________</w:t>
      </w:r>
    </w:p>
    <w:p>
      <w:r>
        <w:t>丁：主要保証受益者（名称記入）_____________________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