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36"/>
          <w:szCs w:val="36"/>
          <w:lang w:val="en-US" w:eastAsia="zh-CN"/>
        </w:rPr>
        <w:t>学习宪法与基本法的感受</w:t>
      </w:r>
    </w:p>
    <w:p>
      <w:pPr>
        <w:jc w:val="both"/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作爲在澳门求学的大陆学子, 在学习完宪法与基本法之后,对国家和地区制度有了一个新的了解, 也明白了宪法与基本法背后的重要价值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</w:rPr>
        <w:t>。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虽然只有15个课时,仅仅7次课,我仍然受益匪浅.</w:t>
      </w: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</w:rPr>
      </w:pPr>
    </w:p>
    <w:p>
      <w:pPr>
        <w:jc w:val="both"/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在学习过程中, 我逐渐了解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一国两制”的内涵、基本法的法律地位、澳门特别行政区的性质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以及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澳门特区政治体制，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且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认识到宪法与基本法共同构成了澳门特别行政区的宪制基础，并掌握“一国两制”、“澳人治澳”和高度自治的涵义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在讲授居民的基本权利和自由时，以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曾经真实发生的故事为事例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，结合日常生活案例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配合讲解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，引导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我们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从法治角度思考和分析各种生活和社会问题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.</w:t>
      </w: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</w:rPr>
      </w:pP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在学习后,更加瞭解了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宪法是国家的根本大法，是人民对国家根本制度和基本原则的共识。它规定了国家体制、政权组织、政府架构、公民的基本权利和义务等。宪法在国家整个法律体系中处于最高的法律位阶，具有最大的法律权威和地位，是制定其他法律的基础和依据，任何法律都不得抵触宪法。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因此,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中国宪法也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适用于澳门.</w:t>
      </w: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正所谓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没有宪法,就没有基本法和澳门特别行政区</w:t>
      </w:r>
      <w:r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宪法为基本法提供了立法依据,是后者的根基和源头 ,关系密切，脱离宪法，基本法变成无源之水。无论在法理上或在现实的政治及法律环境中，宪法和基本法都共同构成澳门特别行政区的宪制基础.也都爲澳门的长期繁荣稳定提供关键作用.</w:t>
      </w:r>
    </w:p>
    <w:p>
      <w:pPr>
        <w:jc w:val="both"/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就我个人而言,我们作爲大学生, 最基本的要求就是尊法守法.不去做违反法律的事,做到有法必依,严格遵守宪法与基本法的法律法规.认真了解一国两制的特殊国情,在将来社会的各个层面,需要用到法律的地方有很多,我们需要一一遵守.在承诺不违反法律法规的同时,也要能对法律法规有一个深入的了解,在尊法守法的基础上争取做到知法,用法.学会拿起法律的武器来保护自己,如隐私权,诉讼权等,对不合理不公平的事情上能有更好的处理辦法.另外,也要清楚自己作爲公民的权力,比如集会,选举,知情等.我认爲这样才是我们学习这堂课的目的.</w:t>
      </w: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而法大大至宪法这国家根本大法,小至学校的校纪校规.大到中国,小到学校,只要我们生活在这里,我们就应当遵守相应的制度.我们可以从一个优秀的大学生做起,同学之间互相尊重,互帮互助,学习过程中积极进取,奋勇拼搏,以期望一个更光明的未来.我想这正也是宪法课带给我的价值.</w:t>
      </w: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总的来说,学习宪法和基本法有助学生培养法治精神和守法意识，让学生在学习中更认清自己的国民身份，明辨是非，正确理解及维护“一国两制”，将来贡献社会，成为未来栋梁.</w:t>
      </w:r>
    </w:p>
    <w:bookmarkEnd w:id="0"/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spacing w:val="5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zYjIxMDYzNTMzYTU2NzNkMzIzN2IxNWMwMzI4MTcifQ=="/>
  </w:docVars>
  <w:rsids>
    <w:rsidRoot w:val="23615DE9"/>
    <w:rsid w:val="1A8F32A0"/>
    <w:rsid w:val="23615DE9"/>
    <w:rsid w:val="37F8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1004</Words>
  <Characters>1005</Characters>
  <Lines>0</Lines>
  <Paragraphs>0</Paragraphs>
  <TotalTime>0</TotalTime>
  <ScaleCrop>false</ScaleCrop>
  <LinksUpToDate>false</LinksUpToDate>
  <CharactersWithSpaces>1010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2023-05-15T15:23:00Z</dcterms:created>
  <dc:creator>滕昊楠</dc:creator>
  <cp:lastModifiedBy>滕昊楠</cp:lastModifiedBy>
  <dcterms:modified xsi:type="dcterms:W3CDTF">2023-05-15T18:56:06Z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817357472700481B8D78BF24CE24CA57_11</vt:lpwstr>
  </property>
</Properties>
</file>