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85" w:lineRule="auto"/>
        <w:ind w:left="3313" w:right="3353"/>
      </w:pPr>
      <w:r>
        <w:t>澳門科技大學通識教育部</w:t>
      </w:r>
    </w:p>
    <w:p>
      <w:pPr>
        <w:spacing w:before="0" w:line="524" w:lineRule="exact"/>
        <w:ind w:left="0" w:right="38" w:firstLine="0"/>
        <w:jc w:val="center"/>
        <w:rPr>
          <w:sz w:val="32"/>
        </w:rPr>
      </w:pPr>
      <w:r>
        <w:rPr>
          <w:rFonts w:ascii="Book Antiqua" w:eastAsia="Book Antiqua"/>
          <w:sz w:val="32"/>
        </w:rPr>
        <w:t xml:space="preserve">2022/2023 </w:t>
      </w:r>
      <w:r>
        <w:rPr>
          <w:sz w:val="32"/>
        </w:rPr>
        <w:t>學年第一學期</w:t>
      </w:r>
    </w:p>
    <w:p>
      <w:pPr>
        <w:spacing w:before="90"/>
        <w:ind w:left="0" w:right="42" w:firstLine="0"/>
        <w:jc w:val="center"/>
        <w:rPr>
          <w:sz w:val="32"/>
        </w:rPr>
      </w:pPr>
      <w:r>
        <w:rPr>
          <w:sz w:val="32"/>
        </w:rPr>
        <w:t>「中西文化通論」期末考試試題</w:t>
      </w:r>
    </w:p>
    <w:p>
      <w:pPr>
        <w:pStyle w:val="4"/>
        <w:spacing w:before="165"/>
        <w:ind w:right="35"/>
        <w:jc w:val="center"/>
      </w:pPr>
      <w:r>
        <w:t xml:space="preserve">西通部份佔 </w:t>
      </w:r>
      <w:r>
        <w:rPr>
          <w:rFonts w:ascii="Book Antiqua" w:eastAsia="Book Antiqua"/>
        </w:rPr>
        <w:t xml:space="preserve">60 </w:t>
      </w:r>
      <w:r>
        <w:t>分</w:t>
      </w:r>
      <w:r>
        <w:rPr>
          <w:rFonts w:ascii="Book Antiqua" w:eastAsia="Book Antiqua"/>
        </w:rPr>
        <w:t xml:space="preserve">, </w:t>
      </w:r>
      <w:r>
        <w:t xml:space="preserve">中通部份佔 </w:t>
      </w:r>
      <w:r>
        <w:rPr>
          <w:rFonts w:ascii="Book Antiqua" w:eastAsia="Book Antiqua"/>
        </w:rPr>
        <w:t xml:space="preserve">40 </w:t>
      </w:r>
      <w:r>
        <w:t>分</w:t>
      </w:r>
    </w:p>
    <w:p>
      <w:pPr>
        <w:pStyle w:val="4"/>
        <w:rPr>
          <w:sz w:val="20"/>
        </w:rPr>
      </w:pPr>
    </w:p>
    <w:p>
      <w:pPr>
        <w:pStyle w:val="4"/>
        <w:rPr>
          <w:sz w:val="20"/>
        </w:rPr>
      </w:pPr>
    </w:p>
    <w:p>
      <w:pPr>
        <w:pStyle w:val="4"/>
        <w:spacing w:before="16"/>
      </w:pPr>
    </w:p>
    <w:p>
      <w:pPr>
        <w:pStyle w:val="2"/>
        <w:tabs>
          <w:tab w:val="left" w:pos="319"/>
        </w:tabs>
        <w:spacing w:before="36"/>
        <w:rPr>
          <w:rFonts w:ascii="Book Antiqua" w:eastAsia="Book Antiqua"/>
        </w:rPr>
      </w:pPr>
      <w:r>
        <w:rPr>
          <w:spacing w:val="-320"/>
          <w:u w:val="single"/>
        </w:rPr>
        <w:t>西</w:t>
      </w:r>
      <w:r>
        <w:rPr>
          <w:spacing w:val="-320"/>
        </w:rPr>
        <w:tab/>
      </w:r>
      <w:r>
        <w:rPr>
          <w:u w:val="single"/>
        </w:rPr>
        <w:t>通部份</w:t>
      </w:r>
      <w:r>
        <w:rPr>
          <w:spacing w:val="79"/>
          <w:u w:val="single"/>
        </w:rPr>
        <w:t xml:space="preserve"> </w:t>
      </w:r>
      <w:r>
        <w:rPr>
          <w:rFonts w:ascii="Book Antiqua" w:eastAsia="Book Antiqua"/>
          <w:u w:val="single"/>
        </w:rPr>
        <w:t>(</w:t>
      </w:r>
      <w:r>
        <w:rPr>
          <w:u w:val="single"/>
        </w:rPr>
        <w:t>共</w:t>
      </w:r>
      <w:r>
        <w:rPr>
          <w:spacing w:val="-1"/>
          <w:u w:val="single"/>
        </w:rPr>
        <w:t xml:space="preserve"> </w:t>
      </w:r>
      <w:r>
        <w:rPr>
          <w:rFonts w:ascii="Book Antiqua" w:eastAsia="Book Antiqua"/>
          <w:u w:val="single"/>
        </w:rPr>
        <w:t>60</w:t>
      </w:r>
      <w:r>
        <w:rPr>
          <w:rFonts w:ascii="Book Antiqua" w:eastAsia="Book Antiqua"/>
          <w:spacing w:val="2"/>
          <w:u w:val="single"/>
        </w:rPr>
        <w:t xml:space="preserve"> </w:t>
      </w:r>
      <w:r>
        <w:rPr>
          <w:u w:val="single"/>
        </w:rPr>
        <w:t>分</w:t>
      </w:r>
      <w:r>
        <w:rPr>
          <w:rFonts w:ascii="Book Antiqua" w:eastAsia="Book Antiqua"/>
          <w:u w:val="single"/>
        </w:rPr>
        <w:t>)</w:t>
      </w:r>
    </w:p>
    <w:p>
      <w:pPr>
        <w:pStyle w:val="4"/>
        <w:rPr>
          <w:rFonts w:ascii="Book Antiqua"/>
          <w:sz w:val="20"/>
        </w:rPr>
      </w:pPr>
    </w:p>
    <w:p>
      <w:pPr>
        <w:pStyle w:val="4"/>
        <w:rPr>
          <w:rFonts w:ascii="Book Antiqua"/>
          <w:sz w:val="20"/>
        </w:rPr>
      </w:pPr>
    </w:p>
    <w:p>
      <w:pPr>
        <w:pStyle w:val="4"/>
        <w:spacing w:before="2"/>
        <w:rPr>
          <w:rFonts w:ascii="Book Antiqua"/>
          <w:sz w:val="17"/>
        </w:rPr>
      </w:pPr>
    </w:p>
    <w:p>
      <w:pPr>
        <w:spacing w:after="0"/>
        <w:rPr>
          <w:rFonts w:ascii="Book Antiqua"/>
          <w:sz w:val="17"/>
        </w:rPr>
        <w:sectPr>
          <w:footerReference r:id="rId5" w:type="default"/>
          <w:type w:val="continuous"/>
          <w:pgSz w:w="11910" w:h="16840"/>
          <w:pgMar w:top="1480" w:right="1640" w:bottom="1220" w:left="1680" w:header="720" w:footer="1034" w:gutter="0"/>
          <w:pgNumType w:start="1"/>
          <w:cols w:space="720" w:num="1"/>
        </w:sectPr>
      </w:pPr>
    </w:p>
    <w:p>
      <w:pPr>
        <w:pStyle w:val="3"/>
        <w:spacing w:before="46"/>
      </w:pPr>
      <w:r>
        <w:t xml:space="preserve">一、填空題（每題 </w:t>
      </w:r>
      <w:r>
        <w:rPr>
          <w:rFonts w:ascii="Book Antiqua" w:eastAsia="Book Antiqua"/>
        </w:rPr>
        <w:t xml:space="preserve">3 </w:t>
      </w:r>
      <w:r>
        <w:t xml:space="preserve">分，共 </w:t>
      </w:r>
      <w:r>
        <w:rPr>
          <w:rFonts w:ascii="Book Antiqua" w:eastAsia="Book Antiqua"/>
        </w:rPr>
        <w:t xml:space="preserve">30 </w:t>
      </w:r>
      <w:r>
        <w:t>分）</w:t>
      </w:r>
    </w:p>
    <w:p>
      <w:pPr>
        <w:pStyle w:val="4"/>
        <w:spacing w:before="197"/>
        <w:ind w:left="120"/>
      </w:pPr>
      <w:r>
        <w:rPr>
          <w:rFonts w:ascii="Book Antiqua" w:eastAsia="Book Antiqua"/>
        </w:rPr>
        <w:t>1</w:t>
      </w:r>
      <w:r>
        <w:t>、希臘遊吟詩人荷馬的兩部史詩分別是（</w:t>
      </w:r>
    </w:p>
    <w:p>
      <w:pPr>
        <w:pStyle w:val="4"/>
        <w:spacing w:before="14"/>
        <w:rPr>
          <w:sz w:val="42"/>
        </w:rPr>
      </w:pPr>
      <w:r>
        <w:br w:type="column"/>
      </w:r>
    </w:p>
    <w:p>
      <w:pPr>
        <w:pStyle w:val="4"/>
        <w:ind w:left="120"/>
      </w:pPr>
      <w:r>
        <w:t>《</w:t>
      </w:r>
      <w:r>
        <w:rPr>
          <w:rFonts w:hint="eastAsia" w:ascii="宋体" w:eastAsia="宋体"/>
          <w:position w:val="-1"/>
        </w:rPr>
        <w:t>伊利昂</w:t>
      </w:r>
      <w:r>
        <w:t>紀》）和《奧德修紀》。</w:t>
      </w:r>
    </w:p>
    <w:p>
      <w:pPr>
        <w:spacing w:after="0"/>
        <w:sectPr>
          <w:type w:val="continuous"/>
          <w:pgSz w:w="11910" w:h="16840"/>
          <w:pgMar w:top="1480" w:right="1640" w:bottom="1220" w:left="1680" w:header="720" w:footer="720" w:gutter="0"/>
          <w:cols w:equalWidth="0" w:num="2">
            <w:col w:w="4601" w:space="90"/>
            <w:col w:w="3899"/>
          </w:cols>
        </w:sectPr>
      </w:pPr>
    </w:p>
    <w:p>
      <w:pPr>
        <w:pStyle w:val="4"/>
        <w:spacing w:before="14"/>
        <w:rPr>
          <w:sz w:val="10"/>
        </w:rPr>
      </w:pPr>
    </w:p>
    <w:p>
      <w:pPr>
        <w:pStyle w:val="4"/>
        <w:tabs>
          <w:tab w:val="left" w:pos="7441"/>
        </w:tabs>
        <w:spacing w:before="53"/>
        <w:ind w:left="120"/>
      </w:pPr>
      <w:r>
        <w:rPr>
          <w:rFonts w:ascii="Book Antiqua" w:eastAsia="Book Antiqua"/>
        </w:rPr>
        <w:t>2</w:t>
      </w:r>
      <w:r>
        <w:t>、西元前</w:t>
      </w:r>
      <w:r>
        <w:rPr>
          <w:spacing w:val="-1"/>
        </w:rPr>
        <w:t xml:space="preserve"> </w:t>
      </w:r>
      <w:r>
        <w:rPr>
          <w:rFonts w:ascii="Book Antiqua" w:eastAsia="Book Antiqua"/>
        </w:rPr>
        <w:t xml:space="preserve">399 </w:t>
      </w:r>
      <w:r>
        <w:t>年因被雅典人指控而殉道的偉大哲學家是（</w:t>
      </w:r>
      <w:r>
        <w:rPr>
          <w:rFonts w:hint="eastAsia"/>
          <w:lang w:val="en-US" w:eastAsia="zh-CN"/>
        </w:rPr>
        <w:t>蘇格拉底</w:t>
      </w:r>
      <w:r>
        <w:tab/>
      </w:r>
      <w:r>
        <w:t>）。</w:t>
      </w:r>
    </w:p>
    <w:p>
      <w:pPr>
        <w:pStyle w:val="4"/>
        <w:spacing w:before="13"/>
        <w:rPr>
          <w:sz w:val="10"/>
        </w:rPr>
      </w:pPr>
    </w:p>
    <w:p>
      <w:pPr>
        <w:pStyle w:val="4"/>
        <w:tabs>
          <w:tab w:val="left" w:pos="7441"/>
        </w:tabs>
        <w:spacing w:before="53"/>
        <w:ind w:left="120"/>
      </w:pPr>
      <w:r>
        <w:rPr>
          <w:rFonts w:ascii="Book Antiqua" w:eastAsia="Book Antiqua"/>
        </w:rPr>
        <w:t>3</w:t>
      </w:r>
      <w:r>
        <w:t>、西元前</w:t>
      </w:r>
      <w:r>
        <w:rPr>
          <w:spacing w:val="-1"/>
        </w:rPr>
        <w:t xml:space="preserve"> </w:t>
      </w:r>
      <w:r>
        <w:rPr>
          <w:rFonts w:ascii="Book Antiqua" w:eastAsia="Book Antiqua"/>
        </w:rPr>
        <w:t xml:space="preserve">5 </w:t>
      </w:r>
      <w:r>
        <w:t>世紀發生在斯巴達與雅典之間的戰爭叫做（</w:t>
      </w:r>
      <w:r>
        <w:rPr>
          <w:rFonts w:hint="eastAsia"/>
          <w:lang w:val="en-US" w:eastAsia="zh-CN"/>
        </w:rPr>
        <w:t>伯羅奔尼撒戰爭</w:t>
      </w:r>
      <w:r>
        <w:tab/>
      </w:r>
      <w:r>
        <w:t>）。</w:t>
      </w:r>
    </w:p>
    <w:p>
      <w:pPr>
        <w:pStyle w:val="4"/>
        <w:tabs>
          <w:tab w:val="left" w:pos="2160"/>
        </w:tabs>
        <w:spacing w:before="230" w:line="381" w:lineRule="auto"/>
        <w:ind w:left="120" w:right="157"/>
      </w:pPr>
      <w:r>
        <w:rPr>
          <w:rFonts w:ascii="Book Antiqua" w:eastAsia="Book Antiqua"/>
          <w:spacing w:val="-24"/>
        </w:rPr>
        <w:t>4</w:t>
      </w:r>
      <w:r>
        <w:rPr>
          <w:spacing w:val="-24"/>
        </w:rPr>
        <w:t>、</w:t>
      </w:r>
      <w:r>
        <w:t>根據猶太教的傳</w:t>
      </w:r>
      <w:r>
        <w:rPr>
          <w:spacing w:val="-24"/>
        </w:rPr>
        <w:t>述</w:t>
      </w:r>
      <w:r>
        <w:rPr>
          <w:spacing w:val="-22"/>
        </w:rPr>
        <w:t>，</w:t>
      </w:r>
      <w:r>
        <w:t xml:space="preserve">西元前 </w:t>
      </w:r>
      <w:r>
        <w:rPr>
          <w:rFonts w:ascii="Book Antiqua" w:eastAsia="Book Antiqua"/>
        </w:rPr>
        <w:t xml:space="preserve">13 </w:t>
      </w:r>
      <w:r>
        <w:t>世紀末葉在被擄埃及的猶太人中間出現了一</w:t>
      </w:r>
      <w:r>
        <w:rPr>
          <w:spacing w:val="-17"/>
        </w:rPr>
        <w:t>位</w:t>
      </w:r>
      <w:r>
        <w:t>先知（</w:t>
      </w:r>
      <w:r>
        <w:rPr>
          <w:rFonts w:hint="eastAsia"/>
          <w:lang w:val="en-US" w:eastAsia="zh-CN"/>
        </w:rPr>
        <w:t>摩西</w:t>
      </w:r>
      <w:r>
        <w:tab/>
      </w:r>
      <w:r>
        <w:t>）</w:t>
      </w:r>
      <w:r>
        <w:rPr>
          <w:rFonts w:ascii="Book Antiqua" w:eastAsia="Book Antiqua"/>
        </w:rPr>
        <w:t>,</w:t>
      </w:r>
      <w:r>
        <w:t>他率領猶太人逃出埃及，越過紅海回到家園。</w:t>
      </w:r>
    </w:p>
    <w:p>
      <w:pPr>
        <w:pStyle w:val="4"/>
        <w:tabs>
          <w:tab w:val="left" w:pos="6982"/>
        </w:tabs>
        <w:spacing w:line="381" w:lineRule="auto"/>
        <w:ind w:left="120" w:right="159"/>
      </w:pPr>
      <w:r>
        <w:rPr>
          <w:rFonts w:ascii="Book Antiqua" w:eastAsia="Book Antiqua"/>
        </w:rPr>
        <w:t>5</w:t>
      </w:r>
      <w:r>
        <w:t>、第一位來到帝國首都羅馬城傳播基督福音的聖徒是（</w:t>
      </w:r>
      <w:r>
        <w:rPr>
          <w:rFonts w:hint="eastAsia"/>
          <w:lang w:val="en-US" w:eastAsia="zh-CN"/>
        </w:rPr>
        <w:t>保羅</w:t>
      </w:r>
      <w:r>
        <w:tab/>
      </w:r>
      <w:r>
        <w:t>），他在羅</w:t>
      </w:r>
      <w:r>
        <w:rPr>
          <w:spacing w:val="-17"/>
        </w:rPr>
        <w:t>馬</w:t>
      </w:r>
      <w:r>
        <w:t>建立了第一個教會組織。</w:t>
      </w:r>
    </w:p>
    <w:p>
      <w:pPr>
        <w:pStyle w:val="4"/>
        <w:tabs>
          <w:tab w:val="left" w:pos="5401"/>
        </w:tabs>
        <w:spacing w:line="381" w:lineRule="auto"/>
        <w:ind w:left="120" w:right="157"/>
      </w:pPr>
      <w:r>
        <w:rPr>
          <w:rFonts w:ascii="Book Antiqua" w:hAnsi="Book Antiqua" w:eastAsia="Book Antiqua"/>
          <w:spacing w:val="-24"/>
        </w:rPr>
        <w:t>6</w:t>
      </w:r>
      <w:r>
        <w:rPr>
          <w:spacing w:val="-24"/>
        </w:rPr>
        <w:t>、</w:t>
      </w:r>
      <w:r>
        <w:t>西元</w:t>
      </w:r>
      <w:r>
        <w:rPr>
          <w:spacing w:val="-1"/>
        </w:rPr>
        <w:t xml:space="preserve"> </w:t>
      </w:r>
      <w:r>
        <w:rPr>
          <w:rFonts w:ascii="Book Antiqua" w:hAnsi="Book Antiqua" w:eastAsia="Book Antiqua"/>
        </w:rPr>
        <w:t>11</w:t>
      </w:r>
      <w:r>
        <w:t>—</w:t>
      </w:r>
      <w:r>
        <w:rPr>
          <w:rFonts w:ascii="Book Antiqua" w:hAnsi="Book Antiqua" w:eastAsia="Book Antiqua"/>
        </w:rPr>
        <w:t xml:space="preserve">13 </w:t>
      </w:r>
      <w:r>
        <w:t>世</w:t>
      </w:r>
      <w:r>
        <w:rPr>
          <w:spacing w:val="-24"/>
        </w:rPr>
        <w:t>紀</w:t>
      </w:r>
      <w:r>
        <w:rPr>
          <w:spacing w:val="-22"/>
        </w:rPr>
        <w:t>，</w:t>
      </w:r>
      <w:r>
        <w:t>西方基督教世界對東方伊斯蘭教地區發起了一場曠日持</w:t>
      </w:r>
      <w:r>
        <w:rPr>
          <w:spacing w:val="-16"/>
        </w:rPr>
        <w:t>久</w:t>
      </w:r>
      <w:r>
        <w:t>的戰爭，這場戰爭在歷史上被稱為（</w:t>
      </w:r>
      <w:r>
        <w:rPr>
          <w:rFonts w:hint="eastAsia"/>
          <w:lang w:val="en-US" w:eastAsia="zh-CN"/>
        </w:rPr>
        <w:t>十字軍東征</w:t>
      </w:r>
      <w:r>
        <w:tab/>
      </w:r>
      <w:r>
        <w:t>）。</w:t>
      </w:r>
    </w:p>
    <w:p>
      <w:pPr>
        <w:pStyle w:val="4"/>
        <w:tabs>
          <w:tab w:val="left" w:pos="7802"/>
        </w:tabs>
        <w:spacing w:line="381" w:lineRule="auto"/>
        <w:ind w:left="120" w:right="156"/>
      </w:pPr>
      <w:r>
        <w:rPr>
          <w:rFonts w:ascii="Book Antiqua" w:hAnsi="Book Antiqua" w:eastAsia="Book Antiqua"/>
        </w:rPr>
        <w:t>7</w:t>
      </w:r>
      <w:r>
        <w:t>、中世紀羅馬教會設立的鎮壓所謂“異端”的常設機構</w:t>
      </w:r>
      <w:r>
        <w:rPr>
          <w:spacing w:val="3"/>
        </w:rPr>
        <w:t>是</w:t>
      </w:r>
      <w:r>
        <w:rPr>
          <w:rFonts w:ascii="Book Antiqua" w:hAnsi="Book Antiqua" w:eastAsia="Book Antiqua"/>
        </w:rPr>
        <w:t>(</w:t>
      </w:r>
      <w:r>
        <w:rPr>
          <w:rFonts w:hint="eastAsia" w:ascii="Book Antiqua" w:hAnsi="Book Antiqua" w:eastAsia="宋体"/>
          <w:lang w:val="en-US" w:eastAsia="zh-CN"/>
        </w:rPr>
        <w:t>異端裁判所</w:t>
      </w:r>
      <w:r>
        <w:rPr>
          <w:rFonts w:ascii="Book Antiqua" w:hAnsi="Book Antiqua" w:eastAsia="Book Antiqua"/>
        </w:rPr>
        <w:tab/>
      </w:r>
      <w:r>
        <w:rPr>
          <w:rFonts w:ascii="Book Antiqua" w:hAnsi="Book Antiqua" w:eastAsia="Book Antiqua"/>
          <w:spacing w:val="2"/>
        </w:rPr>
        <w:t>),</w:t>
      </w:r>
      <w:r>
        <w:t>該</w:t>
      </w:r>
      <w:r>
        <w:rPr>
          <w:spacing w:val="-17"/>
        </w:rPr>
        <w:t>機</w:t>
      </w:r>
      <w:r>
        <w:t>構對許多具有不同宗教觀點和新興科學思想的人進行了殘酷的迫害。</w:t>
      </w:r>
    </w:p>
    <w:p>
      <w:pPr>
        <w:pStyle w:val="4"/>
        <w:tabs>
          <w:tab w:val="left" w:pos="4200"/>
        </w:tabs>
        <w:spacing w:line="381" w:lineRule="auto"/>
        <w:ind w:left="120" w:right="125"/>
      </w:pPr>
      <w:r>
        <w:rPr>
          <w:rFonts w:ascii="Book Antiqua" w:hAnsi="Book Antiqua" w:eastAsia="Book Antiqua"/>
        </w:rPr>
        <w:t>8</w:t>
      </w:r>
      <w:r>
        <w:t>、</w:t>
      </w:r>
      <w:r>
        <w:rPr>
          <w:rFonts w:ascii="Book Antiqua" w:hAnsi="Book Antiqua" w:eastAsia="Book Antiqua"/>
        </w:rPr>
        <w:t>16</w:t>
      </w:r>
      <w:r>
        <w:rPr>
          <w:rFonts w:ascii="Book Antiqua" w:hAnsi="Book Antiqua" w:eastAsia="Book Antiqua"/>
          <w:spacing w:val="-1"/>
        </w:rPr>
        <w:t xml:space="preserve"> </w:t>
      </w:r>
      <w:r>
        <w:t>世紀馬丁·路德發起了宗教改革運動，對西方社會轉型產生了重大影響</w:t>
      </w:r>
      <w:r>
        <w:rPr>
          <w:spacing w:val="-18"/>
        </w:rPr>
        <w:t xml:space="preserve">， </w:t>
      </w:r>
      <w:r>
        <w:t>他的著名神學觀點是（“</w:t>
      </w:r>
      <w:r>
        <w:rPr>
          <w:rFonts w:hint="eastAsia"/>
          <w:lang w:val="en-US" w:eastAsia="zh-CN"/>
        </w:rPr>
        <w:t>因信稱義</w:t>
      </w:r>
      <w:r>
        <w:tab/>
      </w:r>
      <w:r>
        <w:t>”）。</w:t>
      </w:r>
    </w:p>
    <w:p>
      <w:pPr>
        <w:spacing w:after="0" w:line="381" w:lineRule="auto"/>
        <w:sectPr>
          <w:type w:val="continuous"/>
          <w:pgSz w:w="11910" w:h="16840"/>
          <w:pgMar w:top="1480" w:right="1640" w:bottom="1220" w:left="1680" w:header="720" w:footer="720" w:gutter="0"/>
          <w:cols w:space="720" w:num="1"/>
        </w:sectPr>
      </w:pPr>
    </w:p>
    <w:p>
      <w:pPr>
        <w:pStyle w:val="4"/>
        <w:tabs>
          <w:tab w:val="left" w:pos="5797"/>
        </w:tabs>
        <w:spacing w:before="37" w:line="381" w:lineRule="auto"/>
        <w:ind w:left="120" w:right="159"/>
        <w:jc w:val="both"/>
      </w:pPr>
      <w:r>
        <w:rPr>
          <w:rFonts w:ascii="Book Antiqua" w:eastAsia="Book Antiqua"/>
          <w:spacing w:val="-5"/>
        </w:rPr>
        <w:t>9</w:t>
      </w:r>
      <w:r>
        <w:rPr>
          <w:spacing w:val="-5"/>
        </w:rPr>
        <w:t>、</w:t>
      </w:r>
      <w:r>
        <w:rPr>
          <w:rFonts w:ascii="Book Antiqua" w:eastAsia="Book Antiqua"/>
        </w:rPr>
        <w:t xml:space="preserve">1648 </w:t>
      </w:r>
      <w:r>
        <w:t>年西方各國</w:t>
      </w:r>
      <w:r>
        <w:rPr>
          <w:spacing w:val="-3"/>
        </w:rPr>
        <w:t>共</w:t>
      </w:r>
      <w:r>
        <w:t>同簽訂</w:t>
      </w:r>
      <w:r>
        <w:rPr>
          <w:spacing w:val="-12"/>
        </w:rPr>
        <w:t>的</w:t>
      </w:r>
      <w:r>
        <w:t>（《</w:t>
      </w:r>
      <w:r>
        <w:rPr>
          <w:rFonts w:hint="eastAsia"/>
          <w:lang w:val="en-US" w:eastAsia="zh-CN"/>
        </w:rPr>
        <w:t>威斯特伐利亞合約</w:t>
      </w:r>
      <w:r>
        <w:tab/>
      </w:r>
      <w:r>
        <w:t>》</w:t>
      </w:r>
      <w:r>
        <w:rPr>
          <w:spacing w:val="-12"/>
        </w:rPr>
        <w:t>）</w:t>
      </w:r>
      <w:r>
        <w:t>是歐洲歷史上的第一</w:t>
      </w:r>
      <w:r>
        <w:rPr>
          <w:spacing w:val="-18"/>
        </w:rPr>
        <w:t>個</w:t>
      </w:r>
      <w:r>
        <w:t>國際法條</w:t>
      </w:r>
      <w:r>
        <w:rPr>
          <w:spacing w:val="-17"/>
        </w:rPr>
        <w:t>約，</w:t>
      </w:r>
      <w:r>
        <w:t>它結束了宗教戰爭和宗教專</w:t>
      </w:r>
      <w:r>
        <w:rPr>
          <w:spacing w:val="-17"/>
        </w:rPr>
        <w:t>制</w:t>
      </w:r>
      <w:r>
        <w:rPr>
          <w:spacing w:val="-15"/>
        </w:rPr>
        <w:t>，</w:t>
      </w:r>
      <w:r>
        <w:t>開啟了歐洲宗教寬容的時</w:t>
      </w:r>
      <w:r>
        <w:rPr>
          <w:spacing w:val="-17"/>
        </w:rPr>
        <w:t>代，</w:t>
      </w:r>
      <w:r>
        <w:t>同</w:t>
      </w:r>
      <w:r>
        <w:rPr>
          <w:spacing w:val="-15"/>
        </w:rPr>
        <w:t>時</w:t>
      </w:r>
      <w:r>
        <w:t>確認了國家主權原則。</w:t>
      </w:r>
    </w:p>
    <w:p>
      <w:pPr>
        <w:pStyle w:val="4"/>
        <w:tabs>
          <w:tab w:val="left" w:pos="4320"/>
        </w:tabs>
        <w:spacing w:line="381" w:lineRule="auto"/>
        <w:ind w:left="120" w:right="157"/>
        <w:jc w:val="both"/>
      </w:pPr>
      <w:r>
        <w:rPr>
          <w:rFonts w:ascii="Book Antiqua" w:eastAsia="Book Antiqua"/>
        </w:rPr>
        <w:t>10</w:t>
      </w:r>
      <w:r>
        <w:t>、在</w:t>
      </w:r>
      <w:r>
        <w:rPr>
          <w:spacing w:val="12"/>
        </w:rPr>
        <w:t xml:space="preserve"> </w:t>
      </w:r>
      <w:r>
        <w:rPr>
          <w:rFonts w:ascii="Book Antiqua" w:eastAsia="Book Antiqua"/>
        </w:rPr>
        <w:t>19</w:t>
      </w:r>
      <w:r>
        <w:rPr>
          <w:rFonts w:ascii="Book Antiqua" w:eastAsia="Book Antiqua"/>
          <w:spacing w:val="13"/>
        </w:rPr>
        <w:t xml:space="preserve"> </w:t>
      </w:r>
      <w:r>
        <w:t>世紀中葉的歐洲，出現了一種以理性為武器，批判現實社會的文學</w:t>
      </w:r>
      <w:r>
        <w:rPr>
          <w:spacing w:val="-16"/>
        </w:rPr>
        <w:t>流</w:t>
      </w:r>
      <w:r>
        <w:t>派，這一流派被稱為（</w:t>
      </w:r>
      <w:r>
        <w:rPr>
          <w:rFonts w:hint="eastAsia"/>
          <w:lang w:val="en-US" w:eastAsia="zh-CN"/>
        </w:rPr>
        <w:t>批判現實主義文學</w:t>
      </w:r>
      <w:r>
        <w:tab/>
      </w:r>
      <w:r>
        <w:t>）。</w:t>
      </w:r>
    </w:p>
    <w:p>
      <w:pPr>
        <w:pStyle w:val="4"/>
        <w:rPr>
          <w:sz w:val="26"/>
        </w:rPr>
      </w:pPr>
    </w:p>
    <w:p>
      <w:pPr>
        <w:pStyle w:val="4"/>
        <w:rPr>
          <w:sz w:val="26"/>
        </w:rPr>
      </w:pPr>
    </w:p>
    <w:p>
      <w:pPr>
        <w:pStyle w:val="4"/>
        <w:rPr>
          <w:sz w:val="26"/>
        </w:rPr>
      </w:pPr>
    </w:p>
    <w:p>
      <w:pPr>
        <w:pStyle w:val="4"/>
        <w:rPr>
          <w:sz w:val="26"/>
        </w:rPr>
      </w:pPr>
    </w:p>
    <w:p>
      <w:pPr>
        <w:pStyle w:val="4"/>
        <w:spacing w:before="2"/>
        <w:rPr>
          <w:sz w:val="36"/>
        </w:rPr>
      </w:pPr>
    </w:p>
    <w:p>
      <w:pPr>
        <w:pStyle w:val="3"/>
      </w:pPr>
      <w:r>
        <w:t xml:space="preserve">二、簡述題（每題 </w:t>
      </w:r>
      <w:r>
        <w:rPr>
          <w:rFonts w:ascii="Book Antiqua" w:eastAsia="Book Antiqua"/>
        </w:rPr>
        <w:t xml:space="preserve">15 </w:t>
      </w:r>
      <w:r>
        <w:t xml:space="preserve">分，共 </w:t>
      </w:r>
      <w:r>
        <w:rPr>
          <w:rFonts w:ascii="Book Antiqua" w:eastAsia="Book Antiqua"/>
        </w:rPr>
        <w:t xml:space="preserve">30 </w:t>
      </w:r>
      <w:r>
        <w:t>分）</w:t>
      </w:r>
    </w:p>
    <w:p>
      <w:pPr>
        <w:pStyle w:val="4"/>
        <w:spacing w:before="197"/>
        <w:ind w:left="120"/>
      </w:pPr>
      <w:r>
        <w:rPr>
          <w:rFonts w:ascii="Book Antiqua" w:eastAsia="Book Antiqua"/>
        </w:rPr>
        <w:t>1</w:t>
      </w:r>
      <w:r>
        <w:t>、簡述希臘悲劇的命運主題和精神特徵。</w:t>
      </w:r>
    </w:p>
    <w:p>
      <w:pPr>
        <w:pStyle w:val="4"/>
        <w:spacing w:before="197"/>
        <w:ind w:left="120"/>
        <w:rPr>
          <w:rFonts w:hint="default"/>
          <w:lang w:val="en-US" w:eastAsia="zh-CN"/>
        </w:rPr>
      </w:pPr>
      <w:r>
        <w:rPr>
          <w:rFonts w:hint="eastAsia"/>
          <w:lang w:val="en-US" w:eastAsia="zh-CN"/>
        </w:rPr>
        <w:t xml:space="preserve">希臘悲劇的命運主題, </w:t>
      </w:r>
      <w:r>
        <w:rPr>
          <w:rFonts w:ascii="Book Antiqua" w:hAnsi="Book Antiqua" w:eastAsia="Book Antiqua"/>
          <w:spacing w:val="-10"/>
        </w:rPr>
        <w:t>“</w:t>
      </w:r>
      <w:r>
        <w:rPr>
          <w:rFonts w:hint="eastAsia"/>
          <w:lang w:val="en-US" w:eastAsia="zh-CN"/>
        </w:rPr>
        <w:t>再它最重要的意境就是命运与主人公之间的冲突；更多表现的是善良与邪恶之间的冲突；古希腊悲剧中没有善与恶、好与坏的明确区分与截然对立，善恶、好坏是以一种原始的和谐状态出现在同一个人身上的。古希腊悲剧中既没有高尚的哈姆雷特，也没有邪恶的克劳狄斯，悲剧人物的行为很难用一般的善恶标准加以评判。在悲剧中并不是善与恶这两种对立的自由意志发生激烈冲突，而是自由意志与潜藏在它背后的命运之间的冲突；造成冲突的不是一个人对另一个人的否定，而是自己对自己的否定。</w:t>
      </w:r>
      <w:r>
        <w:rPr>
          <w:rFonts w:hint="default"/>
          <w:lang w:val="en-US" w:eastAsia="zh-CN"/>
        </w:rPr>
        <w:t>”</w:t>
      </w:r>
      <w:r>
        <w:rPr>
          <w:rFonts w:hint="eastAsia"/>
          <w:lang w:val="en-US" w:eastAsia="zh-CN"/>
        </w:rPr>
        <w:t>這</w:t>
      </w:r>
      <w:r>
        <w:rPr>
          <w:rFonts w:hint="default"/>
          <w:lang w:val="en-US" w:eastAsia="zh-CN"/>
        </w:rPr>
        <w:t>是一种更为深刻的悲剧，它并未将悲剧看成是人滥用自由意志（恶）的结果，而是将悲剧理解为生存或生活的一般规律和某种终极性的宿命，是人的自为存在（自由意志）与自在存在（命运）之间的一场不可避免的冲突</w:t>
      </w:r>
      <w:r>
        <w:rPr>
          <w:rFonts w:hint="eastAsia"/>
          <w:lang w:val="en-US" w:eastAsia="zh-CN"/>
        </w:rPr>
        <w:t>.而這樣的思想和理念也構成了希臘悲劇的命運主題</w:t>
      </w:r>
    </w:p>
    <w:p>
      <w:pPr>
        <w:pStyle w:val="4"/>
        <w:spacing w:before="197"/>
        <w:ind w:left="120"/>
        <w:rPr>
          <w:rFonts w:hint="eastAsia"/>
          <w:lang w:val="en-US" w:eastAsia="zh-CN"/>
        </w:rPr>
      </w:pPr>
    </w:p>
    <w:p>
      <w:pPr>
        <w:pStyle w:val="4"/>
        <w:spacing w:before="197"/>
        <w:ind w:left="120"/>
        <w:rPr>
          <w:rFonts w:hint="default"/>
          <w:lang w:val="en-US" w:eastAsia="zh-CN"/>
        </w:rPr>
      </w:pPr>
      <w:r>
        <w:rPr>
          <w:rFonts w:hint="eastAsia"/>
          <w:lang w:val="en-US" w:eastAsia="zh-CN"/>
        </w:rPr>
        <w:t>古希臘悲劇的精神特征:毫無疑問,古希臘的悲劇影響了當時人們的精神世界和思想,既然悲剧是人生的必然遭遇，古希腊人便不再以悲切的凄楚之情面对人生，而是以泰然的乐观态度对待人生，因为他们相信，悲剧之后将会迎来一个更为美好的归宿。在这一点上，古希腊悲剧的贡献是十分卓著的，人能否解开命运之谜并不重要，重要的是能否承受命运之重。尽管古希腊悲剧中的人物总是受到命运的摆弄，心头也永远笼罩着浓重的哀愁和对自身渺小的无奈，但他们能够凭借崇高的自由意志和勇敢激昂的抗争精神，保持积极的生命意志。這就是古希臘的精神特徵.</w:t>
      </w:r>
    </w:p>
    <w:p>
      <w:pPr>
        <w:pStyle w:val="4"/>
        <w:spacing w:before="197"/>
        <w:ind w:left="120"/>
      </w:pPr>
    </w:p>
    <w:p>
      <w:pPr>
        <w:pStyle w:val="4"/>
        <w:spacing w:before="197"/>
        <w:ind w:left="120"/>
      </w:pPr>
    </w:p>
    <w:p>
      <w:pPr>
        <w:pStyle w:val="4"/>
        <w:spacing w:before="197"/>
        <w:ind w:left="120"/>
      </w:pPr>
    </w:p>
    <w:p>
      <w:pPr>
        <w:pStyle w:val="4"/>
        <w:spacing w:before="197"/>
        <w:ind w:left="120"/>
      </w:pPr>
    </w:p>
    <w:p>
      <w:pPr>
        <w:pStyle w:val="4"/>
        <w:spacing w:before="197"/>
        <w:ind w:left="120"/>
      </w:pPr>
    </w:p>
    <w:p>
      <w:pPr>
        <w:pStyle w:val="4"/>
        <w:spacing w:before="197"/>
        <w:ind w:left="120"/>
      </w:pPr>
    </w:p>
    <w:p>
      <w:pPr>
        <w:pStyle w:val="4"/>
        <w:spacing w:before="197"/>
        <w:ind w:left="120"/>
      </w:pPr>
    </w:p>
    <w:p>
      <w:pPr>
        <w:pStyle w:val="4"/>
        <w:spacing w:before="197"/>
      </w:pPr>
    </w:p>
    <w:p>
      <w:pPr>
        <w:pStyle w:val="4"/>
        <w:spacing w:before="231"/>
        <w:ind w:left="120"/>
      </w:pPr>
      <w:r>
        <w:rPr>
          <w:rFonts w:ascii="Book Antiqua" w:eastAsia="Book Antiqua"/>
        </w:rPr>
        <w:t>2</w:t>
      </w:r>
      <w:r>
        <w:t>、簡述西歐中世紀大學的基本情況與歷史作用。</w:t>
      </w:r>
    </w:p>
    <w:p>
      <w:pPr>
        <w:spacing w:after="0"/>
      </w:pPr>
    </w:p>
    <w:p>
      <w:pPr>
        <w:spacing w:after="0"/>
        <w:rPr>
          <w:rFonts w:hint="eastAsia"/>
          <w:lang w:val="en-US" w:eastAsia="zh-CN"/>
        </w:rPr>
      </w:pPr>
      <w:r>
        <w:rPr>
          <w:rFonts w:hint="eastAsia"/>
          <w:lang w:val="en-US" w:eastAsia="zh-CN"/>
        </w:rPr>
        <w:t>西歐中世紀大學的基本情況:西欧中世纪大学大多是在教会学校的基础上自发发展而成。正如中世纪其它行业的行会组织一样，西欧中世纪大学是以学生行会或者教师行会为</w:t>
      </w:r>
    </w:p>
    <w:p>
      <w:pPr>
        <w:spacing w:after="0"/>
        <w:rPr>
          <w:rFonts w:hint="eastAsia"/>
          <w:lang w:val="en-US" w:eastAsia="zh-CN"/>
        </w:rPr>
      </w:pPr>
      <w:r>
        <w:rPr>
          <w:rFonts w:hint="eastAsia"/>
          <w:lang w:val="en-US" w:eastAsia="zh-CN"/>
        </w:rPr>
        <w:t>组织形式的具有司法特征的法律自治实体。这一特性为大学的独立发展提供了制度上的保障，从而保护了学术的自由。虽然当时绝大多数大学受到教会的管辖或者制约，但是自然科学方面的课程以及亚里士多德的著作仍然成为大学里人人必修的课程，医学系和神学系的全体教师也是各自独立的 这一状况的形成有赖于两个基本因素:一、基督教并 不排斥对客观世界的探索和研究;二、西欧中世纪独 特的政教二元政治体系为大学的独立发展提供了空 间。随着城市经济的发展和新兴市民阶层力量的逐渐壮大，新的教育机构和形式开始出现。其中，最值得注意的是中世纪大学和城市学校。最初的中世纪大学是在随着自由研究和讲学的基础上发展起来的。如西欧中世纪最早的大学意大利萨莱诺大学，其前身是一所医学校。犹太人修士君士坦丁·阿弗利堪那斯在学校将希腊和阿拉伯人的医学名著翻译成拉丁文，吸引了各国青年纷纷慕名而来，在此基础上建立了西欧中世纪第一所大学。1131年，德意志国外巴巴罗萨发布敕令，承认它是一所专门从事医学教育和研究的大学。其他著名的中世纪大学还有意大利波隆那大学，法国巴黎大学，英国牛津大学、剑桥大学，德国海德堡大学、科隆大学等。13世纪以后，各国学者和世俗封建主竞相建立大学。据有的学者统计，至13~14世纪，意大利设立大学18所，法国16所，西班牙和葡萄牙共15所。中世纪大学的基本目标是培养目标和教学内容显然不同。因此，中世纪大学不但是一种新的教育机构，而且它还代表了一种新的思想。</w:t>
      </w:r>
      <w:bookmarkStart w:id="0" w:name="_GoBack"/>
      <w:bookmarkEnd w:id="0"/>
    </w:p>
    <w:p>
      <w:pPr>
        <w:spacing w:after="0"/>
        <w:rPr>
          <w:rFonts w:hint="eastAsia"/>
          <w:lang w:val="en-US" w:eastAsia="zh-CN"/>
        </w:rPr>
      </w:pPr>
    </w:p>
    <w:p>
      <w:pPr>
        <w:spacing w:after="0"/>
        <w:rPr>
          <w:rFonts w:hint="eastAsia"/>
          <w:lang w:val="en-US" w:eastAsia="zh-CN"/>
        </w:rPr>
      </w:pPr>
    </w:p>
    <w:p>
      <w:pPr>
        <w:spacing w:after="0"/>
        <w:rPr>
          <w:rFonts w:hint="eastAsia"/>
          <w:lang w:val="en-US" w:eastAsia="zh-CN"/>
        </w:rPr>
      </w:pPr>
    </w:p>
    <w:p>
      <w:pPr>
        <w:spacing w:after="0"/>
        <w:rPr>
          <w:rFonts w:hint="eastAsia"/>
          <w:lang w:val="en-US" w:eastAsia="zh-CN"/>
        </w:rPr>
      </w:pPr>
    </w:p>
    <w:p>
      <w:pPr>
        <w:spacing w:after="0"/>
        <w:rPr>
          <w:rFonts w:hint="default"/>
          <w:lang w:val="en-US" w:eastAsia="zh-CN"/>
        </w:rPr>
        <w:sectPr>
          <w:pgSz w:w="11910" w:h="16840"/>
          <w:pgMar w:top="1500" w:right="1640" w:bottom="1220" w:left="1680" w:header="0" w:footer="1034" w:gutter="0"/>
          <w:cols w:space="720" w:num="1"/>
        </w:sectPr>
      </w:pPr>
      <w:r>
        <w:rPr>
          <w:rFonts w:hint="eastAsia"/>
          <w:lang w:val="en-US" w:eastAsia="zh-CN"/>
        </w:rPr>
        <w:t>歷史作用:随着西欧中世纪后期城市的发展，理性的复苏 以及个人独立意识的觉醒，大学以其独特的优势培 养出了大批精通自然科学的人才，从而为中世纪科 学的产生奠定了基础。至15世纪，几乎西欧所有的大城市都办起了城市学校。城市学校的兴起和发展对处于萌芽阶段的资本主义生产方式的成长起了促进作用。中世紀大學不僅是教育史上的巨大突破,它所提倡的自由,獨立自治也是人類文明的財富.</w:t>
      </w:r>
    </w:p>
    <w:p>
      <w:pPr>
        <w:pStyle w:val="2"/>
        <w:spacing w:before="11"/>
        <w:rPr>
          <w:rFonts w:ascii="Book Antiqua" w:eastAsia="Book Antiqua"/>
        </w:rPr>
      </w:pPr>
      <w:r>
        <w:rPr>
          <w:rFonts w:ascii="Times New Roman" w:eastAsia="Times New Roman"/>
          <w:spacing w:val="-80"/>
          <w:w w:val="99"/>
          <w:u w:val="single"/>
        </w:rPr>
        <w:t xml:space="preserve"> </w:t>
      </w:r>
      <w:r>
        <w:rPr>
          <w:spacing w:val="15"/>
          <w:u w:val="single"/>
        </w:rPr>
        <w:t xml:space="preserve">中通部份 </w:t>
      </w:r>
      <w:r>
        <w:rPr>
          <w:rFonts w:ascii="Book Antiqua" w:eastAsia="Book Antiqua"/>
          <w:u w:val="single"/>
        </w:rPr>
        <w:t>(</w:t>
      </w:r>
      <w:r>
        <w:rPr>
          <w:spacing w:val="-1"/>
          <w:u w:val="single"/>
        </w:rPr>
        <w:t xml:space="preserve">共 </w:t>
      </w:r>
      <w:r>
        <w:rPr>
          <w:rFonts w:ascii="Book Antiqua" w:eastAsia="Book Antiqua"/>
          <w:u w:val="single"/>
        </w:rPr>
        <w:t xml:space="preserve">40 </w:t>
      </w:r>
      <w:r>
        <w:rPr>
          <w:u w:val="single"/>
        </w:rPr>
        <w:t>分</w:t>
      </w:r>
      <w:r>
        <w:rPr>
          <w:rFonts w:ascii="Book Antiqua" w:eastAsia="Book Antiqua"/>
          <w:u w:val="single"/>
        </w:rPr>
        <w:t>)</w:t>
      </w:r>
    </w:p>
    <w:p>
      <w:pPr>
        <w:pStyle w:val="4"/>
        <w:rPr>
          <w:rFonts w:ascii="Book Antiqua"/>
          <w:sz w:val="20"/>
        </w:rPr>
      </w:pPr>
    </w:p>
    <w:p>
      <w:pPr>
        <w:pStyle w:val="4"/>
        <w:spacing w:before="8"/>
        <w:rPr>
          <w:rFonts w:ascii="Book Antiqua"/>
          <w:sz w:val="26"/>
        </w:rPr>
      </w:pPr>
    </w:p>
    <w:p>
      <w:pPr>
        <w:pStyle w:val="4"/>
        <w:spacing w:before="53" w:line="381" w:lineRule="auto"/>
        <w:ind w:left="120" w:right="99"/>
        <w:jc w:val="both"/>
        <w:rPr>
          <w:rFonts w:ascii="Book Antiqua" w:hAnsi="Book Antiqua" w:eastAsia="Book Antiqua"/>
        </w:rPr>
      </w:pPr>
      <w:r>
        <w:rPr>
          <w:spacing w:val="-12"/>
        </w:rPr>
        <w:t>一 論述題：司馬遷《太史公自序》曰：</w:t>
      </w:r>
      <w:r>
        <w:rPr>
          <w:rFonts w:ascii="Book Antiqua" w:hAnsi="Book Antiqua" w:eastAsia="Book Antiqua"/>
          <w:spacing w:val="-10"/>
        </w:rPr>
        <w:t>“</w:t>
      </w:r>
      <w:r>
        <w:rPr>
          <w:spacing w:val="-13"/>
        </w:rPr>
        <w:t>昔西伯拘羑裡，演《周易》；孔子戹陳、</w:t>
      </w:r>
      <w:r>
        <w:rPr>
          <w:spacing w:val="-18"/>
        </w:rPr>
        <w:t xml:space="preserve">蔡，作《春秋》；屈原放逐，著《離騷》；左丘失明，厥有《國語》；孫子臏腳， </w:t>
      </w:r>
      <w:r>
        <w:rPr>
          <w:spacing w:val="-9"/>
        </w:rPr>
        <w:t>而論兵法；不韋遷蜀，世傳《呂覽》；韓非囚秦，《説難》《孤憤》。《詩》三</w:t>
      </w:r>
      <w:r>
        <w:rPr>
          <w:spacing w:val="-17"/>
        </w:rPr>
        <w:t xml:space="preserve">百篇，大抵賢聖發憤之所為作也。此人皆意有所鬱結，不得通其道也。故述往事， </w:t>
      </w:r>
      <w:r>
        <w:t>思來者。</w:t>
      </w:r>
      <w:r>
        <w:rPr>
          <w:rFonts w:ascii="Book Antiqua" w:hAnsi="Book Antiqua" w:eastAsia="Book Antiqua"/>
        </w:rPr>
        <w:t>”</w:t>
      </w:r>
      <w:r>
        <w:t>發憤著書，有為而作，原是中國古代文學藝術創作的傳統之一，請就</w:t>
      </w:r>
      <w:r>
        <w:rPr>
          <w:spacing w:val="3"/>
        </w:rPr>
        <w:t xml:space="preserve">你平日閱讀所及，舉例對此進行論述。 </w:t>
      </w:r>
      <w:r>
        <w:rPr>
          <w:rFonts w:ascii="Book Antiqua" w:hAnsi="Book Antiqua" w:eastAsia="Book Antiqua"/>
        </w:rPr>
        <w:t xml:space="preserve">(20 </w:t>
      </w:r>
      <w:r>
        <w:t>分</w:t>
      </w:r>
      <w:r>
        <w:rPr>
          <w:rFonts w:ascii="Book Antiqua" w:hAnsi="Book Antiqua" w:eastAsia="Book Antiqua"/>
        </w:rPr>
        <w:t>)</w:t>
      </w:r>
    </w:p>
    <w:p>
      <w:pPr>
        <w:pStyle w:val="4"/>
        <w:rPr>
          <w:rFonts w:hint="eastAsia" w:ascii="Book Antiqua" w:hAnsi="Book Antiqua" w:eastAsia="宋体"/>
          <w:spacing w:val="-10"/>
          <w:lang w:val="en-US" w:eastAsia="zh-CN"/>
        </w:rPr>
      </w:pPr>
      <w:r>
        <w:rPr>
          <w:rFonts w:hint="eastAsia" w:ascii="Book Antiqua"/>
          <w:sz w:val="28"/>
          <w:lang w:val="en-US" w:eastAsia="zh-CN"/>
        </w:rPr>
        <w:t>正如太史公所述,</w:t>
      </w:r>
      <w:r>
        <w:rPr>
          <w:rFonts w:hint="eastAsia" w:ascii="Book Antiqua" w:hAnsi="Book Antiqua" w:eastAsia="宋体"/>
          <w:spacing w:val="-10"/>
          <w:lang w:val="en-US" w:eastAsia="zh-CN"/>
        </w:rPr>
        <w:t>發憤著書,有爲而作本為中國古代文化傳統之一.</w:t>
      </w:r>
    </w:p>
    <w:p>
      <w:pPr>
        <w:pStyle w:val="4"/>
        <w:rPr>
          <w:rFonts w:hint="eastAsia"/>
          <w:spacing w:val="-9"/>
          <w:lang w:val="en-US" w:eastAsia="zh-CN"/>
        </w:rPr>
      </w:pPr>
      <w:r>
        <w:rPr>
          <w:rFonts w:hint="eastAsia" w:ascii="Book Antiqua" w:hAnsi="Book Antiqua" w:eastAsia="宋体"/>
          <w:spacing w:val="-10"/>
          <w:lang w:val="en-US" w:eastAsia="zh-CN"/>
        </w:rPr>
        <w:t>在</w:t>
      </w:r>
      <w:r>
        <w:rPr>
          <w:spacing w:val="-12"/>
        </w:rPr>
        <w:t>《太史公自序》</w:t>
      </w:r>
      <w:r>
        <w:rPr>
          <w:rFonts w:hint="eastAsia"/>
          <w:spacing w:val="-12"/>
          <w:lang w:val="en-US" w:eastAsia="zh-CN"/>
        </w:rPr>
        <w:t>中,司馬遷例舉了衆多聖賢發憤而寫作的,如受困厄的孔夫子,被拘留的周易,失去光明的左丘明,截去膝蓋的孫臏等等,這些人在遭遇不幸后,憤而寫作,情有鬱結,進行創作才能夠抒發.於是, 如</w:t>
      </w:r>
      <w:r>
        <w:rPr>
          <w:spacing w:val="-9"/>
        </w:rPr>
        <w:t>《</w:t>
      </w:r>
      <w:r>
        <w:rPr>
          <w:rFonts w:hint="eastAsia"/>
          <w:spacing w:val="-12"/>
          <w:lang w:val="en-US" w:eastAsia="zh-CN"/>
        </w:rPr>
        <w:t>兵法</w:t>
      </w:r>
      <w:r>
        <w:rPr>
          <w:spacing w:val="-9"/>
        </w:rPr>
        <w:t>》</w:t>
      </w:r>
      <w:r>
        <w:rPr>
          <w:rFonts w:hint="eastAsia"/>
          <w:spacing w:val="-12"/>
          <w:lang w:val="en-US" w:eastAsia="zh-CN"/>
        </w:rPr>
        <w:t xml:space="preserve">, </w:t>
      </w:r>
      <w:r>
        <w:rPr>
          <w:spacing w:val="-9"/>
        </w:rPr>
        <w:t>《</w:t>
      </w:r>
      <w:r>
        <w:rPr>
          <w:rFonts w:hint="eastAsia"/>
          <w:spacing w:val="-12"/>
          <w:lang w:val="en-US" w:eastAsia="zh-CN"/>
        </w:rPr>
        <w:t>國語</w:t>
      </w:r>
      <w:r>
        <w:rPr>
          <w:spacing w:val="-9"/>
        </w:rPr>
        <w:t>》</w:t>
      </w:r>
      <w:r>
        <w:rPr>
          <w:rFonts w:hint="eastAsia"/>
          <w:spacing w:val="-9"/>
          <w:lang w:val="en-US" w:eastAsia="zh-CN"/>
        </w:rPr>
        <w:t>等經典才得以問世.</w:t>
      </w:r>
    </w:p>
    <w:p>
      <w:pPr>
        <w:pStyle w:val="4"/>
        <w:rPr>
          <w:rFonts w:hint="eastAsia"/>
          <w:spacing w:val="-9"/>
          <w:lang w:val="en-US" w:eastAsia="zh-CN"/>
        </w:rPr>
      </w:pPr>
      <w:r>
        <w:rPr>
          <w:rFonts w:hint="eastAsia"/>
          <w:spacing w:val="-9"/>
          <w:lang w:val="en-US" w:eastAsia="zh-CN"/>
        </w:rPr>
        <w:t>在司馬遷之前這些發憤著書的例子已經數不勝數,而在西漢后的幾千年中,同樣比比皆是,如宋朝的蘇東坡,因烏台詩案而被貶,從黃州,惠陽,最遠到海南.但他在困境中仍能讓</w:t>
      </w:r>
      <w:r>
        <w:rPr>
          <w:spacing w:val="-9"/>
        </w:rPr>
        <w:t>《</w:t>
      </w:r>
      <w:r>
        <w:rPr>
          <w:rFonts w:hint="eastAsia"/>
          <w:spacing w:val="-9"/>
          <w:lang w:val="en-US" w:eastAsia="zh-CN"/>
        </w:rPr>
        <w:t>赤壁賦</w:t>
      </w:r>
      <w:r>
        <w:rPr>
          <w:spacing w:val="-9"/>
        </w:rPr>
        <w:t>》</w:t>
      </w:r>
      <w:r>
        <w:rPr>
          <w:rFonts w:hint="eastAsia"/>
          <w:spacing w:val="-9"/>
          <w:lang w:val="en-US" w:eastAsia="zh-CN"/>
        </w:rPr>
        <w:t>,</w:t>
      </w:r>
      <w:r>
        <w:rPr>
          <w:spacing w:val="-9"/>
        </w:rPr>
        <w:t>《</w:t>
      </w:r>
      <w:r>
        <w:rPr>
          <w:rFonts w:hint="eastAsia"/>
          <w:spacing w:val="-9"/>
          <w:lang w:val="en-US" w:eastAsia="zh-CN"/>
        </w:rPr>
        <w:t xml:space="preserve"> 念奴嬌.赤壁懷古</w:t>
      </w:r>
      <w:r>
        <w:rPr>
          <w:spacing w:val="-9"/>
        </w:rPr>
        <w:t>》</w:t>
      </w:r>
      <w:r>
        <w:rPr>
          <w:rFonts w:hint="eastAsia"/>
          <w:spacing w:val="-9"/>
          <w:lang w:val="en-US" w:eastAsia="zh-CN"/>
        </w:rPr>
        <w:t xml:space="preserve">等作品問世.范仲淹在外被貶時仍不忘 </w:t>
      </w:r>
      <w:r>
        <w:rPr>
          <w:rFonts w:ascii="Book Antiqua" w:hAnsi="Book Antiqua" w:eastAsia="Book Antiqua"/>
          <w:spacing w:val="-10"/>
        </w:rPr>
        <w:t>“</w:t>
      </w:r>
      <w:r>
        <w:rPr>
          <w:rFonts w:hint="eastAsia"/>
          <w:spacing w:val="-9"/>
          <w:lang w:val="en-US" w:eastAsia="zh-CN"/>
        </w:rPr>
        <w:t>先天下之憂而憂,后天下之樂而樂</w:t>
      </w:r>
      <w:r>
        <w:rPr>
          <w:rFonts w:ascii="Book Antiqua" w:hAnsi="Book Antiqua" w:eastAsia="Book Antiqua"/>
        </w:rPr>
        <w:t>”</w:t>
      </w:r>
      <w:r>
        <w:rPr>
          <w:rFonts w:hint="eastAsia" w:ascii="Book Antiqua" w:hAnsi="Book Antiqua" w:eastAsia="宋体"/>
          <w:lang w:val="en-US" w:eastAsia="zh-CN"/>
        </w:rPr>
        <w:t>另外如杜甫的</w:t>
      </w:r>
      <w:r>
        <w:rPr>
          <w:spacing w:val="-9"/>
        </w:rPr>
        <w:t>《</w:t>
      </w:r>
      <w:r>
        <w:rPr>
          <w:rFonts w:hint="eastAsia" w:ascii="Book Antiqua" w:hAnsi="Book Antiqua" w:eastAsia="宋体"/>
          <w:lang w:val="en-US" w:eastAsia="zh-CN"/>
        </w:rPr>
        <w:t>石壕吏</w:t>
      </w:r>
      <w:r>
        <w:rPr>
          <w:spacing w:val="-9"/>
        </w:rPr>
        <w:t>》</w:t>
      </w:r>
      <w:r>
        <w:rPr>
          <w:rFonts w:hint="eastAsia" w:ascii="Book Antiqua" w:hAnsi="Book Antiqua" w:eastAsia="宋体"/>
          <w:lang w:val="en-US" w:eastAsia="zh-CN"/>
        </w:rPr>
        <w:t>,</w:t>
      </w:r>
      <w:r>
        <w:rPr>
          <w:spacing w:val="-9"/>
        </w:rPr>
        <w:t>《</w:t>
      </w:r>
      <w:r>
        <w:rPr>
          <w:rFonts w:hint="eastAsia" w:ascii="Book Antiqua" w:hAnsi="Book Antiqua" w:eastAsia="宋体"/>
          <w:lang w:val="en-US" w:eastAsia="zh-CN"/>
        </w:rPr>
        <w:t>新安吏</w:t>
      </w:r>
      <w:r>
        <w:rPr>
          <w:spacing w:val="-9"/>
        </w:rPr>
        <w:t>》</w:t>
      </w:r>
      <w:r>
        <w:rPr>
          <w:rFonts w:hint="eastAsia"/>
          <w:spacing w:val="-9"/>
          <w:lang w:val="en-US" w:eastAsia="zh-CN"/>
        </w:rPr>
        <w:t>等更是數不勝數.</w:t>
      </w:r>
    </w:p>
    <w:p>
      <w:pPr>
        <w:pStyle w:val="4"/>
        <w:rPr>
          <w:rFonts w:hint="default"/>
          <w:spacing w:val="-9"/>
          <w:lang w:val="en-US" w:eastAsia="zh-CN"/>
        </w:rPr>
      </w:pPr>
      <w:r>
        <w:rPr>
          <w:rFonts w:hint="eastAsia"/>
          <w:spacing w:val="-9"/>
          <w:lang w:val="en-US" w:eastAsia="zh-CN"/>
        </w:rPr>
        <w:t>而司馬遷本身同樣如此,因寫</w:t>
      </w:r>
      <w:r>
        <w:rPr>
          <w:spacing w:val="-9"/>
        </w:rPr>
        <w:t>《</w:t>
      </w:r>
      <w:r>
        <w:rPr>
          <w:rFonts w:hint="eastAsia"/>
          <w:spacing w:val="-9"/>
          <w:lang w:val="en-US" w:eastAsia="zh-CN"/>
        </w:rPr>
        <w:t>史記</w:t>
      </w:r>
      <w:r>
        <w:rPr>
          <w:spacing w:val="-12"/>
        </w:rPr>
        <w:t>》</w:t>
      </w:r>
      <w:r>
        <w:rPr>
          <w:rFonts w:hint="eastAsia"/>
          <w:spacing w:val="-12"/>
          <w:lang w:val="en-US" w:eastAsia="zh-CN"/>
        </w:rPr>
        <w:t>而惹怒漢武帝,自己慘遭宮刑之辱.在這樣的困境中,他仍舊把這一史詩級巨作寫完.</w:t>
      </w:r>
      <w:r>
        <w:rPr>
          <w:rFonts w:hint="eastAsia"/>
          <w:spacing w:val="-9"/>
          <w:lang w:val="en-US" w:eastAsia="zh-CN"/>
        </w:rPr>
        <w:t>因此可見,由司馬遷提出的發憤著書是他著眼了自身與整合歷史總結出的文學理論,揭示了苦難人生經歷和文學創作時的關聯,因此可以知道發憤而作,有為而作是中國古代文學藝術創作的傳統之一.</w:t>
      </w:r>
    </w:p>
    <w:p>
      <w:pPr>
        <w:pStyle w:val="4"/>
        <w:rPr>
          <w:rFonts w:ascii="Book Antiqua"/>
          <w:sz w:val="28"/>
        </w:rPr>
      </w:pPr>
    </w:p>
    <w:p>
      <w:pPr>
        <w:pStyle w:val="4"/>
        <w:rPr>
          <w:rFonts w:ascii="Book Antiqua"/>
          <w:sz w:val="28"/>
        </w:rPr>
      </w:pPr>
    </w:p>
    <w:p>
      <w:pPr>
        <w:pStyle w:val="4"/>
        <w:rPr>
          <w:rFonts w:ascii="Book Antiqua"/>
          <w:sz w:val="28"/>
        </w:rPr>
      </w:pPr>
    </w:p>
    <w:p>
      <w:pPr>
        <w:pStyle w:val="4"/>
        <w:rPr>
          <w:rFonts w:ascii="Book Antiqua"/>
          <w:sz w:val="28"/>
        </w:rPr>
      </w:pPr>
    </w:p>
    <w:p>
      <w:pPr>
        <w:pStyle w:val="4"/>
        <w:rPr>
          <w:rFonts w:ascii="Book Antiqua"/>
          <w:sz w:val="28"/>
        </w:rPr>
      </w:pPr>
    </w:p>
    <w:p>
      <w:pPr>
        <w:pStyle w:val="4"/>
        <w:spacing w:before="243" w:line="381" w:lineRule="auto"/>
        <w:ind w:left="120" w:right="164"/>
        <w:jc w:val="both"/>
        <w:rPr>
          <w:rFonts w:ascii="Book Antiqua" w:eastAsia="Book Antiqua"/>
        </w:rPr>
      </w:pPr>
      <w:r>
        <w:t>二 問答題：中國古代的選官制度有哪幾種？請以科舉制為例，說明中國古代選官制度的利與弊。</w:t>
      </w:r>
      <w:r>
        <w:rPr>
          <w:rFonts w:ascii="Book Antiqua" w:eastAsia="Book Antiqua"/>
        </w:rPr>
        <w:t xml:space="preserve">(20 </w:t>
      </w:r>
      <w:r>
        <w:t>分</w:t>
      </w:r>
      <w:r>
        <w:rPr>
          <w:rFonts w:ascii="Book Antiqua" w:eastAsia="Book Antiqua"/>
        </w:rPr>
        <w:t>)</w:t>
      </w:r>
    </w:p>
    <w:p>
      <w:pPr>
        <w:pStyle w:val="4"/>
        <w:spacing w:before="243" w:line="381" w:lineRule="auto"/>
        <w:ind w:left="120" w:right="164"/>
        <w:jc w:val="both"/>
        <w:rPr>
          <w:rFonts w:hint="eastAsia" w:ascii="Book Antiqua" w:eastAsia="宋体"/>
          <w:lang w:val="en-US" w:eastAsia="zh-CN"/>
        </w:rPr>
      </w:pPr>
      <w:r>
        <w:rPr>
          <w:rFonts w:hint="eastAsia" w:ascii="Book Antiqua" w:eastAsia="宋体"/>
          <w:lang w:val="en-US" w:eastAsia="zh-CN"/>
        </w:rPr>
        <w:t>中國古代的選舉官員制度,經歷了多次重大轉變,由周朝的世卿世祿制到秦朝的因功授官,到兩漢時期的察舉制,之後魏晉時期的九品中正制,到隋唐時期的科舉制,并爲後代王朝所沿襲,其中以科舉制的影響力最大,持續時間最久.</w:t>
      </w:r>
    </w:p>
    <w:p>
      <w:pPr>
        <w:pStyle w:val="4"/>
        <w:spacing w:before="243" w:line="381" w:lineRule="auto"/>
        <w:ind w:left="120" w:right="164"/>
        <w:jc w:val="both"/>
        <w:rPr>
          <w:rFonts w:hint="eastAsia" w:ascii="Book Antiqua" w:eastAsia="宋体"/>
          <w:lang w:val="en-US" w:eastAsia="zh-CN"/>
        </w:rPr>
      </w:pPr>
      <w:r>
        <w:rPr>
          <w:rFonts w:hint="eastAsia" w:ascii="Book Antiqua" w:eastAsia="宋体"/>
          <w:lang w:val="en-US" w:eastAsia="zh-CN"/>
        </w:rPr>
        <w:t>從科舉制的角度看古代選官制度,無論是之前朝代的察舉制還是九品中正制,都從屬于推舉制度,所以我們也可以發現古代選官制度的利與弊.</w:t>
      </w:r>
    </w:p>
    <w:p>
      <w:pPr>
        <w:pStyle w:val="4"/>
        <w:spacing w:before="243" w:line="381" w:lineRule="auto"/>
        <w:ind w:left="120" w:right="164"/>
        <w:jc w:val="both"/>
        <w:rPr>
          <w:rFonts w:hint="eastAsia" w:ascii="Book Antiqua" w:eastAsia="宋体"/>
          <w:lang w:val="en-US" w:eastAsia="zh-CN"/>
        </w:rPr>
      </w:pPr>
      <w:r>
        <w:rPr>
          <w:rFonts w:hint="eastAsia" w:ascii="Book Antiqua" w:eastAsia="宋体"/>
          <w:lang w:val="en-US" w:eastAsia="zh-CN"/>
        </w:rPr>
        <w:t>中國古代選官制度的好處有很多, 科舉創立之前,雖然察舉制度和九品中正制度也旨在全面考察德行,才幹,學問,但很容易徇私舞弊,淪爲權貴的工具,下品無氏族,上平無寒門.科舉制度的出現改變了這些,科舉内容只要是儒家經典,評定標準客觀統一,容易識別高下,方便選官,確保了人才選拔的素質.另外,選拔向全國開放,各地方各階級人員皆可參與,進而參與國政,加强了社會對國家的向心力,加强了國家皇權的統治.科舉的不看重出身也加强了各階級的流動,化解了底層人士的不滿有利於維持社會穩定.因此,從科舉來看,古代官場與該選官制度配合有很多益處.</w:t>
      </w:r>
    </w:p>
    <w:p>
      <w:pPr>
        <w:pStyle w:val="4"/>
        <w:spacing w:before="243" w:line="381" w:lineRule="auto"/>
        <w:ind w:left="120" w:right="164"/>
        <w:jc w:val="both"/>
        <w:rPr>
          <w:rFonts w:hint="eastAsia" w:ascii="Book Antiqua" w:eastAsia="宋体"/>
          <w:lang w:val="en-US" w:eastAsia="zh-CN"/>
        </w:rPr>
      </w:pPr>
      <w:r>
        <w:rPr>
          <w:rFonts w:hint="eastAsia" w:ascii="Book Antiqua" w:eastAsia="宋体"/>
          <w:lang w:val="en-US" w:eastAsia="zh-CN"/>
        </w:rPr>
        <w:t>然而與此同時,以科舉制度為代表的古代選官制度的弊端也是顯而易見的,如明朝時期的八股取士,要求考生模仿古人,限制了自由發揮.且評卷標準化,造成思維刻板,不容許個人見解,思想閉塞,學問空洞的弊端.相似的情況也發生在宋朝,考生只能依靠程朱理學,不能有其他見解.科舉考試限制人才發展方向.另外,科擧考試在清朝多次泄題,明朝時期科甲朋黨的出現嚴重消耗了國家實力,導致國家大亂.在鴉片戰爭之後,人們發現八股文無法抵抗列强的大炮和火槍,科擧考試無法挽救國家的衰落,於是被廢除.</w:t>
      </w:r>
    </w:p>
    <w:p>
      <w:pPr>
        <w:pStyle w:val="4"/>
        <w:spacing w:before="243" w:line="381" w:lineRule="auto"/>
        <w:ind w:left="120" w:right="164"/>
        <w:jc w:val="both"/>
        <w:rPr>
          <w:rFonts w:hint="default" w:ascii="Book Antiqua" w:eastAsia="宋体"/>
          <w:lang w:val="en-US" w:eastAsia="zh-CN"/>
        </w:rPr>
      </w:pPr>
      <w:r>
        <w:rPr>
          <w:rFonts w:hint="eastAsia" w:ascii="Book Antiqua" w:eastAsia="宋体"/>
          <w:lang w:val="en-US" w:eastAsia="zh-CN"/>
        </w:rPr>
        <w:t>因此我們可以看出,科舉考試對中國古代的官場制度有很大影響,同時伴隨著好處和弊端.</w:t>
      </w:r>
    </w:p>
    <w:p>
      <w:pPr>
        <w:pStyle w:val="4"/>
        <w:spacing w:before="243" w:line="381" w:lineRule="auto"/>
        <w:ind w:left="120" w:right="164"/>
        <w:jc w:val="both"/>
        <w:rPr>
          <w:rFonts w:hint="default" w:ascii="Book Antiqua" w:eastAsia="宋体"/>
          <w:lang w:val="en-US" w:eastAsia="zh-CN"/>
        </w:rPr>
      </w:pPr>
    </w:p>
    <w:sectPr>
      <w:pgSz w:w="11910" w:h="16840"/>
      <w:pgMar w:top="1460" w:right="1640" w:bottom="1220" w:left="1680" w:header="0" w:footer="103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Book Antiqua">
    <w:panose1 w:val="0204060205030503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3583940</wp:posOffset>
              </wp:positionH>
              <wp:positionV relativeFrom="page">
                <wp:posOffset>9895840</wp:posOffset>
              </wp:positionV>
              <wp:extent cx="382270" cy="1631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82270" cy="163195"/>
                      </a:xfrm>
                      <a:prstGeom prst="rect">
                        <a:avLst/>
                      </a:prstGeom>
                      <a:noFill/>
                      <a:ln>
                        <a:noFill/>
                      </a:ln>
                    </wps:spPr>
                    <wps:txbx>
                      <w:txbxContent>
                        <w:p>
                          <w:pPr>
                            <w:spacing w:before="0" w:line="257" w:lineRule="exact"/>
                            <w:ind w:left="40" w:right="0" w:firstLine="0"/>
                            <w:jc w:val="left"/>
                            <w:rPr>
                              <w:rFonts w:ascii="Book Antiqua" w:eastAsia="Book Antiqua"/>
                              <w:b/>
                              <w:sz w:val="18"/>
                            </w:rPr>
                          </w:pPr>
                          <w:r>
                            <w:fldChar w:fldCharType="begin"/>
                          </w:r>
                          <w:r>
                            <w:rPr>
                              <w:rFonts w:ascii="Book Antiqua" w:eastAsia="Book Antiqua"/>
                              <w:b/>
                              <w:sz w:val="18"/>
                            </w:rPr>
                            <w:instrText xml:space="preserve"> PAGE </w:instrText>
                          </w:r>
                          <w:r>
                            <w:fldChar w:fldCharType="separate"/>
                          </w:r>
                          <w:r>
                            <w:t>1</w:t>
                          </w:r>
                          <w:r>
                            <w:fldChar w:fldCharType="end"/>
                          </w:r>
                          <w:r>
                            <w:rPr>
                              <w:rFonts w:ascii="Book Antiqua" w:eastAsia="Book Antiqua"/>
                              <w:b/>
                              <w:sz w:val="18"/>
                            </w:rPr>
                            <w:t xml:space="preserve"> </w:t>
                          </w:r>
                          <w:r>
                            <w:rPr>
                              <w:sz w:val="18"/>
                            </w:rPr>
                            <w:t xml:space="preserve">的 </w:t>
                          </w:r>
                          <w:r>
                            <w:rPr>
                              <w:rFonts w:ascii="Book Antiqua" w:eastAsia="Book Antiqua"/>
                              <w:b/>
                              <w:sz w:val="18"/>
                            </w:rPr>
                            <w:t>3</w:t>
                          </w:r>
                        </w:p>
                      </w:txbxContent>
                    </wps:txbx>
                    <wps:bodyPr lIns="0" tIns="0" rIns="0" bIns="0" upright="1"/>
                  </wps:wsp>
                </a:graphicData>
              </a:graphic>
            </wp:anchor>
          </w:drawing>
        </mc:Choice>
        <mc:Fallback>
          <w:pict>
            <v:shape id="_x0000_s1026" o:spid="_x0000_s1026" o:spt="202" type="#_x0000_t202" style="position:absolute;left:0pt;margin-left:282.2pt;margin-top:779.2pt;height:12.85pt;width:30.1pt;mso-position-horizontal-relative:page;mso-position-vertical-relative:page;z-index:-251657216;mso-width-relative:page;mso-height-relative:page;" filled="f" stroked="f" coordsize="21600,21600" o:gfxdata="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zuxQ9oAAAANAQAADwAAAAAAAAABACAAAAAiAAAAZHJzL2Rvd25yZXYueG1sUEsB&#10;AhQAFAAAAAgAh07iQCjHUSG6AQAAcQMAAA4AAAAAAAAAAQAgAAAAKQEAAGRycy9lMm9Eb2MueG1s&#10;UEsFBgAAAAAGAAYAWQEAAFUFAAAAAA==&#10;">
              <v:fill on="f" focussize="0,0"/>
              <v:stroke on="f"/>
              <v:imagedata o:title=""/>
              <o:lock v:ext="edit" aspectratio="f"/>
              <v:textbox inset="0mm,0mm,0mm,0mm">
                <w:txbxContent>
                  <w:p>
                    <w:pPr>
                      <w:spacing w:before="0" w:line="257" w:lineRule="exact"/>
                      <w:ind w:left="40" w:right="0" w:firstLine="0"/>
                      <w:jc w:val="left"/>
                      <w:rPr>
                        <w:rFonts w:ascii="Book Antiqua" w:eastAsia="Book Antiqua"/>
                        <w:b/>
                        <w:sz w:val="18"/>
                      </w:rPr>
                    </w:pPr>
                    <w:r>
                      <w:fldChar w:fldCharType="begin"/>
                    </w:r>
                    <w:r>
                      <w:rPr>
                        <w:rFonts w:ascii="Book Antiqua" w:eastAsia="Book Antiqua"/>
                        <w:b/>
                        <w:sz w:val="18"/>
                      </w:rPr>
                      <w:instrText xml:space="preserve"> PAGE </w:instrText>
                    </w:r>
                    <w:r>
                      <w:fldChar w:fldCharType="separate"/>
                    </w:r>
                    <w:r>
                      <w:t>1</w:t>
                    </w:r>
                    <w:r>
                      <w:fldChar w:fldCharType="end"/>
                    </w:r>
                    <w:r>
                      <w:rPr>
                        <w:rFonts w:ascii="Book Antiqua" w:eastAsia="Book Antiqua"/>
                        <w:b/>
                        <w:sz w:val="18"/>
                      </w:rPr>
                      <w:t xml:space="preserve"> </w:t>
                    </w:r>
                    <w:r>
                      <w:rPr>
                        <w:sz w:val="18"/>
                      </w:rPr>
                      <w:t xml:space="preserve">的 </w:t>
                    </w:r>
                    <w:r>
                      <w:rPr>
                        <w:rFonts w:ascii="Book Antiqua" w:eastAsia="Book Antiqua"/>
                        <w:b/>
                        <w:sz w:val="18"/>
                      </w:rPr>
                      <w:t>3</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zYjIxMDYzNTMzYTU2NzNkMzIzN2IxNWMwMzI4MTcifQ=="/>
  </w:docVars>
  <w:rsids>
    <w:rsidRoot w:val="00000000"/>
    <w:rsid w:val="5F092B01"/>
    <w:rsid w:val="729E4625"/>
    <w:rsid w:val="799311B2"/>
    <w:rsid w:val="7AAC4C47"/>
    <w:rsid w:val="7EF821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华文仿宋" w:hAnsi="华文仿宋" w:eastAsia="华文仿宋" w:cs="华文仿宋"/>
      <w:sz w:val="22"/>
      <w:szCs w:val="22"/>
      <w:lang w:val="zh-TW" w:eastAsia="zh-TW" w:bidi="zh-TW"/>
    </w:rPr>
  </w:style>
  <w:style w:type="paragraph" w:styleId="2">
    <w:name w:val="heading 1"/>
    <w:basedOn w:val="1"/>
    <w:next w:val="1"/>
    <w:qFormat/>
    <w:uiPriority w:val="1"/>
    <w:pPr>
      <w:ind w:right="39"/>
      <w:jc w:val="center"/>
      <w:outlineLvl w:val="1"/>
    </w:pPr>
    <w:rPr>
      <w:rFonts w:ascii="华文仿宋" w:hAnsi="华文仿宋" w:eastAsia="华文仿宋" w:cs="华文仿宋"/>
      <w:sz w:val="32"/>
      <w:szCs w:val="32"/>
      <w:lang w:val="zh-TW" w:eastAsia="zh-TW" w:bidi="zh-TW"/>
    </w:rPr>
  </w:style>
  <w:style w:type="paragraph" w:styleId="3">
    <w:name w:val="heading 2"/>
    <w:basedOn w:val="1"/>
    <w:next w:val="1"/>
    <w:qFormat/>
    <w:uiPriority w:val="1"/>
    <w:pPr>
      <w:spacing w:before="1"/>
      <w:ind w:left="120"/>
      <w:outlineLvl w:val="2"/>
    </w:pPr>
    <w:rPr>
      <w:rFonts w:ascii="华文仿宋" w:hAnsi="华文仿宋" w:eastAsia="华文仿宋" w:cs="华文仿宋"/>
      <w:b/>
      <w:bCs/>
      <w:sz w:val="28"/>
      <w:szCs w:val="28"/>
      <w:lang w:val="zh-TW" w:eastAsia="zh-TW" w:bidi="zh-TW"/>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华文仿宋" w:hAnsi="华文仿宋" w:eastAsia="华文仿宋" w:cs="华文仿宋"/>
      <w:sz w:val="24"/>
      <w:szCs w:val="24"/>
      <w:lang w:val="zh-TW" w:eastAsia="zh-TW" w:bidi="zh-TW"/>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zh-TW" w:eastAsia="zh-TW" w:bidi="zh-TW"/>
    </w:rPr>
  </w:style>
  <w:style w:type="paragraph" w:customStyle="1" w:styleId="9">
    <w:name w:val="Table Paragraph"/>
    <w:basedOn w:val="1"/>
    <w:qFormat/>
    <w:uiPriority w:val="1"/>
    <w:rPr>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3490</Words>
  <Characters>3533</Characters>
  <TotalTime>22</TotalTime>
  <ScaleCrop>false</ScaleCrop>
  <LinksUpToDate>false</LinksUpToDate>
  <CharactersWithSpaces>3597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2022-12-15T15:14:00Z</dcterms:created>
  <dc:creator>user</dc:creator>
  <cp:lastModifiedBy>滕昊楠</cp:lastModifiedBy>
  <dcterms:modified xsi:type="dcterms:W3CDTF">2022-12-16T15:04:30Z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Microsoft® Word LTSC</vt:lpwstr>
  </property>
  <property fmtid="{D5CDD505-2E9C-101B-9397-08002B2CF9AE}" pid="4" name="LastSaved">
    <vt:filetime>2022-12-15T00:00:00Z</vt:filetime>
  </property>
  <property fmtid="{D5CDD505-2E9C-101B-9397-08002B2CF9AE}" pid="5" name="KSOProductBuildVer">
    <vt:lpwstr>2052-11.1.0.12980</vt:lpwstr>
  </property>
  <property fmtid="{D5CDD505-2E9C-101B-9397-08002B2CF9AE}" pid="6" name="ICV">
    <vt:lpwstr>348BA73730764FA4BF7BE5E5FDF9C360</vt:lpwstr>
  </property>
</Properties>
</file>