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imate-policy-cases-worksheet"/>
    <w:p>
      <w:pPr>
        <w:pStyle w:val="Heading1"/>
      </w:pPr>
      <w:r>
        <w:t xml:space="preserve">Climate Policy Cases — Worksheet</w:t>
      </w:r>
    </w:p>
    <w:bookmarkStart w:id="25" w:name="X8eb4bae60f23cb0b2e318b8fd3e9e0073c84bc5"/>
    <w:p>
      <w:pPr>
        <w:pStyle w:val="Heading2"/>
      </w:pPr>
      <w:r>
        <w:t xml:space="preserve">EU Carbon Border Adjustment Mechanism (CBAM) — Mitigation policy effectiveness pair</w:t>
      </w:r>
    </w:p>
    <w:p>
      <w:pPr>
        <w:pStyle w:val="FirstParagraph"/>
      </w:pPr>
      <w:r>
        <w:rPr>
          <w:i/>
          <w:iCs/>
        </w:rPr>
        <w:t xml:space="preserve">IR227 Seminar 9 — Group worksheet</w:t>
      </w:r>
    </w:p>
    <w:bookmarkStart w:id="20" w:name="task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Take your assigned climate-policy case. Apply the seven-condition checklist (Lecture 7) jointly with the institutional-change mechanisms typology (Lecture 8), then reach an effectiveness verdict and close with a coalition-or-institutional reflection.</w:t>
      </w:r>
    </w:p>
    <w:p>
      <w:pPr>
        <w:pStyle w:val="BodyText"/>
      </w:pPr>
      <w:r>
        <w:t xml:space="preserve">The analytical tools you will deploy are: the seven-condition checklist for environmental-governance success, and the five-mechanism typology of gradual institutional change.</w:t>
      </w:r>
    </w:p>
    <w:bookmarkEnd w:id="20"/>
    <w:bookmarkStart w:id="21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for each of the seven conditions, identify whether it is present, partial, or absent, with evidence,</w:t>
      </w:r>
    </w:p>
    <w:p>
      <w:pPr>
        <w:pStyle w:val="Compact"/>
        <w:numPr>
          <w:ilvl w:val="0"/>
          <w:numId w:val="1001"/>
        </w:numPr>
      </w:pPr>
      <w:r>
        <w:t xml:space="preserve">identify which mechanism (drift, conversion, layering, displacement, exhaustion) is most operative, with evidence,</w:t>
      </w:r>
    </w:p>
    <w:p>
      <w:pPr>
        <w:pStyle w:val="Compact"/>
        <w:numPr>
          <w:ilvl w:val="0"/>
          <w:numId w:val="1001"/>
        </w:numPr>
      </w:pPr>
      <w:r>
        <w:t xml:space="preserve">show how the conditions and the mechanism connect,</w:t>
      </w:r>
    </w:p>
    <w:p>
      <w:pPr>
        <w:pStyle w:val="Compact"/>
        <w:numPr>
          <w:ilvl w:val="0"/>
          <w:numId w:val="1001"/>
        </w:numPr>
      </w:pPr>
      <w:r>
        <w:t xml:space="preserve">reach an effectiveness verdict, and</w:t>
      </w:r>
    </w:p>
    <w:p>
      <w:pPr>
        <w:pStyle w:val="Compact"/>
        <w:numPr>
          <w:ilvl w:val="0"/>
          <w:numId w:val="1001"/>
        </w:numPr>
      </w:pPr>
      <w:r>
        <w:t xml:space="preserve">close with a specific coalition-or-institutional reflection.</w:t>
      </w:r>
    </w:p>
    <w:p>
      <w:pPr>
        <w:pStyle w:val="FirstParagraph"/>
      </w:pPr>
      <w:r>
        <w:t xml:space="preserve">Note: these cases are deliberately under-determined. There is no single correct verdict — you will be assessed on the strength of the reasoning chain (conditions → mechanism → effectiveness verdict → coalition reflection), not on which verdict you reach.</w:t>
      </w:r>
    </w:p>
    <w:bookmarkEnd w:id="21"/>
    <w:bookmarkStart w:id="22" w:name="tool-summary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Conditions for environmental-governance success (Lecture 7).</w:t>
      </w:r>
      <w:r>
        <w:t xml:space="preserve"> </w:t>
      </w:r>
      <w:r>
        <w:t xml:space="preserve">For each condition, assess whether it is present, partial, or absent in your case, with evidence.</w:t>
      </w:r>
    </w:p>
    <w:p>
      <w:pPr>
        <w:pStyle w:val="Compact"/>
        <w:numPr>
          <w:ilvl w:val="0"/>
          <w:numId w:val="1002"/>
        </w:numPr>
      </w:pPr>
      <w:r>
        <w:t xml:space="preserve">Scientific consensus + epistemic community.</w:t>
      </w:r>
    </w:p>
    <w:p>
      <w:pPr>
        <w:pStyle w:val="Compact"/>
        <w:numPr>
          <w:ilvl w:val="0"/>
          <w:numId w:val="1002"/>
        </w:numPr>
      </w:pPr>
      <w:r>
        <w:t xml:space="preserve">Concentrated industry / actors.</w:t>
      </w:r>
    </w:p>
    <w:p>
      <w:pPr>
        <w:pStyle w:val="Compact"/>
        <w:numPr>
          <w:ilvl w:val="0"/>
          <w:numId w:val="1002"/>
        </w:numPr>
      </w:pPr>
      <w:r>
        <w:t xml:space="preserve">Available technological substitutes.</w:t>
      </w:r>
    </w:p>
    <w:p>
      <w:pPr>
        <w:pStyle w:val="Compact"/>
        <w:numPr>
          <w:ilvl w:val="0"/>
          <w:numId w:val="1002"/>
        </w:numPr>
      </w:pPr>
      <w:r>
        <w:t xml:space="preserve">Asymmetric costs favouring cooperation.</w:t>
      </w:r>
    </w:p>
    <w:p>
      <w:pPr>
        <w:pStyle w:val="Compact"/>
        <w:numPr>
          <w:ilvl w:val="0"/>
          <w:numId w:val="1002"/>
        </w:numPr>
      </w:pPr>
      <w:r>
        <w:t xml:space="preserve">Distributional mechanisms.</w:t>
      </w:r>
    </w:p>
    <w:p>
      <w:pPr>
        <w:pStyle w:val="Compact"/>
        <w:numPr>
          <w:ilvl w:val="0"/>
          <w:numId w:val="1002"/>
        </w:numPr>
      </w:pPr>
      <w:r>
        <w:t xml:space="preserve">Institutional design (monitoring, verification, enforcement).</w:t>
      </w:r>
    </w:p>
    <w:p>
      <w:pPr>
        <w:pStyle w:val="Compact"/>
        <w:numPr>
          <w:ilvl w:val="0"/>
          <w:numId w:val="1002"/>
        </w:numPr>
      </w:pPr>
      <w:r>
        <w:t xml:space="preserve">Political leadership.</w:t>
      </w:r>
    </w:p>
    <w:p>
      <w:pPr>
        <w:pStyle w:val="FirstParagraph"/>
      </w:pPr>
      <w:r>
        <w:rPr>
          <w:b/>
          <w:bCs/>
        </w:rPr>
        <w:t xml:space="preserve">Institutional-change mechanisms (Streeck and Thelen 2005; Hacker, Pierson, and Thelen 2015).</w:t>
      </w:r>
      <w:r>
        <w:t xml:space="preserve"> </w:t>
      </w:r>
      <w:r>
        <w:t xml:space="preserve">Ask which mechanism best fits the rule, the environment, and the change in the relationship between them.</w:t>
      </w:r>
    </w:p>
    <w:p>
      <w:pPr>
        <w:pStyle w:val="Compact"/>
        <w:numPr>
          <w:ilvl w:val="0"/>
          <w:numId w:val="1003"/>
        </w:numPr>
      </w:pPr>
      <w:r>
        <w:t xml:space="preserve">Drift. Rules unchanged, environment changes.</w:t>
      </w:r>
    </w:p>
    <w:p>
      <w:pPr>
        <w:pStyle w:val="Compact"/>
        <w:numPr>
          <w:ilvl w:val="0"/>
          <w:numId w:val="1003"/>
        </w:numPr>
      </w:pPr>
      <w:r>
        <w:t xml:space="preserve">Conversion. Rules redirected to new purposes.</w:t>
      </w:r>
    </w:p>
    <w:p>
      <w:pPr>
        <w:pStyle w:val="Compact"/>
        <w:numPr>
          <w:ilvl w:val="0"/>
          <w:numId w:val="1003"/>
        </w:numPr>
      </w:pPr>
      <w:r>
        <w:t xml:space="preserve">Layering. New rules added on top of old without dismantling.</w:t>
      </w:r>
    </w:p>
    <w:p>
      <w:pPr>
        <w:pStyle w:val="Compact"/>
        <w:numPr>
          <w:ilvl w:val="0"/>
          <w:numId w:val="1003"/>
        </w:numPr>
      </w:pPr>
      <w:r>
        <w:t xml:space="preserve">Displacement. Old institutions actively replaced by new.</w:t>
      </w:r>
    </w:p>
    <w:p>
      <w:pPr>
        <w:pStyle w:val="Compact"/>
        <w:numPr>
          <w:ilvl w:val="0"/>
          <w:numId w:val="1003"/>
        </w:numPr>
      </w:pPr>
      <w:r>
        <w:t xml:space="preserve">Exhaustion. Institutions wither without intentional replacement.</w:t>
      </w:r>
    </w:p>
    <w:p>
      <w:pPr>
        <w:pStyle w:val="FirstParagraph"/>
      </w:pPr>
      <w:r>
        <w:rPr>
          <w:b/>
          <w:bCs/>
        </w:rPr>
        <w:t xml:space="preserve">Distributional-conflict reframing (Aklin and Mildenberger 2020).</w:t>
      </w:r>
      <w:r>
        <w:t xml:space="preserve"> </w:t>
      </w:r>
      <w:r>
        <w:t xml:space="preserve">Climate policy is shaped by distributional conflict within countries, not primarily by cross-country free-riding. Look for four axes: industry vs industry; concentrated losers vs diffuse winners; high-income vs low-income households; current voters vs future generations. Colgan, Green, and Hale’s asset-revaluation lens sits underneath this: climate-forcing assets and climate-vulnerable assets both lose value as decarbonisation proceeds, which is what generates the coalitions and blocking constituencies you should look for in each case.</w:t>
      </w:r>
    </w:p>
    <w:bookmarkEnd w:id="22"/>
    <w:bookmarkStart w:id="23" w:name="case-specifics-from-the-case-pack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The EU Carbon Border Adjustment Mechanism (CBAM) is a cross-border climate-policy instrument covering carbon-intensive imports. Adopted as Regulation 2023/956, it entered a transitional, reporting-only period in October 2023 and becomes fully operational in October 2026. Importers of carbon-intensive goods into the EU will need to purchase CBAM certificates equivalent to the carbon embedded in those imports, priced against the EU ETS allowance price.</w:t>
      </w:r>
    </w:p>
    <w:p>
      <w:pPr>
        <w:pStyle w:val="BodyText"/>
      </w:pPr>
      <w:r>
        <w:rPr>
          <w:b/>
          <w:bCs/>
        </w:rPr>
        <w:t xml:space="preserve">Case: the agency’s data</w:t>
      </w:r>
    </w:p>
    <w:p>
      <w:pPr>
        <w:pStyle w:val="Compact"/>
        <w:numPr>
          <w:ilvl w:val="0"/>
          <w:numId w:val="1004"/>
        </w:numPr>
      </w:pPr>
      <w:r>
        <w:t xml:space="preserve">Foundational rule: Regulation 2023/956 (CBAM Regulation); Directive (EU) 2023/959 (revising the EU ETS Directive).</w:t>
      </w:r>
    </w:p>
    <w:p>
      <w:pPr>
        <w:pStyle w:val="Compact"/>
        <w:numPr>
          <w:ilvl w:val="0"/>
          <w:numId w:val="1004"/>
        </w:numPr>
      </w:pPr>
      <w:r>
        <w:t xml:space="preserve">Covered sectors: cement, iron and steel, fertilisers, aluminium, hydrogen, electricity; indirect emissions for some sectors; scope expansion under review for 2026 (potentially polymers, organic chemicals).</w:t>
      </w:r>
    </w:p>
    <w:p>
      <w:pPr>
        <w:pStyle w:val="Compact"/>
        <w:numPr>
          <w:ilvl w:val="0"/>
          <w:numId w:val="1004"/>
        </w:numPr>
      </w:pPr>
      <w:r>
        <w:t xml:space="preserve">Transitional period: October 2023 – December 2025, reporting only. Definitive period: from October 2026, certificate purchase required.</w:t>
      </w:r>
    </w:p>
    <w:p>
      <w:pPr>
        <w:pStyle w:val="Compact"/>
        <w:numPr>
          <w:ilvl w:val="0"/>
          <w:numId w:val="1004"/>
        </w:numPr>
      </w:pPr>
      <w:r>
        <w:t xml:space="preserve">Linkage to EU ETS: CBAM certificates priced at EU ETS allowance prices; free-allocation phase-out for covered sectors aligned with the CBAM ramp-up.</w:t>
      </w:r>
    </w:p>
    <w:p>
      <w:pPr>
        <w:pStyle w:val="Compact"/>
        <w:numPr>
          <w:ilvl w:val="0"/>
          <w:numId w:val="1004"/>
        </w:numPr>
      </w:pPr>
      <w:r>
        <w:t xml:space="preserve">Trade-policy reactions: WTO compatibility challenged by some trading partners; concerns from emerging economies about extraterritorial reach; the UK is developing its own CBAM (2027 implementation).</w:t>
      </w:r>
    </w:p>
    <w:p>
      <w:pPr>
        <w:pStyle w:val="Compact"/>
        <w:numPr>
          <w:ilvl w:val="0"/>
          <w:numId w:val="1004"/>
        </w:numPr>
      </w:pPr>
      <w:r>
        <w:t xml:space="preserve">Coalition impact: EU industry favours CBAM (it levels the playing field); external producers oppose it; environmental NGOs support it but seek scope expansion; emerging economies seek revenue earmarking.</w:t>
      </w:r>
    </w:p>
    <w:p>
      <w:pPr>
        <w:pStyle w:val="Compact"/>
        <w:numPr>
          <w:ilvl w:val="0"/>
          <w:numId w:val="1004"/>
        </w:numPr>
      </w:pPr>
      <w:r>
        <w:t xml:space="preserve">Recent context: 2025 review provisions on revenue use, scope expansion, and methodology refinements; emerging concern about transitional-period reporting burdens.</w:t>
      </w:r>
    </w:p>
    <w:bookmarkEnd w:id="23"/>
    <w:bookmarkStart w:id="24" w:name="discussion-questions-from-the-case-pack"/>
    <w:p>
      <w:pPr>
        <w:pStyle w:val="Heading3"/>
      </w:pPr>
      <w:r>
        <w:t xml:space="preserve">Discussion questions from the case pack</w:t>
      </w:r>
    </w:p>
    <w:p>
      <w:pPr>
        <w:pStyle w:val="Compact"/>
        <w:numPr>
          <w:ilvl w:val="0"/>
          <w:numId w:val="1005"/>
        </w:numPr>
      </w:pPr>
      <w:r>
        <w:t xml:space="preserve">Apply the conditions checklist. Where is the case strongest?</w:t>
      </w:r>
    </w:p>
    <w:p>
      <w:pPr>
        <w:pStyle w:val="Compact"/>
        <w:numPr>
          <w:ilvl w:val="0"/>
          <w:numId w:val="1005"/>
        </w:numPr>
      </w:pPr>
      <w:r>
        <w:t xml:space="preserve">Identify the operative mechanism.</w:t>
      </w:r>
    </w:p>
    <w:p>
      <w:pPr>
        <w:pStyle w:val="Compact"/>
        <w:numPr>
          <w:ilvl w:val="0"/>
          <w:numId w:val="1005"/>
        </w:numPr>
      </w:pPr>
      <w:r>
        <w:t xml:space="preserve">Reach an effectiveness verdict.</w:t>
      </w:r>
    </w:p>
    <w:p>
      <w:pPr>
        <w:pStyle w:val="Compact"/>
        <w:numPr>
          <w:ilvl w:val="0"/>
          <w:numId w:val="1005"/>
        </w:numPr>
      </w:pPr>
      <w:r>
        <w:t xml:space="preserve">Compare to China’s ETS: same instrument-family, but different scale and political-economic context — what does that difference explain?</w:t>
      </w:r>
    </w:p>
    <w:p>
      <w:pPr>
        <w:pStyle w:val="Compact"/>
        <w:numPr>
          <w:ilvl w:val="0"/>
          <w:numId w:val="1005"/>
        </w:numPr>
      </w:pPr>
      <w:r>
        <w:t xml:space="preserve">Coalition reflection: CBAM brings carbon-intensive EU industry into the climate-policy coalition. What’s the strategic implication for other jurisdictions considering CBAM-style instruments?</w:t>
      </w:r>
    </w:p>
    <w:p>
      <w:r>
        <w:br w:type="page"/>
      </w:r>
    </w:p>
    <w:bookmarkEnd w:id="24"/>
    <w:bookmarkEnd w:id="25"/>
    <w:bookmarkEnd w:id="26"/>
    <w:bookmarkStart w:id="33" w:name="climate-policy-cases-worksheet-1"/>
    <w:p>
      <w:pPr>
        <w:pStyle w:val="Heading1"/>
      </w:pPr>
      <w:r>
        <w:t xml:space="preserve">Climate Policy Cases — Worksheet</w:t>
      </w:r>
    </w:p>
    <w:bookmarkStart w:id="32" w:name="Xa18b9781c250282f4e13a4f440fd9b84af1b837"/>
    <w:p>
      <w:pPr>
        <w:pStyle w:val="Heading2"/>
      </w:pPr>
      <w:r>
        <w:t xml:space="preserve">China national ETS (2021–present) — Mitigation policy effectiveness pair</w:t>
      </w:r>
    </w:p>
    <w:p>
      <w:pPr>
        <w:pStyle w:val="FirstParagraph"/>
      </w:pPr>
      <w:r>
        <w:rPr>
          <w:i/>
          <w:iCs/>
        </w:rPr>
        <w:t xml:space="preserve">IR227 Seminar 9 — Group worksheet</w:t>
      </w:r>
    </w:p>
    <w:bookmarkStart w:id="27" w:name="task-1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Take your assigned climate-policy case. Apply the seven-condition checklist (Lecture 7) jointly with the institutional-change mechanisms typology (Lecture 8), then reach an effectiveness verdict and close with a coalition-or-institutional reflection.</w:t>
      </w:r>
    </w:p>
    <w:p>
      <w:pPr>
        <w:pStyle w:val="BodyText"/>
      </w:pPr>
      <w:r>
        <w:t xml:space="preserve">The analytical tools you will deploy are: the seven-condition checklist for environmental-governance success, and the five-mechanism typology of gradual institutional change.</w:t>
      </w:r>
    </w:p>
    <w:bookmarkEnd w:id="27"/>
    <w:bookmarkStart w:id="28" w:name="requirements-1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06"/>
        </w:numPr>
      </w:pPr>
      <w:r>
        <w:t xml:space="preserve">for each of the seven conditions, identify whether it is present, partial, or absent, with evidence,</w:t>
      </w:r>
    </w:p>
    <w:p>
      <w:pPr>
        <w:pStyle w:val="Compact"/>
        <w:numPr>
          <w:ilvl w:val="0"/>
          <w:numId w:val="1006"/>
        </w:numPr>
      </w:pPr>
      <w:r>
        <w:t xml:space="preserve">identify which mechanism (drift, conversion, layering, displacement, exhaustion) is most operative, with evidence,</w:t>
      </w:r>
    </w:p>
    <w:p>
      <w:pPr>
        <w:pStyle w:val="Compact"/>
        <w:numPr>
          <w:ilvl w:val="0"/>
          <w:numId w:val="1006"/>
        </w:numPr>
      </w:pPr>
      <w:r>
        <w:t xml:space="preserve">show how the conditions and the mechanism connect,</w:t>
      </w:r>
    </w:p>
    <w:p>
      <w:pPr>
        <w:pStyle w:val="Compact"/>
        <w:numPr>
          <w:ilvl w:val="0"/>
          <w:numId w:val="1006"/>
        </w:numPr>
      </w:pPr>
      <w:r>
        <w:t xml:space="preserve">reach an effectiveness verdict, and</w:t>
      </w:r>
    </w:p>
    <w:p>
      <w:pPr>
        <w:pStyle w:val="Compact"/>
        <w:numPr>
          <w:ilvl w:val="0"/>
          <w:numId w:val="1006"/>
        </w:numPr>
      </w:pPr>
      <w:r>
        <w:t xml:space="preserve">close with a specific coalition-or-institutional reflection.</w:t>
      </w:r>
    </w:p>
    <w:p>
      <w:pPr>
        <w:pStyle w:val="FirstParagraph"/>
      </w:pPr>
      <w:r>
        <w:t xml:space="preserve">Note: these cases are deliberately under-determined. There is no single correct verdict — you will be assessed on the strength of the reasoning chain (conditions → mechanism → effectiveness verdict → coalition reflection), not on which verdict you reach.</w:t>
      </w:r>
    </w:p>
    <w:bookmarkEnd w:id="28"/>
    <w:bookmarkStart w:id="29" w:name="tool-summary-1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Conditions for environmental-governance success (Lecture 7).</w:t>
      </w:r>
      <w:r>
        <w:t xml:space="preserve"> </w:t>
      </w:r>
      <w:r>
        <w:t xml:space="preserve">For each condition, assess whether it is present, partial, or absent in your case, with evidence.</w:t>
      </w:r>
    </w:p>
    <w:p>
      <w:pPr>
        <w:pStyle w:val="Compact"/>
        <w:numPr>
          <w:ilvl w:val="0"/>
          <w:numId w:val="1007"/>
        </w:numPr>
      </w:pPr>
      <w:r>
        <w:t xml:space="preserve">Scientific consensus + epistemic community.</w:t>
      </w:r>
    </w:p>
    <w:p>
      <w:pPr>
        <w:pStyle w:val="Compact"/>
        <w:numPr>
          <w:ilvl w:val="0"/>
          <w:numId w:val="1007"/>
        </w:numPr>
      </w:pPr>
      <w:r>
        <w:t xml:space="preserve">Concentrated industry / actors.</w:t>
      </w:r>
    </w:p>
    <w:p>
      <w:pPr>
        <w:pStyle w:val="Compact"/>
        <w:numPr>
          <w:ilvl w:val="0"/>
          <w:numId w:val="1007"/>
        </w:numPr>
      </w:pPr>
      <w:r>
        <w:t xml:space="preserve">Available technological substitutes.</w:t>
      </w:r>
    </w:p>
    <w:p>
      <w:pPr>
        <w:pStyle w:val="Compact"/>
        <w:numPr>
          <w:ilvl w:val="0"/>
          <w:numId w:val="1007"/>
        </w:numPr>
      </w:pPr>
      <w:r>
        <w:t xml:space="preserve">Asymmetric costs favouring cooperation.</w:t>
      </w:r>
    </w:p>
    <w:p>
      <w:pPr>
        <w:pStyle w:val="Compact"/>
        <w:numPr>
          <w:ilvl w:val="0"/>
          <w:numId w:val="1007"/>
        </w:numPr>
      </w:pPr>
      <w:r>
        <w:t xml:space="preserve">Distributional mechanisms.</w:t>
      </w:r>
    </w:p>
    <w:p>
      <w:pPr>
        <w:pStyle w:val="Compact"/>
        <w:numPr>
          <w:ilvl w:val="0"/>
          <w:numId w:val="1007"/>
        </w:numPr>
      </w:pPr>
      <w:r>
        <w:t xml:space="preserve">Institutional design (monitoring, verification, enforcement).</w:t>
      </w:r>
    </w:p>
    <w:p>
      <w:pPr>
        <w:pStyle w:val="Compact"/>
        <w:numPr>
          <w:ilvl w:val="0"/>
          <w:numId w:val="1007"/>
        </w:numPr>
      </w:pPr>
      <w:r>
        <w:t xml:space="preserve">Political leadership.</w:t>
      </w:r>
    </w:p>
    <w:p>
      <w:pPr>
        <w:pStyle w:val="FirstParagraph"/>
      </w:pPr>
      <w:r>
        <w:rPr>
          <w:b/>
          <w:bCs/>
        </w:rPr>
        <w:t xml:space="preserve">Institutional-change mechanisms (Streeck and Thelen 2005; Hacker, Pierson, and Thelen 2015).</w:t>
      </w:r>
      <w:r>
        <w:t xml:space="preserve"> </w:t>
      </w:r>
      <w:r>
        <w:t xml:space="preserve">Ask which mechanism best fits the rule, the environment, and the change in the relationship between them.</w:t>
      </w:r>
    </w:p>
    <w:p>
      <w:pPr>
        <w:pStyle w:val="Compact"/>
        <w:numPr>
          <w:ilvl w:val="0"/>
          <w:numId w:val="1008"/>
        </w:numPr>
      </w:pPr>
      <w:r>
        <w:t xml:space="preserve">Drift. Rules unchanged, environment changes.</w:t>
      </w:r>
    </w:p>
    <w:p>
      <w:pPr>
        <w:pStyle w:val="Compact"/>
        <w:numPr>
          <w:ilvl w:val="0"/>
          <w:numId w:val="1008"/>
        </w:numPr>
      </w:pPr>
      <w:r>
        <w:t xml:space="preserve">Conversion. Rules redirected to new purposes.</w:t>
      </w:r>
    </w:p>
    <w:p>
      <w:pPr>
        <w:pStyle w:val="Compact"/>
        <w:numPr>
          <w:ilvl w:val="0"/>
          <w:numId w:val="1008"/>
        </w:numPr>
      </w:pPr>
      <w:r>
        <w:t xml:space="preserve">Layering. New rules added on top of old without dismantling.</w:t>
      </w:r>
    </w:p>
    <w:p>
      <w:pPr>
        <w:pStyle w:val="Compact"/>
        <w:numPr>
          <w:ilvl w:val="0"/>
          <w:numId w:val="1008"/>
        </w:numPr>
      </w:pPr>
      <w:r>
        <w:t xml:space="preserve">Displacement. Old institutions actively replaced by new.</w:t>
      </w:r>
    </w:p>
    <w:p>
      <w:pPr>
        <w:pStyle w:val="Compact"/>
        <w:numPr>
          <w:ilvl w:val="0"/>
          <w:numId w:val="1008"/>
        </w:numPr>
      </w:pPr>
      <w:r>
        <w:t xml:space="preserve">Exhaustion. Institutions wither without intentional replacement.</w:t>
      </w:r>
    </w:p>
    <w:p>
      <w:pPr>
        <w:pStyle w:val="FirstParagraph"/>
      </w:pPr>
      <w:r>
        <w:rPr>
          <w:b/>
          <w:bCs/>
        </w:rPr>
        <w:t xml:space="preserve">Distributional-conflict reframing (Aklin and Mildenberger 2020).</w:t>
      </w:r>
      <w:r>
        <w:t xml:space="preserve"> </w:t>
      </w:r>
      <w:r>
        <w:t xml:space="preserve">Climate policy is shaped by distributional conflict within countries, not primarily by cross-country free-riding. Look for four axes: industry vs industry; concentrated losers vs diffuse winners; high-income vs low-income households; current voters vs future generations. Colgan, Green, and Hale’s asset-revaluation lens sits underneath this: climate-forcing assets and climate-vulnerable assets both lose value as decarbonisation proceeds, which is what generates the coalitions and blocking constituencies you should look for in each case.</w:t>
      </w:r>
    </w:p>
    <w:bookmarkEnd w:id="29"/>
    <w:bookmarkStart w:id="30" w:name="case-specifics-from-the-case-pack-1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China’s national emissions trading system launched in July 2021 and covers the power sector (roughly 2,200 facilities, about 40% of China’s CO2 emissions), with scheduled expansion to cement, steel, aluminium, and other industrial sectors through 2025–2027. Its design differs from the EU ETS: a rate-based, intensity-based cap rather than an absolute cap, using benchmark methodology and sector-specific implementation.</w:t>
      </w:r>
    </w:p>
    <w:p>
      <w:pPr>
        <w:pStyle w:val="BodyText"/>
      </w:pPr>
      <w:r>
        <w:rPr>
          <w:b/>
          <w:bCs/>
        </w:rPr>
        <w:t xml:space="preserve">Case: the agency’s data</w:t>
      </w:r>
    </w:p>
    <w:p>
      <w:pPr>
        <w:pStyle w:val="Compact"/>
        <w:numPr>
          <w:ilvl w:val="0"/>
          <w:numId w:val="1009"/>
        </w:numPr>
      </w:pPr>
      <w:r>
        <w:t xml:space="preserve">Foundational rules: Interim Regulations on Carbon Emissions Trading Management (July 2024); Measures for Trading and Surrender of Allowances; sector-specific implementation rules.</w:t>
      </w:r>
    </w:p>
    <w:p>
      <w:pPr>
        <w:pStyle w:val="Compact"/>
        <w:numPr>
          <w:ilvl w:val="0"/>
          <w:numId w:val="1009"/>
        </w:numPr>
      </w:pPr>
      <w:r>
        <w:t xml:space="preserve">Sector coverage: power sector since 2021; cement and aluminium added in 2024; steel under preparation; expansion through 2027.</w:t>
      </w:r>
    </w:p>
    <w:p>
      <w:pPr>
        <w:pStyle w:val="Compact"/>
        <w:numPr>
          <w:ilvl w:val="0"/>
          <w:numId w:val="1009"/>
        </w:numPr>
      </w:pPr>
      <w:r>
        <w:t xml:space="preserve">Cap structure: rate-based, intensity-based; benchmark methodology assigns allowances per unit of output; the cap tightens as the benchmark is reduced over time.</w:t>
      </w:r>
    </w:p>
    <w:p>
      <w:pPr>
        <w:pStyle w:val="Compact"/>
        <w:numPr>
          <w:ilvl w:val="0"/>
          <w:numId w:val="1009"/>
        </w:numPr>
      </w:pPr>
      <w:r>
        <w:t xml:space="preserve">Allowance allocation: predominantly free allocation, with a gradually growing auction share.</w:t>
      </w:r>
    </w:p>
    <w:p>
      <w:pPr>
        <w:pStyle w:val="Compact"/>
        <w:numPr>
          <w:ilvl w:val="0"/>
          <w:numId w:val="1009"/>
        </w:numPr>
      </w:pPr>
      <w:r>
        <w:t xml:space="preserve">Carbon price: trading volumes increasing; recent prices around 80–100 RMB/tCO2 ($11–14/tCO2), well below EU ETS levels but rising.</w:t>
      </w:r>
    </w:p>
    <w:p>
      <w:pPr>
        <w:pStyle w:val="Compact"/>
        <w:numPr>
          <w:ilvl w:val="0"/>
          <w:numId w:val="1009"/>
        </w:numPr>
      </w:pPr>
      <w:r>
        <w:t xml:space="preserve">Linkage to pilot ETSs: regional pilots in Shenzhen, Beijing, Shanghai, Guangdong, Hubei, Tianjin, Chongqing, and Fujian (2013–2020); the national ETS is layered on these.</w:t>
      </w:r>
    </w:p>
    <w:p>
      <w:pPr>
        <w:pStyle w:val="Compact"/>
        <w:numPr>
          <w:ilvl w:val="0"/>
          <w:numId w:val="1009"/>
        </w:numPr>
      </w:pPr>
      <w:r>
        <w:t xml:space="preserve">Institutional design: Ministry of Ecology and Environment (MEE) lead; national registry through 2024; recent regulatory tightening on monitoring, reporting, and verification (MRV).</w:t>
      </w:r>
    </w:p>
    <w:p>
      <w:pPr>
        <w:pStyle w:val="Compact"/>
        <w:numPr>
          <w:ilvl w:val="0"/>
          <w:numId w:val="1009"/>
        </w:numPr>
      </w:pPr>
      <w:r>
        <w:t xml:space="preserve">Coalition: state-owned enterprises in the power sector hold a substantial stake; an emerging private renewables-and-storage industry is supportive; regional governments vary.</w:t>
      </w:r>
    </w:p>
    <w:p>
      <w:pPr>
        <w:pStyle w:val="Compact"/>
        <w:numPr>
          <w:ilvl w:val="0"/>
          <w:numId w:val="1009"/>
        </w:numPr>
      </w:pPr>
      <w:r>
        <w:t xml:space="preserve">Recent context: a 2024 Three-Year Action Plan to deepen carbon-pricing reform; integration with broader green-finance and climate-policy architecture.</w:t>
      </w:r>
    </w:p>
    <w:bookmarkEnd w:id="30"/>
    <w:bookmarkStart w:id="31" w:name="X4cf3b874869529e6c61abdce607a1eefc2e0dc7"/>
    <w:p>
      <w:pPr>
        <w:pStyle w:val="Heading3"/>
      </w:pPr>
      <w:r>
        <w:t xml:space="preserve">Discussion questions from the case pack</w:t>
      </w:r>
    </w:p>
    <w:p>
      <w:pPr>
        <w:pStyle w:val="Compact"/>
        <w:numPr>
          <w:ilvl w:val="0"/>
          <w:numId w:val="1010"/>
        </w:numPr>
      </w:pPr>
      <w:r>
        <w:t xml:space="preserve">Apply the conditions checklist. Where does the case score better than EU CBAM, where worse?</w:t>
      </w:r>
    </w:p>
    <w:p>
      <w:pPr>
        <w:pStyle w:val="Compact"/>
        <w:numPr>
          <w:ilvl w:val="0"/>
          <w:numId w:val="1010"/>
        </w:numPr>
      </w:pPr>
      <w:r>
        <w:t xml:space="preserve">Identify the operative mechanism.</w:t>
      </w:r>
    </w:p>
    <w:p>
      <w:pPr>
        <w:pStyle w:val="Compact"/>
        <w:numPr>
          <w:ilvl w:val="0"/>
          <w:numId w:val="1010"/>
        </w:numPr>
      </w:pPr>
      <w:r>
        <w:t xml:space="preserve">Reach an effectiveness verdict.</w:t>
      </w:r>
    </w:p>
    <w:p>
      <w:pPr>
        <w:pStyle w:val="Compact"/>
        <w:numPr>
          <w:ilvl w:val="0"/>
          <w:numId w:val="1010"/>
        </w:numPr>
      </w:pPr>
      <w:r>
        <w:t xml:space="preserve">Compare to EU CBAM: different design, different political economy — what conditions explain the divergence?</w:t>
      </w:r>
    </w:p>
    <w:p>
      <w:pPr>
        <w:pStyle w:val="Compact"/>
        <w:numPr>
          <w:ilvl w:val="0"/>
          <w:numId w:val="1010"/>
        </w:numPr>
      </w:pPr>
      <w:r>
        <w:t xml:space="preserve">Coalition reflection: the China ETS coalition combines state-owned enterprises, the climate-policy bureaucracy, and provincial governments. What does this institutional configuration imply for how the policy will develop?</w:t>
      </w:r>
    </w:p>
    <w:p>
      <w:r>
        <w:br w:type="page"/>
      </w:r>
    </w:p>
    <w:bookmarkEnd w:id="31"/>
    <w:bookmarkEnd w:id="32"/>
    <w:bookmarkEnd w:id="33"/>
    <w:bookmarkStart w:id="40" w:name="climate-policy-cases-worksheet-2"/>
    <w:p>
      <w:pPr>
        <w:pStyle w:val="Heading1"/>
      </w:pPr>
      <w:r>
        <w:t xml:space="preserve">Climate Policy Cases — Worksheet</w:t>
      </w:r>
    </w:p>
    <w:bookmarkStart w:id="39" w:name="Xb8d5808e58e9f8c834822773ed297dcac543f2b"/>
    <w:p>
      <w:pPr>
        <w:pStyle w:val="Heading2"/>
      </w:pPr>
      <w:r>
        <w:t xml:space="preserve">Pacific small-island states (Vanuatu’s ICJ Advisory Opinion strategy) — Adaptation justice and loss-and-damage pair</w:t>
      </w:r>
    </w:p>
    <w:p>
      <w:pPr>
        <w:pStyle w:val="FirstParagraph"/>
      </w:pPr>
      <w:r>
        <w:rPr>
          <w:i/>
          <w:iCs/>
        </w:rPr>
        <w:t xml:space="preserve">IR227 Seminar 9 — Group worksheet</w:t>
      </w:r>
    </w:p>
    <w:bookmarkStart w:id="34" w:name="task-2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Take your assigned climate-policy case. Apply the seven-condition checklist (Lecture 7) jointly with the institutional-change mechanisms typology (Lecture 8), then reach an effectiveness verdict and close with a coalition-or-institutional reflection.</w:t>
      </w:r>
    </w:p>
    <w:p>
      <w:pPr>
        <w:pStyle w:val="BodyText"/>
      </w:pPr>
      <w:r>
        <w:t xml:space="preserve">The analytical tools you will deploy are: the seven-condition checklist for environmental-governance success, and the five-mechanism typology of gradual institutional change.</w:t>
      </w:r>
    </w:p>
    <w:bookmarkEnd w:id="34"/>
    <w:bookmarkStart w:id="35" w:name="requirements-2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11"/>
        </w:numPr>
      </w:pPr>
      <w:r>
        <w:t xml:space="preserve">for each of the seven conditions, identify whether it is present, partial, or absent, with evidence,</w:t>
      </w:r>
    </w:p>
    <w:p>
      <w:pPr>
        <w:pStyle w:val="Compact"/>
        <w:numPr>
          <w:ilvl w:val="0"/>
          <w:numId w:val="1011"/>
        </w:numPr>
      </w:pPr>
      <w:r>
        <w:t xml:space="preserve">identify which mechanism (drift, conversion, layering, displacement, exhaustion) is most operative, with evidence,</w:t>
      </w:r>
    </w:p>
    <w:p>
      <w:pPr>
        <w:pStyle w:val="Compact"/>
        <w:numPr>
          <w:ilvl w:val="0"/>
          <w:numId w:val="1011"/>
        </w:numPr>
      </w:pPr>
      <w:r>
        <w:t xml:space="preserve">show how the conditions and the mechanism connect,</w:t>
      </w:r>
    </w:p>
    <w:p>
      <w:pPr>
        <w:pStyle w:val="Compact"/>
        <w:numPr>
          <w:ilvl w:val="0"/>
          <w:numId w:val="1011"/>
        </w:numPr>
      </w:pPr>
      <w:r>
        <w:t xml:space="preserve">reach an effectiveness verdict, and</w:t>
      </w:r>
    </w:p>
    <w:p>
      <w:pPr>
        <w:pStyle w:val="Compact"/>
        <w:numPr>
          <w:ilvl w:val="0"/>
          <w:numId w:val="1011"/>
        </w:numPr>
      </w:pPr>
      <w:r>
        <w:t xml:space="preserve">close with a specific coalition-or-institutional reflection.</w:t>
      </w:r>
    </w:p>
    <w:p>
      <w:pPr>
        <w:pStyle w:val="FirstParagraph"/>
      </w:pPr>
      <w:r>
        <w:t xml:space="preserve">Note: these cases are deliberately under-determined. There is no single correct verdict — you will be assessed on the strength of the reasoning chain (conditions → mechanism → effectiveness verdict → coalition reflection), not on which verdict you reach.</w:t>
      </w:r>
    </w:p>
    <w:bookmarkEnd w:id="35"/>
    <w:bookmarkStart w:id="36" w:name="tool-summary-2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Conditions for environmental-governance success (Lecture 7).</w:t>
      </w:r>
      <w:r>
        <w:t xml:space="preserve"> </w:t>
      </w:r>
      <w:r>
        <w:t xml:space="preserve">For each condition, assess whether it is present, partial, or absent in your case, with evidence.</w:t>
      </w:r>
    </w:p>
    <w:p>
      <w:pPr>
        <w:pStyle w:val="Compact"/>
        <w:numPr>
          <w:ilvl w:val="0"/>
          <w:numId w:val="1012"/>
        </w:numPr>
      </w:pPr>
      <w:r>
        <w:t xml:space="preserve">Scientific consensus + epistemic community.</w:t>
      </w:r>
    </w:p>
    <w:p>
      <w:pPr>
        <w:pStyle w:val="Compact"/>
        <w:numPr>
          <w:ilvl w:val="0"/>
          <w:numId w:val="1012"/>
        </w:numPr>
      </w:pPr>
      <w:r>
        <w:t xml:space="preserve">Concentrated industry / actors.</w:t>
      </w:r>
    </w:p>
    <w:p>
      <w:pPr>
        <w:pStyle w:val="Compact"/>
        <w:numPr>
          <w:ilvl w:val="0"/>
          <w:numId w:val="1012"/>
        </w:numPr>
      </w:pPr>
      <w:r>
        <w:t xml:space="preserve">Available technological substitutes.</w:t>
      </w:r>
    </w:p>
    <w:p>
      <w:pPr>
        <w:pStyle w:val="Compact"/>
        <w:numPr>
          <w:ilvl w:val="0"/>
          <w:numId w:val="1012"/>
        </w:numPr>
      </w:pPr>
      <w:r>
        <w:t xml:space="preserve">Asymmetric costs favouring cooperation.</w:t>
      </w:r>
    </w:p>
    <w:p>
      <w:pPr>
        <w:pStyle w:val="Compact"/>
        <w:numPr>
          <w:ilvl w:val="0"/>
          <w:numId w:val="1012"/>
        </w:numPr>
      </w:pPr>
      <w:r>
        <w:t xml:space="preserve">Distributional mechanisms.</w:t>
      </w:r>
    </w:p>
    <w:p>
      <w:pPr>
        <w:pStyle w:val="Compact"/>
        <w:numPr>
          <w:ilvl w:val="0"/>
          <w:numId w:val="1012"/>
        </w:numPr>
      </w:pPr>
      <w:r>
        <w:t xml:space="preserve">Institutional design (monitoring, verification, enforcement).</w:t>
      </w:r>
    </w:p>
    <w:p>
      <w:pPr>
        <w:pStyle w:val="Compact"/>
        <w:numPr>
          <w:ilvl w:val="0"/>
          <w:numId w:val="1012"/>
        </w:numPr>
      </w:pPr>
      <w:r>
        <w:t xml:space="preserve">Political leadership.</w:t>
      </w:r>
    </w:p>
    <w:p>
      <w:pPr>
        <w:pStyle w:val="FirstParagraph"/>
      </w:pPr>
      <w:r>
        <w:rPr>
          <w:b/>
          <w:bCs/>
        </w:rPr>
        <w:t xml:space="preserve">Institutional-change mechanisms (Streeck and Thelen 2005; Hacker, Pierson, and Thelen 2015).</w:t>
      </w:r>
      <w:r>
        <w:t xml:space="preserve"> </w:t>
      </w:r>
      <w:r>
        <w:t xml:space="preserve">Ask which mechanism best fits the rule, the environment, and the change in the relationship between them.</w:t>
      </w:r>
    </w:p>
    <w:p>
      <w:pPr>
        <w:pStyle w:val="Compact"/>
        <w:numPr>
          <w:ilvl w:val="0"/>
          <w:numId w:val="1013"/>
        </w:numPr>
      </w:pPr>
      <w:r>
        <w:t xml:space="preserve">Drift. Rules unchanged, environment changes.</w:t>
      </w:r>
    </w:p>
    <w:p>
      <w:pPr>
        <w:pStyle w:val="Compact"/>
        <w:numPr>
          <w:ilvl w:val="0"/>
          <w:numId w:val="1013"/>
        </w:numPr>
      </w:pPr>
      <w:r>
        <w:t xml:space="preserve">Conversion. Rules redirected to new purposes.</w:t>
      </w:r>
    </w:p>
    <w:p>
      <w:pPr>
        <w:pStyle w:val="Compact"/>
        <w:numPr>
          <w:ilvl w:val="0"/>
          <w:numId w:val="1013"/>
        </w:numPr>
      </w:pPr>
      <w:r>
        <w:t xml:space="preserve">Layering. New rules added on top of old without dismantling.</w:t>
      </w:r>
    </w:p>
    <w:p>
      <w:pPr>
        <w:pStyle w:val="Compact"/>
        <w:numPr>
          <w:ilvl w:val="0"/>
          <w:numId w:val="1013"/>
        </w:numPr>
      </w:pPr>
      <w:r>
        <w:t xml:space="preserve">Displacement. Old institutions actively replaced by new.</w:t>
      </w:r>
    </w:p>
    <w:p>
      <w:pPr>
        <w:pStyle w:val="Compact"/>
        <w:numPr>
          <w:ilvl w:val="0"/>
          <w:numId w:val="1013"/>
        </w:numPr>
      </w:pPr>
      <w:r>
        <w:t xml:space="preserve">Exhaustion. Institutions wither without intentional replacement.</w:t>
      </w:r>
    </w:p>
    <w:p>
      <w:pPr>
        <w:pStyle w:val="FirstParagraph"/>
      </w:pPr>
      <w:r>
        <w:rPr>
          <w:b/>
          <w:bCs/>
        </w:rPr>
        <w:t xml:space="preserve">Distributional-conflict reframing (Aklin and Mildenberger 2020).</w:t>
      </w:r>
      <w:r>
        <w:t xml:space="preserve"> </w:t>
      </w:r>
      <w:r>
        <w:t xml:space="preserve">Climate policy is shaped by distributional conflict within countries, not primarily by cross-country free-riding. Look for four axes: industry vs industry; concentrated losers vs diffuse winners; high-income vs low-income households; current voters vs future generations. Colgan, Green, and Hale’s asset-revaluation lens sits underneath this: climate-forcing assets and climate-vulnerable assets both lose value as decarbonisation proceeds, which is what generates the coalitions and blocking constituencies you should look for in each case.</w:t>
      </w:r>
    </w:p>
    <w:bookmarkEnd w:id="36"/>
    <w:bookmarkStart w:id="37" w:name="case-specifics-from-the-case-pack-2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Vanuatu, supported by the Alliance of Small Island States (AOSIS) and a coalition of climate-vulnerable states, championed a UN General Assembly resolution requesting an ICJ Advisory Opinion on states’ climate-change obligations. The resolution was adopted by consensus in March 2023; oral hearings took place in December 2024, drawing over 100 states and international organisations; the Advisory Opinion was delivered on 23 July 2025. The strategy combines diplomacy and litigation to shape multilateral negotiating positions and to create normative pressure on high-emitting states.</w:t>
      </w:r>
    </w:p>
    <w:p>
      <w:pPr>
        <w:pStyle w:val="BodyText"/>
      </w:pPr>
      <w:r>
        <w:rPr>
          <w:b/>
          <w:bCs/>
        </w:rPr>
        <w:t xml:space="preserve">Case: the agency’s data</w:t>
      </w:r>
    </w:p>
    <w:p>
      <w:pPr>
        <w:pStyle w:val="Compact"/>
        <w:numPr>
          <w:ilvl w:val="0"/>
          <w:numId w:val="1014"/>
        </w:numPr>
      </w:pPr>
      <w:r>
        <w:t xml:space="preserve">Foundational diplomacy: Vanuatu’s Pacific Islands Forum proposal (2021); Pacific Islands Climate Action Network advocacy; civil-society legal partnerships (Climate Litigation Network and others).</w:t>
      </w:r>
    </w:p>
    <w:p>
      <w:pPr>
        <w:pStyle w:val="Compact"/>
        <w:numPr>
          <w:ilvl w:val="0"/>
          <w:numId w:val="1014"/>
        </w:numPr>
      </w:pPr>
      <w:r>
        <w:t xml:space="preserve">UN General Assembly Resolution 77/276 (29 March 2023): requesting an ICJ Advisory Opinion on states’ obligations regarding climate change under international law.</w:t>
      </w:r>
    </w:p>
    <w:p>
      <w:pPr>
        <w:pStyle w:val="Compact"/>
        <w:numPr>
          <w:ilvl w:val="0"/>
          <w:numId w:val="1014"/>
        </w:numPr>
      </w:pPr>
      <w:r>
        <w:t xml:space="preserve">ICJ proceedings: 91 written statements from states and international organisations (combined, 2024 written stage); oral hearings 2–13 December 2024 with 96 states and 11 international organisations participating; Advisory Opinion delivered 23 July 2025.</w:t>
      </w:r>
    </w:p>
    <w:p>
      <w:pPr>
        <w:pStyle w:val="Compact"/>
        <w:numPr>
          <w:ilvl w:val="0"/>
          <w:numId w:val="1014"/>
        </w:numPr>
      </w:pPr>
      <w:r>
        <w:t xml:space="preserve">Loss-and-damage context: COP27 (Sharm el-Sheikh, November 2022) agreed to establish a Loss and Damage Fund; COP28 (Dubai, December 2023) agreed the governance structure (initial host: a World Bank trust fund); pledges made ($700m+ initially, well below estimated need); operationalisation continuing through 2024–25.</w:t>
      </w:r>
    </w:p>
    <w:p>
      <w:pPr>
        <w:pStyle w:val="Compact"/>
        <w:numPr>
          <w:ilvl w:val="0"/>
          <w:numId w:val="1014"/>
        </w:numPr>
      </w:pPr>
      <w:r>
        <w:t xml:space="preserve">Domestic litigation strategy: Vanuatu and several Pacific states are exploring civil litigation against fossil-fuel majors, parallel to the US, Dutch, and Australian climate-litigation traditions.</w:t>
      </w:r>
    </w:p>
    <w:p>
      <w:pPr>
        <w:pStyle w:val="Compact"/>
        <w:numPr>
          <w:ilvl w:val="0"/>
          <w:numId w:val="1014"/>
        </w:numPr>
      </w:pPr>
      <w:r>
        <w:t xml:space="preserve">Climate damages tax proposals: Wewerinke-Singh and Hinge Salili identify a climate damages tax (CDT) as a potentially significant revenue source for the loss-and-damage fund; political feasibility is uncertain.</w:t>
      </w:r>
    </w:p>
    <w:p>
      <w:pPr>
        <w:pStyle w:val="Compact"/>
        <w:numPr>
          <w:ilvl w:val="0"/>
          <w:numId w:val="1014"/>
        </w:numPr>
      </w:pPr>
      <w:r>
        <w:t xml:space="preserve">Vanuatu’s domestic context: a 2023 referendum on a constitutional climate provision drew majority support but did not pass the turnout threshold; legal-strategy development is ongoing.</w:t>
      </w:r>
    </w:p>
    <w:p>
      <w:pPr>
        <w:pStyle w:val="Compact"/>
        <w:numPr>
          <w:ilvl w:val="0"/>
          <w:numId w:val="1014"/>
        </w:numPr>
      </w:pPr>
      <w:r>
        <w:t xml:space="preserve">Recent context: the 2024 ICJ hearings drew unprecedented participation; the Advisory Opinion was delivered 23 July 2025; loss-and-damage fund disbursement plans continue through 2025–26.</w:t>
      </w:r>
    </w:p>
    <w:bookmarkEnd w:id="37"/>
    <w:bookmarkStart w:id="38" w:name="Xabfd89b0020d7dd201e80d11d06c98b246a20ef"/>
    <w:p>
      <w:pPr>
        <w:pStyle w:val="Heading3"/>
      </w:pPr>
      <w:r>
        <w:t xml:space="preserve">Discussion questions from the case pack</w:t>
      </w:r>
    </w:p>
    <w:p>
      <w:pPr>
        <w:pStyle w:val="Compact"/>
        <w:numPr>
          <w:ilvl w:val="0"/>
          <w:numId w:val="1015"/>
        </w:numPr>
      </w:pPr>
      <w:r>
        <w:t xml:space="preserve">Apply the conditions checklist, with an adaptation-justice register. Where is the case strongest?</w:t>
      </w:r>
    </w:p>
    <w:p>
      <w:pPr>
        <w:pStyle w:val="Compact"/>
        <w:numPr>
          <w:ilvl w:val="0"/>
          <w:numId w:val="1015"/>
        </w:numPr>
      </w:pPr>
      <w:r>
        <w:t xml:space="preserve">Identify the operative mechanism.</w:t>
      </w:r>
    </w:p>
    <w:p>
      <w:pPr>
        <w:pStyle w:val="Compact"/>
        <w:numPr>
          <w:ilvl w:val="0"/>
          <w:numId w:val="1015"/>
        </w:numPr>
      </w:pPr>
      <w:r>
        <w:t xml:space="preserve">Reach an effectiveness verdict.</w:t>
      </w:r>
    </w:p>
    <w:p>
      <w:pPr>
        <w:pStyle w:val="Compact"/>
        <w:numPr>
          <w:ilvl w:val="0"/>
          <w:numId w:val="1015"/>
        </w:numPr>
      </w:pPr>
      <w:r>
        <w:t xml:space="preserve">Compare to Bangladesh: both face severe vulnerability, but different governance strategies follow from different vulnerability profiles — what explains the difference in strategy?</w:t>
      </w:r>
    </w:p>
    <w:p>
      <w:pPr>
        <w:pStyle w:val="Compact"/>
        <w:numPr>
          <w:ilvl w:val="0"/>
          <w:numId w:val="1015"/>
        </w:numPr>
      </w:pPr>
      <w:r>
        <w:t xml:space="preserve">Coalition reflection: AOSIS is a coalition-building model among small states with limited material power. What’s the strategic implication for other vulnerable-state coalitions?</w:t>
      </w:r>
    </w:p>
    <w:p>
      <w:r>
        <w:br w:type="page"/>
      </w:r>
    </w:p>
    <w:bookmarkEnd w:id="38"/>
    <w:bookmarkEnd w:id="39"/>
    <w:bookmarkEnd w:id="40"/>
    <w:bookmarkStart w:id="47" w:name="climate-policy-cases-worksheet-3"/>
    <w:p>
      <w:pPr>
        <w:pStyle w:val="Heading1"/>
      </w:pPr>
      <w:r>
        <w:t xml:space="preserve">Climate Policy Cases — Worksheet</w:t>
      </w:r>
    </w:p>
    <w:bookmarkStart w:id="46" w:name="X9ae09b4c300d516aac14b0ec1ea4bceb215f9a9"/>
    <w:p>
      <w:pPr>
        <w:pStyle w:val="Heading2"/>
      </w:pPr>
      <w:r>
        <w:t xml:space="preserve">Bangladesh adaptation governance — Adaptation justice and loss-and-damage pair</w:t>
      </w:r>
    </w:p>
    <w:p>
      <w:pPr>
        <w:pStyle w:val="FirstParagraph"/>
      </w:pPr>
      <w:r>
        <w:rPr>
          <w:i/>
          <w:iCs/>
        </w:rPr>
        <w:t xml:space="preserve">IR227 Seminar 9 — Group worksheet</w:t>
      </w:r>
    </w:p>
    <w:bookmarkStart w:id="41" w:name="task-3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Take your assigned climate-policy case. Apply the seven-condition checklist (Lecture 7) jointly with the institutional-change mechanisms typology (Lecture 8), then reach an effectiveness verdict and close with a coalition-or-institutional reflection.</w:t>
      </w:r>
    </w:p>
    <w:p>
      <w:pPr>
        <w:pStyle w:val="BodyText"/>
      </w:pPr>
      <w:r>
        <w:t xml:space="preserve">The analytical tools you will deploy are: the seven-condition checklist for environmental-governance success, and the five-mechanism typology of gradual institutional change.</w:t>
      </w:r>
    </w:p>
    <w:bookmarkEnd w:id="41"/>
    <w:bookmarkStart w:id="42" w:name="requirements-3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16"/>
        </w:numPr>
      </w:pPr>
      <w:r>
        <w:t xml:space="preserve">for each of the seven conditions, identify whether it is present, partial, or absent, with evidence,</w:t>
      </w:r>
    </w:p>
    <w:p>
      <w:pPr>
        <w:pStyle w:val="Compact"/>
        <w:numPr>
          <w:ilvl w:val="0"/>
          <w:numId w:val="1016"/>
        </w:numPr>
      </w:pPr>
      <w:r>
        <w:t xml:space="preserve">identify which mechanism (drift, conversion, layering, displacement, exhaustion) is most operative, with evidence,</w:t>
      </w:r>
    </w:p>
    <w:p>
      <w:pPr>
        <w:pStyle w:val="Compact"/>
        <w:numPr>
          <w:ilvl w:val="0"/>
          <w:numId w:val="1016"/>
        </w:numPr>
      </w:pPr>
      <w:r>
        <w:t xml:space="preserve">show how the conditions and the mechanism connect,</w:t>
      </w:r>
    </w:p>
    <w:p>
      <w:pPr>
        <w:pStyle w:val="Compact"/>
        <w:numPr>
          <w:ilvl w:val="0"/>
          <w:numId w:val="1016"/>
        </w:numPr>
      </w:pPr>
      <w:r>
        <w:t xml:space="preserve">reach an effectiveness verdict, and</w:t>
      </w:r>
    </w:p>
    <w:p>
      <w:pPr>
        <w:pStyle w:val="Compact"/>
        <w:numPr>
          <w:ilvl w:val="0"/>
          <w:numId w:val="1016"/>
        </w:numPr>
      </w:pPr>
      <w:r>
        <w:t xml:space="preserve">close with a specific coalition-or-institutional reflection.</w:t>
      </w:r>
    </w:p>
    <w:p>
      <w:pPr>
        <w:pStyle w:val="FirstParagraph"/>
      </w:pPr>
      <w:r>
        <w:t xml:space="preserve">Note: these cases are deliberately under-determined. There is no single correct verdict — you will be assessed on the strength of the reasoning chain (conditions → mechanism → effectiveness verdict → coalition reflection), not on which verdict you reach.</w:t>
      </w:r>
    </w:p>
    <w:bookmarkEnd w:id="42"/>
    <w:bookmarkStart w:id="43" w:name="tool-summary-3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Conditions for environmental-governance success (Lecture 7).</w:t>
      </w:r>
      <w:r>
        <w:t xml:space="preserve"> </w:t>
      </w:r>
      <w:r>
        <w:t xml:space="preserve">For each condition, assess whether it is present, partial, or absent in your case, with evidence.</w:t>
      </w:r>
    </w:p>
    <w:p>
      <w:pPr>
        <w:pStyle w:val="Compact"/>
        <w:numPr>
          <w:ilvl w:val="0"/>
          <w:numId w:val="1017"/>
        </w:numPr>
      </w:pPr>
      <w:r>
        <w:t xml:space="preserve">Scientific consensus + epistemic community.</w:t>
      </w:r>
    </w:p>
    <w:p>
      <w:pPr>
        <w:pStyle w:val="Compact"/>
        <w:numPr>
          <w:ilvl w:val="0"/>
          <w:numId w:val="1017"/>
        </w:numPr>
      </w:pPr>
      <w:r>
        <w:t xml:space="preserve">Concentrated industry / actors.</w:t>
      </w:r>
    </w:p>
    <w:p>
      <w:pPr>
        <w:pStyle w:val="Compact"/>
        <w:numPr>
          <w:ilvl w:val="0"/>
          <w:numId w:val="1017"/>
        </w:numPr>
      </w:pPr>
      <w:r>
        <w:t xml:space="preserve">Available technological substitutes.</w:t>
      </w:r>
    </w:p>
    <w:p>
      <w:pPr>
        <w:pStyle w:val="Compact"/>
        <w:numPr>
          <w:ilvl w:val="0"/>
          <w:numId w:val="1017"/>
        </w:numPr>
      </w:pPr>
      <w:r>
        <w:t xml:space="preserve">Asymmetric costs favouring cooperation.</w:t>
      </w:r>
    </w:p>
    <w:p>
      <w:pPr>
        <w:pStyle w:val="Compact"/>
        <w:numPr>
          <w:ilvl w:val="0"/>
          <w:numId w:val="1017"/>
        </w:numPr>
      </w:pPr>
      <w:r>
        <w:t xml:space="preserve">Distributional mechanisms.</w:t>
      </w:r>
    </w:p>
    <w:p>
      <w:pPr>
        <w:pStyle w:val="Compact"/>
        <w:numPr>
          <w:ilvl w:val="0"/>
          <w:numId w:val="1017"/>
        </w:numPr>
      </w:pPr>
      <w:r>
        <w:t xml:space="preserve">Institutional design (monitoring, verification, enforcement).</w:t>
      </w:r>
    </w:p>
    <w:p>
      <w:pPr>
        <w:pStyle w:val="Compact"/>
        <w:numPr>
          <w:ilvl w:val="0"/>
          <w:numId w:val="1017"/>
        </w:numPr>
      </w:pPr>
      <w:r>
        <w:t xml:space="preserve">Political leadership.</w:t>
      </w:r>
    </w:p>
    <w:p>
      <w:pPr>
        <w:pStyle w:val="FirstParagraph"/>
      </w:pPr>
      <w:r>
        <w:rPr>
          <w:b/>
          <w:bCs/>
        </w:rPr>
        <w:t xml:space="preserve">Institutional-change mechanisms (Streeck and Thelen 2005; Hacker, Pierson, and Thelen 2015).</w:t>
      </w:r>
      <w:r>
        <w:t xml:space="preserve"> </w:t>
      </w:r>
      <w:r>
        <w:t xml:space="preserve">Ask which mechanism best fits the rule, the environment, and the change in the relationship between them.</w:t>
      </w:r>
    </w:p>
    <w:p>
      <w:pPr>
        <w:pStyle w:val="Compact"/>
        <w:numPr>
          <w:ilvl w:val="0"/>
          <w:numId w:val="1018"/>
        </w:numPr>
      </w:pPr>
      <w:r>
        <w:t xml:space="preserve">Drift. Rules unchanged, environment changes.</w:t>
      </w:r>
    </w:p>
    <w:p>
      <w:pPr>
        <w:pStyle w:val="Compact"/>
        <w:numPr>
          <w:ilvl w:val="0"/>
          <w:numId w:val="1018"/>
        </w:numPr>
      </w:pPr>
      <w:r>
        <w:t xml:space="preserve">Conversion. Rules redirected to new purposes.</w:t>
      </w:r>
    </w:p>
    <w:p>
      <w:pPr>
        <w:pStyle w:val="Compact"/>
        <w:numPr>
          <w:ilvl w:val="0"/>
          <w:numId w:val="1018"/>
        </w:numPr>
      </w:pPr>
      <w:r>
        <w:t xml:space="preserve">Layering. New rules added on top of old without dismantling.</w:t>
      </w:r>
    </w:p>
    <w:p>
      <w:pPr>
        <w:pStyle w:val="Compact"/>
        <w:numPr>
          <w:ilvl w:val="0"/>
          <w:numId w:val="1018"/>
        </w:numPr>
      </w:pPr>
      <w:r>
        <w:t xml:space="preserve">Displacement. Old institutions actively replaced by new.</w:t>
      </w:r>
    </w:p>
    <w:p>
      <w:pPr>
        <w:pStyle w:val="Compact"/>
        <w:numPr>
          <w:ilvl w:val="0"/>
          <w:numId w:val="1018"/>
        </w:numPr>
      </w:pPr>
      <w:r>
        <w:t xml:space="preserve">Exhaustion. Institutions wither without intentional replacement.</w:t>
      </w:r>
    </w:p>
    <w:p>
      <w:pPr>
        <w:pStyle w:val="FirstParagraph"/>
      </w:pPr>
      <w:r>
        <w:rPr>
          <w:b/>
          <w:bCs/>
        </w:rPr>
        <w:t xml:space="preserve">Distributional-conflict reframing (Aklin and Mildenberger 2020).</w:t>
      </w:r>
      <w:r>
        <w:t xml:space="preserve"> </w:t>
      </w:r>
      <w:r>
        <w:t xml:space="preserve">Climate policy is shaped by distributional conflict within countries, not primarily by cross-country free-riding. Look for four axes: industry vs industry; concentrated losers vs diffuse winners; high-income vs low-income households; current voters vs future generations. Colgan, Green, and Hale’s asset-revaluation lens sits underneath this: climate-forcing assets and climate-vulnerable assets both lose value as decarbonisation proceeds, which is what generates the coalitions and blocking constituencies you should look for in each case.</w:t>
      </w:r>
    </w:p>
    <w:bookmarkEnd w:id="43"/>
    <w:bookmarkStart w:id="44" w:name="case-specifics-from-the-case-pack-3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Bangladesh has developed an adaptation-governance framework built around the Bangladesh Climate Change Strategy and Action Plan (BCCSAP, 2009) and the National Adaptation Plan (NAP, 2022, covering 2023–2050). Coastal adaptation infrastructure (embankments, salinity management, climate-resilient agriculture), the Mujib Climate Prosperity Plan (2022), and Climate Vulnerable Forum leadership are the main components of its national strategy.</w:t>
      </w:r>
    </w:p>
    <w:p>
      <w:pPr>
        <w:pStyle w:val="BodyText"/>
      </w:pPr>
      <w:r>
        <w:rPr>
          <w:b/>
          <w:bCs/>
        </w:rPr>
        <w:t xml:space="preserve">Case: the agency’s data</w:t>
      </w:r>
    </w:p>
    <w:p>
      <w:pPr>
        <w:pStyle w:val="Compact"/>
        <w:numPr>
          <w:ilvl w:val="0"/>
          <w:numId w:val="1019"/>
        </w:numPr>
      </w:pPr>
      <w:r>
        <w:t xml:space="preserve">Foundational policy: Bangladesh Climate Change Strategy and Action Plan (BCCSAP, 2009); Climate Change Trust Fund (2010, domestic); National Adaptation Plan (2022, 2023–2050 horizon); Bangladesh Delta Plan 2100.</w:t>
      </w:r>
    </w:p>
    <w:p>
      <w:pPr>
        <w:pStyle w:val="Compact"/>
        <w:numPr>
          <w:ilvl w:val="0"/>
          <w:numId w:val="1019"/>
        </w:numPr>
      </w:pPr>
      <w:r>
        <w:t xml:space="preserve">Adaptation infrastructure: coastal embankments (Coastal Embankment Improvement Project); salinity management; climate-resilient rice varieties (BRRI varieties for salinity tolerance); cyclone shelters and early-warning systems.</w:t>
      </w:r>
    </w:p>
    <w:p>
      <w:pPr>
        <w:pStyle w:val="Compact"/>
        <w:numPr>
          <w:ilvl w:val="0"/>
          <w:numId w:val="1019"/>
        </w:numPr>
      </w:pPr>
      <w:r>
        <w:t xml:space="preserve">Mujib Climate Prosperity Plan (MCPP, 2022): integrates climate-resilient development with a mitigation pathway; targets and finance plan through 2041.</w:t>
      </w:r>
    </w:p>
    <w:p>
      <w:pPr>
        <w:pStyle w:val="Compact"/>
        <w:numPr>
          <w:ilvl w:val="0"/>
          <w:numId w:val="1019"/>
        </w:numPr>
      </w:pPr>
      <w:r>
        <w:t xml:space="preserve">Institutional architecture: Ministry of Environment, Forest and Climate Change; Bangladesh Climate Change Trust; Bangladesh Climate Change Resilience Fund (BCCRF, a multi-donor trust); Department of Environment.</w:t>
      </w:r>
    </w:p>
    <w:p>
      <w:pPr>
        <w:pStyle w:val="Compact"/>
        <w:numPr>
          <w:ilvl w:val="0"/>
          <w:numId w:val="1019"/>
        </w:numPr>
      </w:pPr>
      <w:r>
        <w:t xml:space="preserve">International coalition leadership: Climate Vulnerable Forum (Bangladesh has chaired it across multiple periods); the V20 group of vulnerable-economy finance ministers; a sustained voice in the UNFCCC.</w:t>
      </w:r>
    </w:p>
    <w:p>
      <w:pPr>
        <w:pStyle w:val="Compact"/>
        <w:numPr>
          <w:ilvl w:val="0"/>
          <w:numId w:val="1019"/>
        </w:numPr>
      </w:pPr>
      <w:r>
        <w:t xml:space="preserve">Adaptation finance: domestic budget commitments; multilateral and bilateral support (Adaptation Fund, Green Climate Fund, World Bank Climate Investment Funds), running below pledged amounts; loss-and-damage compensation remains unfunded.</w:t>
      </w:r>
    </w:p>
    <w:p>
      <w:pPr>
        <w:pStyle w:val="Compact"/>
        <w:numPr>
          <w:ilvl w:val="0"/>
          <w:numId w:val="1019"/>
        </w:numPr>
      </w:pPr>
      <w:r>
        <w:t xml:space="preserve">Recent context: the 2024 IPCC Adaptation Gap Report tracks Bangladesh’s NAP development; 2024–25 NAP implementation is under way; the Mujib Plan’s financing strategy is still emerging.</w:t>
      </w:r>
    </w:p>
    <w:p>
      <w:pPr>
        <w:pStyle w:val="Compact"/>
        <w:numPr>
          <w:ilvl w:val="0"/>
          <w:numId w:val="1019"/>
        </w:numPr>
      </w:pPr>
      <w:r>
        <w:t xml:space="preserve">Constraints: institutional capacity strain; coordination across ministries; integration with development planning; a financing adequacy gap.</w:t>
      </w:r>
    </w:p>
    <w:bookmarkEnd w:id="44"/>
    <w:bookmarkStart w:id="45" w:name="X3132ccfbd4a825aee823f86eb155173dcf9a708"/>
    <w:p>
      <w:pPr>
        <w:pStyle w:val="Heading3"/>
      </w:pPr>
      <w:r>
        <w:t xml:space="preserve">Discussion questions from the case pack</w:t>
      </w:r>
    </w:p>
    <w:p>
      <w:pPr>
        <w:pStyle w:val="Compact"/>
        <w:numPr>
          <w:ilvl w:val="0"/>
          <w:numId w:val="1020"/>
        </w:numPr>
      </w:pPr>
      <w:r>
        <w:t xml:space="preserve">Apply the conditions checklist. Where does Bangladesh score better than the Pacific small-island states, where worse?</w:t>
      </w:r>
    </w:p>
    <w:p>
      <w:pPr>
        <w:pStyle w:val="Compact"/>
        <w:numPr>
          <w:ilvl w:val="0"/>
          <w:numId w:val="1020"/>
        </w:numPr>
      </w:pPr>
      <w:r>
        <w:t xml:space="preserve">Identify the operative mechanism.</w:t>
      </w:r>
    </w:p>
    <w:p>
      <w:pPr>
        <w:pStyle w:val="Compact"/>
        <w:numPr>
          <w:ilvl w:val="0"/>
          <w:numId w:val="1020"/>
        </w:numPr>
      </w:pPr>
      <w:r>
        <w:t xml:space="preserve">Reach an effectiveness verdict.</w:t>
      </w:r>
    </w:p>
    <w:p>
      <w:pPr>
        <w:pStyle w:val="Compact"/>
        <w:numPr>
          <w:ilvl w:val="0"/>
          <w:numId w:val="1020"/>
        </w:numPr>
      </w:pPr>
      <w:r>
        <w:t xml:space="preserve">Compare to the Pacific states: both vulnerable, but with different vulnerability profiles and different strategies — what explains the difference?</w:t>
      </w:r>
    </w:p>
    <w:p>
      <w:pPr>
        <w:pStyle w:val="Compact"/>
        <w:numPr>
          <w:ilvl w:val="0"/>
          <w:numId w:val="1020"/>
        </w:numPr>
      </w:pPr>
      <w:r>
        <w:t xml:space="preserve">Coalition reflection: the domestic adaptation coalition is well-institutionalised, while international finance commitments have consistently fallen below pledged amounts. What institutional move could lock in predictable, multi-decade adaptation finance?</w:t>
      </w:r>
    </w:p>
    <w:p>
      <w:r>
        <w:br w:type="page"/>
      </w:r>
    </w:p>
    <w:bookmarkEnd w:id="45"/>
    <w:bookmarkEnd w:id="46"/>
    <w:bookmarkEnd w:id="47"/>
    <w:bookmarkStart w:id="54" w:name="climate-policy-cases-worksheet-4"/>
    <w:p>
      <w:pPr>
        <w:pStyle w:val="Heading1"/>
      </w:pPr>
      <w:r>
        <w:t xml:space="preserve">Climate Policy Cases — Worksheet</w:t>
      </w:r>
    </w:p>
    <w:bookmarkStart w:id="53" w:name="X69eaeb43f52e7897153a28b4685e624dab5c217"/>
    <w:p>
      <w:pPr>
        <w:pStyle w:val="Heading2"/>
      </w:pPr>
      <w:r>
        <w:t xml:space="preserve">Germany coal phase-out (Strukturwandel) — Just transition pair</w:t>
      </w:r>
    </w:p>
    <w:p>
      <w:pPr>
        <w:pStyle w:val="FirstParagraph"/>
      </w:pPr>
      <w:r>
        <w:rPr>
          <w:i/>
          <w:iCs/>
        </w:rPr>
        <w:t xml:space="preserve">IR227 Seminar 9 — Group worksheet</w:t>
      </w:r>
    </w:p>
    <w:bookmarkStart w:id="48" w:name="task-4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Take your assigned climate-policy case. Apply the seven-condition checklist (Lecture 7) jointly with the institutional-change mechanisms typology (Lecture 8), then reach an effectiveness verdict and close with a coalition-or-institutional reflection.</w:t>
      </w:r>
    </w:p>
    <w:p>
      <w:pPr>
        <w:pStyle w:val="BodyText"/>
      </w:pPr>
      <w:r>
        <w:t xml:space="preserve">The analytical tools you will deploy are: the seven-condition checklist for environmental-governance success, and the five-mechanism typology of gradual institutional change.</w:t>
      </w:r>
    </w:p>
    <w:bookmarkEnd w:id="48"/>
    <w:bookmarkStart w:id="49" w:name="requirements-4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21"/>
        </w:numPr>
      </w:pPr>
      <w:r>
        <w:t xml:space="preserve">for each of the seven conditions, identify whether it is present, partial, or absent, with evidence,</w:t>
      </w:r>
    </w:p>
    <w:p>
      <w:pPr>
        <w:pStyle w:val="Compact"/>
        <w:numPr>
          <w:ilvl w:val="0"/>
          <w:numId w:val="1021"/>
        </w:numPr>
      </w:pPr>
      <w:r>
        <w:t xml:space="preserve">identify which mechanism (drift, conversion, layering, displacement, exhaustion) is most operative, with evidence,</w:t>
      </w:r>
    </w:p>
    <w:p>
      <w:pPr>
        <w:pStyle w:val="Compact"/>
        <w:numPr>
          <w:ilvl w:val="0"/>
          <w:numId w:val="1021"/>
        </w:numPr>
      </w:pPr>
      <w:r>
        <w:t xml:space="preserve">show how the conditions and the mechanism connect,</w:t>
      </w:r>
    </w:p>
    <w:p>
      <w:pPr>
        <w:pStyle w:val="Compact"/>
        <w:numPr>
          <w:ilvl w:val="0"/>
          <w:numId w:val="1021"/>
        </w:numPr>
      </w:pPr>
      <w:r>
        <w:t xml:space="preserve">reach an effectiveness verdict, and</w:t>
      </w:r>
    </w:p>
    <w:p>
      <w:pPr>
        <w:pStyle w:val="Compact"/>
        <w:numPr>
          <w:ilvl w:val="0"/>
          <w:numId w:val="1021"/>
        </w:numPr>
      </w:pPr>
      <w:r>
        <w:t xml:space="preserve">close with a specific coalition-or-institutional reflection.</w:t>
      </w:r>
    </w:p>
    <w:p>
      <w:pPr>
        <w:pStyle w:val="FirstParagraph"/>
      </w:pPr>
      <w:r>
        <w:t xml:space="preserve">Note: these cases are deliberately under-determined. There is no single correct verdict — you will be assessed on the strength of the reasoning chain (conditions → mechanism → effectiveness verdict → coalition reflection), not on which verdict you reach.</w:t>
      </w:r>
    </w:p>
    <w:bookmarkEnd w:id="49"/>
    <w:bookmarkStart w:id="50" w:name="tool-summary-4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Conditions for environmental-governance success (Lecture 7).</w:t>
      </w:r>
      <w:r>
        <w:t xml:space="preserve"> </w:t>
      </w:r>
      <w:r>
        <w:t xml:space="preserve">For each condition, assess whether it is present, partial, or absent in your case, with evidence.</w:t>
      </w:r>
    </w:p>
    <w:p>
      <w:pPr>
        <w:pStyle w:val="Compact"/>
        <w:numPr>
          <w:ilvl w:val="0"/>
          <w:numId w:val="1022"/>
        </w:numPr>
      </w:pPr>
      <w:r>
        <w:t xml:space="preserve">Scientific consensus + epistemic community.</w:t>
      </w:r>
    </w:p>
    <w:p>
      <w:pPr>
        <w:pStyle w:val="Compact"/>
        <w:numPr>
          <w:ilvl w:val="0"/>
          <w:numId w:val="1022"/>
        </w:numPr>
      </w:pPr>
      <w:r>
        <w:t xml:space="preserve">Concentrated industry / actors.</w:t>
      </w:r>
    </w:p>
    <w:p>
      <w:pPr>
        <w:pStyle w:val="Compact"/>
        <w:numPr>
          <w:ilvl w:val="0"/>
          <w:numId w:val="1022"/>
        </w:numPr>
      </w:pPr>
      <w:r>
        <w:t xml:space="preserve">Available technological substitutes.</w:t>
      </w:r>
    </w:p>
    <w:p>
      <w:pPr>
        <w:pStyle w:val="Compact"/>
        <w:numPr>
          <w:ilvl w:val="0"/>
          <w:numId w:val="1022"/>
        </w:numPr>
      </w:pPr>
      <w:r>
        <w:t xml:space="preserve">Asymmetric costs favouring cooperation.</w:t>
      </w:r>
    </w:p>
    <w:p>
      <w:pPr>
        <w:pStyle w:val="Compact"/>
        <w:numPr>
          <w:ilvl w:val="0"/>
          <w:numId w:val="1022"/>
        </w:numPr>
      </w:pPr>
      <w:r>
        <w:t xml:space="preserve">Distributional mechanisms.</w:t>
      </w:r>
    </w:p>
    <w:p>
      <w:pPr>
        <w:pStyle w:val="Compact"/>
        <w:numPr>
          <w:ilvl w:val="0"/>
          <w:numId w:val="1022"/>
        </w:numPr>
      </w:pPr>
      <w:r>
        <w:t xml:space="preserve">Institutional design (monitoring, verification, enforcement).</w:t>
      </w:r>
    </w:p>
    <w:p>
      <w:pPr>
        <w:pStyle w:val="Compact"/>
        <w:numPr>
          <w:ilvl w:val="0"/>
          <w:numId w:val="1022"/>
        </w:numPr>
      </w:pPr>
      <w:r>
        <w:t xml:space="preserve">Political leadership.</w:t>
      </w:r>
    </w:p>
    <w:p>
      <w:pPr>
        <w:pStyle w:val="FirstParagraph"/>
      </w:pPr>
      <w:r>
        <w:rPr>
          <w:b/>
          <w:bCs/>
        </w:rPr>
        <w:t xml:space="preserve">Institutional-change mechanisms (Streeck and Thelen 2005; Hacker, Pierson, and Thelen 2015).</w:t>
      </w:r>
      <w:r>
        <w:t xml:space="preserve"> </w:t>
      </w:r>
      <w:r>
        <w:t xml:space="preserve">Ask which mechanism best fits the rule, the environment, and the change in the relationship between them.</w:t>
      </w:r>
    </w:p>
    <w:p>
      <w:pPr>
        <w:pStyle w:val="Compact"/>
        <w:numPr>
          <w:ilvl w:val="0"/>
          <w:numId w:val="1023"/>
        </w:numPr>
      </w:pPr>
      <w:r>
        <w:t xml:space="preserve">Drift. Rules unchanged, environment changes.</w:t>
      </w:r>
    </w:p>
    <w:p>
      <w:pPr>
        <w:pStyle w:val="Compact"/>
        <w:numPr>
          <w:ilvl w:val="0"/>
          <w:numId w:val="1023"/>
        </w:numPr>
      </w:pPr>
      <w:r>
        <w:t xml:space="preserve">Conversion. Rules redirected to new purposes.</w:t>
      </w:r>
    </w:p>
    <w:p>
      <w:pPr>
        <w:pStyle w:val="Compact"/>
        <w:numPr>
          <w:ilvl w:val="0"/>
          <w:numId w:val="1023"/>
        </w:numPr>
      </w:pPr>
      <w:r>
        <w:t xml:space="preserve">Layering. New rules added on top of old without dismantling.</w:t>
      </w:r>
    </w:p>
    <w:p>
      <w:pPr>
        <w:pStyle w:val="Compact"/>
        <w:numPr>
          <w:ilvl w:val="0"/>
          <w:numId w:val="1023"/>
        </w:numPr>
      </w:pPr>
      <w:r>
        <w:t xml:space="preserve">Displacement. Old institutions actively replaced by new.</w:t>
      </w:r>
    </w:p>
    <w:p>
      <w:pPr>
        <w:pStyle w:val="Compact"/>
        <w:numPr>
          <w:ilvl w:val="0"/>
          <w:numId w:val="1023"/>
        </w:numPr>
      </w:pPr>
      <w:r>
        <w:t xml:space="preserve">Exhaustion. Institutions wither without intentional replacement.</w:t>
      </w:r>
    </w:p>
    <w:p>
      <w:pPr>
        <w:pStyle w:val="FirstParagraph"/>
      </w:pPr>
      <w:r>
        <w:rPr>
          <w:b/>
          <w:bCs/>
        </w:rPr>
        <w:t xml:space="preserve">Distributional-conflict reframing (Aklin and Mildenberger 2020).</w:t>
      </w:r>
      <w:r>
        <w:t xml:space="preserve"> </w:t>
      </w:r>
      <w:r>
        <w:t xml:space="preserve">Climate policy is shaped by distributional conflict within countries, not primarily by cross-country free-riding. Look for four axes: industry vs industry; concentrated losers vs diffuse winners; high-income vs low-income households; current voters vs future generations. Colgan, Green, and Hale’s asset-revaluation lens sits underneath this: climate-forcing assets and climate-vulnerable assets both lose value as decarbonisation proceeds, which is what generates the coalitions and blocking constituencies you should look for in each case.</w:t>
      </w:r>
    </w:p>
    <w:bookmarkEnd w:id="50"/>
    <w:bookmarkStart w:id="51" w:name="case-specifics-from-the-case-pack-4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Germany’s coal phase-out followed a 2018 Coal Commission process that produced consensus on a timeline; the 2020 Coal Phase-Out Act legislated the schedule (2030 for hard coal, 2038 for lignite); a €40bn Strukturwandel structural-adjustment fund (2018–2038) compensates affected regions. Political pressure in 2022–2024 has sought to accelerate the lignite timetable in some regions.</w:t>
      </w:r>
    </w:p>
    <w:p>
      <w:pPr>
        <w:pStyle w:val="BodyText"/>
      </w:pPr>
      <w:r>
        <w:rPr>
          <w:b/>
          <w:bCs/>
        </w:rPr>
        <w:t xml:space="preserve">Case: the agency’s data</w:t>
      </w:r>
    </w:p>
    <w:p>
      <w:pPr>
        <w:pStyle w:val="Compact"/>
        <w:numPr>
          <w:ilvl w:val="0"/>
          <w:numId w:val="1024"/>
        </w:numPr>
      </w:pPr>
      <w:r>
        <w:t xml:space="preserve">Foundational process: the Coal Commission (Kommission</w:t>
      </w:r>
      <w:r>
        <w:t xml:space="preserve"> </w:t>
      </w:r>
      <w:r>
        <w:t xml:space="preserve">“</w:t>
      </w:r>
      <w:r>
        <w:t xml:space="preserve">Wachstum, Strukturwandel und Beschäftigung</w:t>
      </w:r>
      <w:r>
        <w:t xml:space="preserve">”</w:t>
      </w:r>
      <w:r>
        <w:t xml:space="preserve">), 2018–2019, reaching consensus across industry, labour unions, environmental groups, and federal and Länder governments.</w:t>
      </w:r>
    </w:p>
    <w:p>
      <w:pPr>
        <w:pStyle w:val="Compact"/>
        <w:numPr>
          <w:ilvl w:val="0"/>
          <w:numId w:val="1024"/>
        </w:numPr>
      </w:pPr>
      <w:r>
        <w:t xml:space="preserve">Coal Phase-Out Act 2020 (Kohleverstromungsbeendigungsgesetz): a legally guaranteed phase-out timetable, hard coal ending 2030, lignite ending 2038.</w:t>
      </w:r>
    </w:p>
    <w:p>
      <w:pPr>
        <w:pStyle w:val="Compact"/>
        <w:numPr>
          <w:ilvl w:val="0"/>
          <w:numId w:val="1024"/>
        </w:numPr>
      </w:pPr>
      <w:r>
        <w:t xml:space="preserve">Structural Adjustment Act 2020 (Strukturstärkungsgesetz Kohleregionen): €40bn over 20 years, covering the Lusatia, Rhenish, and Central German lignite regions, with statutory protection.</w:t>
      </w:r>
    </w:p>
    <w:p>
      <w:pPr>
        <w:pStyle w:val="Compact"/>
        <w:numPr>
          <w:ilvl w:val="0"/>
          <w:numId w:val="1024"/>
        </w:numPr>
      </w:pPr>
      <w:r>
        <w:t xml:space="preserve">Compensation to operators: €4.35bn for hard-coal closures; €4.35bn for lignite operators (RWE, LEAG), under statutory guarantees.</w:t>
      </w:r>
    </w:p>
    <w:p>
      <w:pPr>
        <w:pStyle w:val="Compact"/>
        <w:numPr>
          <w:ilvl w:val="0"/>
          <w:numId w:val="1024"/>
        </w:numPr>
      </w:pPr>
      <w:r>
        <w:t xml:space="preserve">Worker support: roughly 20,000 directly affected workers in lignite; transition payments (Anpassungsgeld) for older workers; retraining and re-employment support; regional economic-restructuring funds.</w:t>
      </w:r>
    </w:p>
    <w:p>
      <w:pPr>
        <w:pStyle w:val="Compact"/>
        <w:numPr>
          <w:ilvl w:val="0"/>
          <w:numId w:val="1024"/>
        </w:numPr>
      </w:pPr>
      <w:r>
        <w:t xml:space="preserve">Coalition: SPD/Greens-led federal governments (varying over time); CDU regional support; IG BCE (the mining, chemical, and energy union); affected regional governments.</w:t>
      </w:r>
    </w:p>
    <w:p>
      <w:pPr>
        <w:pStyle w:val="Compact"/>
        <w:numPr>
          <w:ilvl w:val="0"/>
          <w:numId w:val="1024"/>
        </w:numPr>
      </w:pPr>
      <w:r>
        <w:t xml:space="preserve">Recent context: a 2022 RWE-government agreement to advance the lignite phase-out from 2038 to 2030 in the Rhenish region; political pressure for a similar acceleration in Lusatia (Eastern Germany); 2024–25 implementation status is mixed, with the Lusatia structural transformation slower than anticipated.</w:t>
      </w:r>
    </w:p>
    <w:p>
      <w:pPr>
        <w:pStyle w:val="Compact"/>
        <w:numPr>
          <w:ilvl w:val="0"/>
          <w:numId w:val="1024"/>
        </w:numPr>
      </w:pPr>
      <w:r>
        <w:t xml:space="preserve">Commitment-related design features on record: statutory protection for the phase-out timetable and the structural-adjustment fund; an independent monitoring commission; no constitutional entrenchment of the compensation guarantees; only partial provisions for fiscal protection in a recession.</w:t>
      </w:r>
    </w:p>
    <w:bookmarkEnd w:id="51"/>
    <w:bookmarkStart w:id="52" w:name="X387aa0d96432d7cba40b082af2f4743f5cc1d68"/>
    <w:p>
      <w:pPr>
        <w:pStyle w:val="Heading3"/>
      </w:pPr>
      <w:r>
        <w:t xml:space="preserve">Discussion questions from the case pack</w:t>
      </w:r>
    </w:p>
    <w:p>
      <w:pPr>
        <w:pStyle w:val="Compact"/>
        <w:numPr>
          <w:ilvl w:val="0"/>
          <w:numId w:val="1025"/>
        </w:numPr>
      </w:pPr>
      <w:r>
        <w:t xml:space="preserve">Apply the conditions checklist. Where is the case strongest?</w:t>
      </w:r>
    </w:p>
    <w:p>
      <w:pPr>
        <w:pStyle w:val="Compact"/>
        <w:numPr>
          <w:ilvl w:val="0"/>
          <w:numId w:val="1025"/>
        </w:numPr>
      </w:pPr>
      <w:r>
        <w:t xml:space="preserve">Identify the operative mechanism.</w:t>
      </w:r>
    </w:p>
    <w:p>
      <w:pPr>
        <w:pStyle w:val="Compact"/>
        <w:numPr>
          <w:ilvl w:val="0"/>
          <w:numId w:val="1025"/>
        </w:numPr>
      </w:pPr>
      <w:r>
        <w:t xml:space="preserve">Reach an effectiveness verdict.</w:t>
      </w:r>
    </w:p>
    <w:p>
      <w:pPr>
        <w:pStyle w:val="Compact"/>
        <w:numPr>
          <w:ilvl w:val="0"/>
          <w:numId w:val="1025"/>
        </w:numPr>
      </w:pPr>
      <w:r>
        <w:t xml:space="preserve">Compare to South Africa’s JETP: same archetype (just transition), but domestic vs international commitment infrastructure — what does the contrast reveal?</w:t>
      </w:r>
    </w:p>
    <w:p>
      <w:pPr>
        <w:pStyle w:val="Compact"/>
        <w:numPr>
          <w:ilvl w:val="0"/>
          <w:numId w:val="1025"/>
        </w:numPr>
      </w:pPr>
      <w:r>
        <w:t xml:space="preserve">Coalition reflection: the German coalition includes coal-region politicians, labour unions, regional development advocates, and environmental groups. What institutional move would make the commitment more robust under economic pressure?</w:t>
      </w:r>
    </w:p>
    <w:p>
      <w:r>
        <w:br w:type="page"/>
      </w:r>
    </w:p>
    <w:bookmarkEnd w:id="52"/>
    <w:bookmarkEnd w:id="53"/>
    <w:bookmarkEnd w:id="54"/>
    <w:bookmarkStart w:id="61" w:name="climate-policy-cases-worksheet-5"/>
    <w:p>
      <w:pPr>
        <w:pStyle w:val="Heading1"/>
      </w:pPr>
      <w:r>
        <w:t xml:space="preserve">Climate Policy Cases — Worksheet</w:t>
      </w:r>
    </w:p>
    <w:bookmarkStart w:id="60" w:name="X01de90efcebb1fbd887dc2945e4b92fa26cc79d"/>
    <w:p>
      <w:pPr>
        <w:pStyle w:val="Heading2"/>
      </w:pPr>
      <w:r>
        <w:t xml:space="preserve">South Africa Just Energy Transition Partnership (JETP) — Just transition pair</w:t>
      </w:r>
    </w:p>
    <w:p>
      <w:pPr>
        <w:pStyle w:val="FirstParagraph"/>
      </w:pPr>
      <w:r>
        <w:rPr>
          <w:i/>
          <w:iCs/>
        </w:rPr>
        <w:t xml:space="preserve">IR227 Seminar 9 — Group worksheet</w:t>
      </w:r>
    </w:p>
    <w:bookmarkStart w:id="55" w:name="task-5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Take your assigned climate-policy case. Apply the seven-condition checklist (Lecture 7) jointly with the institutional-change mechanisms typology (Lecture 8), then reach an effectiveness verdict and close with a coalition-or-institutional reflection.</w:t>
      </w:r>
    </w:p>
    <w:p>
      <w:pPr>
        <w:pStyle w:val="BodyText"/>
      </w:pPr>
      <w:r>
        <w:t xml:space="preserve">The analytical tools you will deploy are: the seven-condition checklist for environmental-governance success, and the five-mechanism typology of gradual institutional change.</w:t>
      </w:r>
    </w:p>
    <w:bookmarkEnd w:id="55"/>
    <w:bookmarkStart w:id="56" w:name="requirements-5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26"/>
        </w:numPr>
      </w:pPr>
      <w:r>
        <w:t xml:space="preserve">for each of the seven conditions, identify whether it is present, partial, or absent, with evidence,</w:t>
      </w:r>
    </w:p>
    <w:p>
      <w:pPr>
        <w:pStyle w:val="Compact"/>
        <w:numPr>
          <w:ilvl w:val="0"/>
          <w:numId w:val="1026"/>
        </w:numPr>
      </w:pPr>
      <w:r>
        <w:t xml:space="preserve">identify which mechanism (drift, conversion, layering, displacement, exhaustion) is most operative, with evidence,</w:t>
      </w:r>
    </w:p>
    <w:p>
      <w:pPr>
        <w:pStyle w:val="Compact"/>
        <w:numPr>
          <w:ilvl w:val="0"/>
          <w:numId w:val="1026"/>
        </w:numPr>
      </w:pPr>
      <w:r>
        <w:t xml:space="preserve">show how the conditions and the mechanism connect,</w:t>
      </w:r>
    </w:p>
    <w:p>
      <w:pPr>
        <w:pStyle w:val="Compact"/>
        <w:numPr>
          <w:ilvl w:val="0"/>
          <w:numId w:val="1026"/>
        </w:numPr>
      </w:pPr>
      <w:r>
        <w:t xml:space="preserve">reach an effectiveness verdict, and</w:t>
      </w:r>
    </w:p>
    <w:p>
      <w:pPr>
        <w:pStyle w:val="Compact"/>
        <w:numPr>
          <w:ilvl w:val="0"/>
          <w:numId w:val="1026"/>
        </w:numPr>
      </w:pPr>
      <w:r>
        <w:t xml:space="preserve">close with a specific coalition-or-institutional reflection.</w:t>
      </w:r>
    </w:p>
    <w:p>
      <w:pPr>
        <w:pStyle w:val="FirstParagraph"/>
      </w:pPr>
      <w:r>
        <w:t xml:space="preserve">Note: these cases are deliberately under-determined. There is no single correct verdict — you will be assessed on the strength of the reasoning chain (conditions → mechanism → effectiveness verdict → coalition reflection), not on which verdict you reach.</w:t>
      </w:r>
    </w:p>
    <w:bookmarkEnd w:id="56"/>
    <w:bookmarkStart w:id="57" w:name="tool-summary-5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Conditions for environmental-governance success (Lecture 7).</w:t>
      </w:r>
      <w:r>
        <w:t xml:space="preserve"> </w:t>
      </w:r>
      <w:r>
        <w:t xml:space="preserve">For each condition, assess whether it is present, partial, or absent in your case, with evidence.</w:t>
      </w:r>
    </w:p>
    <w:p>
      <w:pPr>
        <w:pStyle w:val="Compact"/>
        <w:numPr>
          <w:ilvl w:val="0"/>
          <w:numId w:val="1027"/>
        </w:numPr>
      </w:pPr>
      <w:r>
        <w:t xml:space="preserve">Scientific consensus + epistemic community.</w:t>
      </w:r>
    </w:p>
    <w:p>
      <w:pPr>
        <w:pStyle w:val="Compact"/>
        <w:numPr>
          <w:ilvl w:val="0"/>
          <w:numId w:val="1027"/>
        </w:numPr>
      </w:pPr>
      <w:r>
        <w:t xml:space="preserve">Concentrated industry / actors.</w:t>
      </w:r>
    </w:p>
    <w:p>
      <w:pPr>
        <w:pStyle w:val="Compact"/>
        <w:numPr>
          <w:ilvl w:val="0"/>
          <w:numId w:val="1027"/>
        </w:numPr>
      </w:pPr>
      <w:r>
        <w:t xml:space="preserve">Available technological substitutes.</w:t>
      </w:r>
    </w:p>
    <w:p>
      <w:pPr>
        <w:pStyle w:val="Compact"/>
        <w:numPr>
          <w:ilvl w:val="0"/>
          <w:numId w:val="1027"/>
        </w:numPr>
      </w:pPr>
      <w:r>
        <w:t xml:space="preserve">Asymmetric costs favouring cooperation.</w:t>
      </w:r>
    </w:p>
    <w:p>
      <w:pPr>
        <w:pStyle w:val="Compact"/>
        <w:numPr>
          <w:ilvl w:val="0"/>
          <w:numId w:val="1027"/>
        </w:numPr>
      </w:pPr>
      <w:r>
        <w:t xml:space="preserve">Distributional mechanisms.</w:t>
      </w:r>
    </w:p>
    <w:p>
      <w:pPr>
        <w:pStyle w:val="Compact"/>
        <w:numPr>
          <w:ilvl w:val="0"/>
          <w:numId w:val="1027"/>
        </w:numPr>
      </w:pPr>
      <w:r>
        <w:t xml:space="preserve">Institutional design (monitoring, verification, enforcement).</w:t>
      </w:r>
    </w:p>
    <w:p>
      <w:pPr>
        <w:pStyle w:val="Compact"/>
        <w:numPr>
          <w:ilvl w:val="0"/>
          <w:numId w:val="1027"/>
        </w:numPr>
      </w:pPr>
      <w:r>
        <w:t xml:space="preserve">Political leadership.</w:t>
      </w:r>
    </w:p>
    <w:p>
      <w:pPr>
        <w:pStyle w:val="FirstParagraph"/>
      </w:pPr>
      <w:r>
        <w:rPr>
          <w:b/>
          <w:bCs/>
        </w:rPr>
        <w:t xml:space="preserve">Institutional-change mechanisms (Streeck and Thelen 2005; Hacker, Pierson, and Thelen 2015).</w:t>
      </w:r>
      <w:r>
        <w:t xml:space="preserve"> </w:t>
      </w:r>
      <w:r>
        <w:t xml:space="preserve">Ask which mechanism best fits the rule, the environment, and the change in the relationship between them.</w:t>
      </w:r>
    </w:p>
    <w:p>
      <w:pPr>
        <w:pStyle w:val="Compact"/>
        <w:numPr>
          <w:ilvl w:val="0"/>
          <w:numId w:val="1028"/>
        </w:numPr>
      </w:pPr>
      <w:r>
        <w:t xml:space="preserve">Drift. Rules unchanged, environment changes.</w:t>
      </w:r>
    </w:p>
    <w:p>
      <w:pPr>
        <w:pStyle w:val="Compact"/>
        <w:numPr>
          <w:ilvl w:val="0"/>
          <w:numId w:val="1028"/>
        </w:numPr>
      </w:pPr>
      <w:r>
        <w:t xml:space="preserve">Conversion. Rules redirected to new purposes.</w:t>
      </w:r>
    </w:p>
    <w:p>
      <w:pPr>
        <w:pStyle w:val="Compact"/>
        <w:numPr>
          <w:ilvl w:val="0"/>
          <w:numId w:val="1028"/>
        </w:numPr>
      </w:pPr>
      <w:r>
        <w:t xml:space="preserve">Layering. New rules added on top of old without dismantling.</w:t>
      </w:r>
    </w:p>
    <w:p>
      <w:pPr>
        <w:pStyle w:val="Compact"/>
        <w:numPr>
          <w:ilvl w:val="0"/>
          <w:numId w:val="1028"/>
        </w:numPr>
      </w:pPr>
      <w:r>
        <w:t xml:space="preserve">Displacement. Old institutions actively replaced by new.</w:t>
      </w:r>
    </w:p>
    <w:p>
      <w:pPr>
        <w:pStyle w:val="Compact"/>
        <w:numPr>
          <w:ilvl w:val="0"/>
          <w:numId w:val="1028"/>
        </w:numPr>
      </w:pPr>
      <w:r>
        <w:t xml:space="preserve">Exhaustion. Institutions wither without intentional replacement.</w:t>
      </w:r>
    </w:p>
    <w:p>
      <w:pPr>
        <w:pStyle w:val="FirstParagraph"/>
      </w:pPr>
      <w:r>
        <w:rPr>
          <w:b/>
          <w:bCs/>
        </w:rPr>
        <w:t xml:space="preserve">Distributional-conflict reframing (Aklin and Mildenberger 2020).</w:t>
      </w:r>
      <w:r>
        <w:t xml:space="preserve"> </w:t>
      </w:r>
      <w:r>
        <w:t xml:space="preserve">Climate policy is shaped by distributional conflict within countries, not primarily by cross-country free-riding. Look for four axes: industry vs industry; concentrated losers vs diffuse winners; high-income vs low-income households; current voters vs future generations. Colgan, Green, and Hale’s asset-revaluation lens sits underneath this: climate-forcing assets and climate-vulnerable assets both lose value as decarbonisation proceeds, which is what generates the coalitions and blocking constituencies you should look for in each case.</w:t>
      </w:r>
    </w:p>
    <w:bookmarkEnd w:id="57"/>
    <w:bookmarkStart w:id="58" w:name="case-specifics-from-the-case-pack-5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South Africa’s Just Energy Transition Partnership (JETP), announced at COP26 (Glasgow, November 2021), is an international financing package supporting South Africa’s transition away from coal. An initial $8.5bn commitment from the EU, US, UK, Germany, and France (mostly loans, with some grants) supports Eskom restructuring, renewable-energy build-out, and just-transition spending. Implementation has faced delays in disbursement relative to the scale of the transition needs identified.</w:t>
      </w:r>
    </w:p>
    <w:p>
      <w:pPr>
        <w:pStyle w:val="BodyText"/>
      </w:pPr>
      <w:r>
        <w:rPr>
          <w:b/>
          <w:bCs/>
        </w:rPr>
        <w:t xml:space="preserve">Case: the agency’s data</w:t>
      </w:r>
    </w:p>
    <w:p>
      <w:pPr>
        <w:pStyle w:val="Compact"/>
        <w:numPr>
          <w:ilvl w:val="0"/>
          <w:numId w:val="1029"/>
        </w:numPr>
      </w:pPr>
      <w:r>
        <w:t xml:space="preserve">Foundational announcement: COP26 (Glasgow, November 2021) Political Declaration on the Just Energy Transition Partnership.</w:t>
      </w:r>
    </w:p>
    <w:p>
      <w:pPr>
        <w:pStyle w:val="Compact"/>
        <w:numPr>
          <w:ilvl w:val="0"/>
          <w:numId w:val="1029"/>
        </w:numPr>
      </w:pPr>
      <w:r>
        <w:t xml:space="preserve">Initial financing: $8.5bn over 3–5 years, mostly concessional loans with a partial grant component, from the EU, US, UK, Germany, and France (the International Partners Group).</w:t>
      </w:r>
    </w:p>
    <w:p>
      <w:pPr>
        <w:pStyle w:val="Compact"/>
        <w:numPr>
          <w:ilvl w:val="0"/>
          <w:numId w:val="1029"/>
        </w:numPr>
      </w:pPr>
      <w:r>
        <w:t xml:space="preserve">Just Energy Transition Investment Plan (JET-IP, 2022): identifies investment priorities including Mpumalanga coal-to-clean transition, electric-vehicle manufacturing, and green hydrogen.</w:t>
      </w:r>
    </w:p>
    <w:p>
      <w:pPr>
        <w:pStyle w:val="Compact"/>
        <w:numPr>
          <w:ilvl w:val="0"/>
          <w:numId w:val="1029"/>
        </w:numPr>
      </w:pPr>
      <w:r>
        <w:t xml:space="preserve">Climate Change Act 22 of 2024: assented 23 July 2024 (with partial commencement from 17 March 2025); legally binds South Africa’s Nationally Determined Contribution and provides an architecture for sectoral emission targets.</w:t>
      </w:r>
    </w:p>
    <w:p>
      <w:pPr>
        <w:pStyle w:val="Compact"/>
        <w:numPr>
          <w:ilvl w:val="0"/>
          <w:numId w:val="1029"/>
        </w:numPr>
      </w:pPr>
      <w:r>
        <w:t xml:space="preserve">Eskom restructuring: the vertically integrated state utility has been unbundled into generation, transmission, and distribution divisions; a load-shedding crisis in 2022–24; financial fragility; a contested coal-fired plant decommissioning timetable.</w:t>
      </w:r>
    </w:p>
    <w:p>
      <w:pPr>
        <w:pStyle w:val="Compact"/>
        <w:numPr>
          <w:ilvl w:val="0"/>
          <w:numId w:val="1029"/>
        </w:numPr>
      </w:pPr>
      <w:r>
        <w:t xml:space="preserve">Coal-industry political economy: Mpumalanga coal-region MPs (across multiple parties); the National Union of Mineworkers (NUM, ANC-aligned); the Eskom workforce (NUMSA, more transition-skeptical); resistance from some cabinet-level energy ministers.</w:t>
      </w:r>
    </w:p>
    <w:p>
      <w:pPr>
        <w:pStyle w:val="Compact"/>
        <w:numPr>
          <w:ilvl w:val="0"/>
          <w:numId w:val="1029"/>
        </w:numPr>
      </w:pPr>
      <w:r>
        <w:t xml:space="preserve">JETP scale relative to need: $8.5bn against an estimated transition need of $98bn over five years (per JET-IP); the loan-dominant financing structure imposes a future fiscal burden.</w:t>
      </w:r>
    </w:p>
    <w:p>
      <w:pPr>
        <w:pStyle w:val="Compact"/>
        <w:numPr>
          <w:ilvl w:val="0"/>
          <w:numId w:val="1029"/>
        </w:numPr>
      </w:pPr>
      <w:r>
        <w:t xml:space="preserve">Coalition: ANC factionalism (climate-supportive elements vs coal-protective elements); Treasury vs Department of Mineral Resources and Energy tensions; a civil-society climate coalition; international donors.</w:t>
      </w:r>
    </w:p>
    <w:p>
      <w:pPr>
        <w:pStyle w:val="Compact"/>
        <w:numPr>
          <w:ilvl w:val="0"/>
          <w:numId w:val="1029"/>
        </w:numPr>
      </w:pPr>
      <w:r>
        <w:t xml:space="preserve">Recent context: 2024 government-formation challenges affecting JETP implementation; financing disbursement slower than scheduled.</w:t>
      </w:r>
    </w:p>
    <w:p>
      <w:pPr>
        <w:pStyle w:val="Compact"/>
        <w:numPr>
          <w:ilvl w:val="0"/>
          <w:numId w:val="1029"/>
        </w:numPr>
      </w:pPr>
      <w:r>
        <w:t xml:space="preserve">Commitment-related design features on record: an international financing commitment from the Partners Group; no equivalent domestic statutory protection yet enacted; open questions about how the commitment holds up across successive governments.</w:t>
      </w:r>
    </w:p>
    <w:bookmarkEnd w:id="58"/>
    <w:bookmarkStart w:id="59" w:name="X568068362dc8e4133806000961525b2dac20a29"/>
    <w:p>
      <w:pPr>
        <w:pStyle w:val="Heading3"/>
      </w:pPr>
      <w:r>
        <w:t xml:space="preserve">Discussion questions from the case pack</w:t>
      </w:r>
    </w:p>
    <w:p>
      <w:pPr>
        <w:pStyle w:val="Compact"/>
        <w:numPr>
          <w:ilvl w:val="0"/>
          <w:numId w:val="1030"/>
        </w:numPr>
      </w:pPr>
      <w:r>
        <w:t xml:space="preserve">Apply the conditions checklist. Where does the case score worse than Germany’s Strukturwandel?</w:t>
      </w:r>
    </w:p>
    <w:p>
      <w:pPr>
        <w:pStyle w:val="Compact"/>
        <w:numPr>
          <w:ilvl w:val="0"/>
          <w:numId w:val="1030"/>
        </w:numPr>
      </w:pPr>
      <w:r>
        <w:t xml:space="preserve">Identify the operative mechanism.</w:t>
      </w:r>
    </w:p>
    <w:p>
      <w:pPr>
        <w:pStyle w:val="Compact"/>
        <w:numPr>
          <w:ilvl w:val="0"/>
          <w:numId w:val="1030"/>
        </w:numPr>
      </w:pPr>
      <w:r>
        <w:t xml:space="preserve">Reach an effectiveness verdict.</w:t>
      </w:r>
    </w:p>
    <w:p>
      <w:pPr>
        <w:pStyle w:val="Compact"/>
        <w:numPr>
          <w:ilvl w:val="0"/>
          <w:numId w:val="1030"/>
        </w:numPr>
      </w:pPr>
      <w:r>
        <w:t xml:space="preserve">Compare to Germany: domestic vs international commitment infrastructure — what does the contrast reveal?</w:t>
      </w:r>
    </w:p>
    <w:p>
      <w:pPr>
        <w:pStyle w:val="Compact"/>
        <w:numPr>
          <w:ilvl w:val="0"/>
          <w:numId w:val="1030"/>
        </w:numPr>
      </w:pPr>
      <w:r>
        <w:t xml:space="preserve">Coalition reflection: the South African coalition is fragmented, spanning ANC factions, Treasury, and the energy ministry. What domestic institutional moves could improve commitment credibility?</w:t>
      </w:r>
    </w:p>
    <w:bookmarkEnd w:id="59"/>
    <w:bookmarkEnd w:id="60"/>
    <w:bookmarkEnd w:id="61"/>
    <w:sectPr w:rsidR="0025775B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3555985" w:numId="1">
    <w:abstractNumId w:val="8"/>
  </w:num>
  <w:num w16cid:durableId="1366563869" w:numId="2">
    <w:abstractNumId w:val="6"/>
  </w:num>
  <w:num w16cid:durableId="1202668815" w:numId="3">
    <w:abstractNumId w:val="5"/>
  </w:num>
  <w:num w16cid:durableId="892079298" w:numId="4">
    <w:abstractNumId w:val="4"/>
  </w:num>
  <w:num w16cid:durableId="1506898117" w:numId="5">
    <w:abstractNumId w:val="7"/>
  </w:num>
  <w:num w16cid:durableId="2120489874" w:numId="6">
    <w:abstractNumId w:val="3"/>
  </w:num>
  <w:num w16cid:durableId="1656684556" w:numId="7">
    <w:abstractNumId w:val="2"/>
  </w:num>
  <w:num w16cid:durableId="505946227" w:numId="8">
    <w:abstractNumId w:val="1"/>
  </w:num>
  <w:num w16cid:durableId="617180631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3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75B"/>
    <w:rsid w:val="0029639D"/>
    <w:rsid w:val="00326F90"/>
    <w:rsid w:val="005D1614"/>
    <w:rsid w:val="00AA1D8D"/>
    <w:rsid w:val="00B47730"/>
    <w:rsid w:val="00CB0664"/>
    <w:rsid w:val="00D4168F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u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Shading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urfulList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urfulList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urfulList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urfulList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urfulList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urfulList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u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urfulGrid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urfulGrid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urfulGrid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Grid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urfulGrid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urfulGrid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4115</Words>
  <Characters>23456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2026-07-09T15:35:13Z</dcterms:created>
  <dcterms:modified xsi:type="dcterms:W3CDTF">2026-07-09T15:35:13Z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