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f7694948a20c607b728ed157a260246fba15a70"/>
    <w:p>
      <w:pPr>
        <w:pStyle w:val="Heading1"/>
      </w:pPr>
      <w:r>
        <w:t xml:space="preserve">Mechanisms and Diffusion in Digital Governance — Worksheet</w:t>
      </w:r>
    </w:p>
    <w:bookmarkStart w:id="25" w:name="Xa576de0a582d0ea602d81423b39eff13e98bd87"/>
    <w:p>
      <w:pPr>
        <w:pStyle w:val="Heading2"/>
      </w:pPr>
      <w:r>
        <w:t xml:space="preserve">USA permissionless innovation — Foundational paradigm divergence pair</w:t>
      </w:r>
    </w:p>
    <w:p>
      <w:pPr>
        <w:pStyle w:val="FirstParagraph"/>
      </w:pPr>
      <w:r>
        <w:rPr>
          <w:i/>
          <w:iCs/>
        </w:rPr>
        <w:t xml:space="preserve">IR227 Seminar 8 — Group worksheet</w:t>
      </w:r>
    </w:p>
    <w:bookmarkStart w:id="20" w:name="task"/>
    <w:p>
      <w:pPr>
        <w:pStyle w:val="Heading3"/>
      </w:pPr>
      <w:r>
        <w:t xml:space="preserve">Task</w:t>
      </w:r>
    </w:p>
    <w:p>
      <w:pPr>
        <w:pStyle w:val="FirstParagraph"/>
      </w:pPr>
      <w:r>
        <w:t xml:space="preserve">Take your assigned digital-governance case and identify which institutional-change mechanism — drift, conversion, layering, displacement, or exhaustion — best characterises its recent trajectory. Apply the five Brussels-effect conditions to assess whether and how the case’s regulatory model is diffusing.</w:t>
      </w:r>
    </w:p>
    <w:p>
      <w:pPr>
        <w:pStyle w:val="BodyText"/>
      </w:pPr>
      <w:r>
        <w:t xml:space="preserve">The analytical tools you will deploy are: Streeck and Thelen’s five-mechanism typology of gradual institutional change, and Bradford’s five-condition Brussels-effect framework for regulatory diffusion.</w:t>
      </w:r>
    </w:p>
    <w:bookmarkEnd w:id="20"/>
    <w:bookmarkStart w:id="21" w:name="requirements"/>
    <w:p>
      <w:pPr>
        <w:pStyle w:val="Heading3"/>
      </w:pPr>
      <w:r>
        <w:t xml:space="preserve">Requirements</w:t>
      </w:r>
    </w:p>
    <w:p>
      <w:pPr>
        <w:pStyle w:val="Compact"/>
        <w:numPr>
          <w:ilvl w:val="0"/>
          <w:numId w:val="1001"/>
        </w:numPr>
      </w:pPr>
      <w:r>
        <w:t xml:space="preserve">identify the institutional-change mechanism with evidence — the rule, the environment, and the change in the relationship between them,</w:t>
      </w:r>
    </w:p>
    <w:p>
      <w:pPr>
        <w:pStyle w:val="Compact"/>
        <w:numPr>
          <w:ilvl w:val="0"/>
          <w:numId w:val="1001"/>
        </w:numPr>
      </w:pPr>
      <w:r>
        <w:t xml:space="preserve">for each of the five Brussels-effect conditions, identify whether it is present, partially present, or absent, with evidence from the case,</w:t>
      </w:r>
    </w:p>
    <w:p>
      <w:pPr>
        <w:pStyle w:val="Compact"/>
        <w:numPr>
          <w:ilvl w:val="0"/>
          <w:numId w:val="1001"/>
        </w:numPr>
      </w:pPr>
      <w:r>
        <w:t xml:space="preserve">reach a diffusion verdict, and</w:t>
      </w:r>
    </w:p>
    <w:p>
      <w:pPr>
        <w:pStyle w:val="Compact"/>
        <w:numPr>
          <w:ilvl w:val="0"/>
          <w:numId w:val="1001"/>
        </w:numPr>
      </w:pPr>
      <w:r>
        <w:t xml:space="preserve">close with a brief reflection on what the case implies for the AI-governance challenge in Lecture 11.</w:t>
      </w:r>
    </w:p>
    <w:p>
      <w:pPr>
        <w:pStyle w:val="FirstParagraph"/>
      </w:pPr>
      <w:r>
        <w:t xml:space="preserve">Note: these cases are deliberately under-determined. There is no single correct verdict — you will be assessed on the strength of the reasoning chain (mechanism identification → conditions assessment → diffusion verdict → AI-governance reflection), not on which verdict you reach.</w:t>
      </w:r>
    </w:p>
    <w:bookmarkEnd w:id="21"/>
    <w:bookmarkStart w:id="22" w:name="tool-summary"/>
    <w:p>
      <w:pPr>
        <w:pStyle w:val="Heading3"/>
      </w:pPr>
      <w:r>
        <w:t xml:space="preserve">Tool summary</w:t>
      </w:r>
    </w:p>
    <w:p>
      <w:pPr>
        <w:pStyle w:val="FirstParagraph"/>
      </w:pPr>
      <w:r>
        <w:rPr>
          <w:b/>
          <w:bCs/>
        </w:rPr>
        <w:t xml:space="preserve">Institutional-change mechanisms (Streeck and Thelen 2005; Hacker 2015).</w:t>
      </w:r>
      <w:r>
        <w:t xml:space="preserve"> </w:t>
      </w:r>
      <w:r>
        <w:t xml:space="preserve">For each case, ask which mechanism best fits the rule, the environment, and the change in the relationship between them — and where the fit is cleanest versus more ambiguous.</w:t>
      </w:r>
    </w:p>
    <w:p>
      <w:pPr>
        <w:pStyle w:val="Compact"/>
        <w:numPr>
          <w:ilvl w:val="0"/>
          <w:numId w:val="1002"/>
        </w:numPr>
      </w:pPr>
      <w:r>
        <w:t xml:space="preserve">Drift. Rules unchanged, environment changes; outcomes diverge.</w:t>
      </w:r>
    </w:p>
    <w:p>
      <w:pPr>
        <w:pStyle w:val="Compact"/>
        <w:numPr>
          <w:ilvl w:val="0"/>
          <w:numId w:val="1002"/>
        </w:numPr>
      </w:pPr>
      <w:r>
        <w:t xml:space="preserve">Conversion. Rules unchanged in form, redirected to new purposes.</w:t>
      </w:r>
    </w:p>
    <w:p>
      <w:pPr>
        <w:pStyle w:val="Compact"/>
        <w:numPr>
          <w:ilvl w:val="0"/>
          <w:numId w:val="1002"/>
        </w:numPr>
      </w:pPr>
      <w:r>
        <w:t xml:space="preserve">Layering. New rules added on top of old without dismantling.</w:t>
      </w:r>
    </w:p>
    <w:p>
      <w:pPr>
        <w:pStyle w:val="Compact"/>
        <w:numPr>
          <w:ilvl w:val="0"/>
          <w:numId w:val="1002"/>
        </w:numPr>
      </w:pPr>
      <w:r>
        <w:t xml:space="preserve">Displacement. Old institutions actively replaced by new ones.</w:t>
      </w:r>
    </w:p>
    <w:p>
      <w:pPr>
        <w:pStyle w:val="Compact"/>
        <w:numPr>
          <w:ilvl w:val="0"/>
          <w:numId w:val="1002"/>
        </w:numPr>
      </w:pPr>
      <w:r>
        <w:t xml:space="preserve">Exhaustion. Institutions wither without intentional replacement.</w:t>
      </w:r>
    </w:p>
    <w:p>
      <w:pPr>
        <w:pStyle w:val="FirstParagraph"/>
      </w:pPr>
      <w:r>
        <w:rPr>
          <w:b/>
          <w:bCs/>
        </w:rPr>
        <w:t xml:space="preserve">Brussels-effect conditions (Bradford 2020).</w:t>
      </w:r>
      <w:r>
        <w:t xml:space="preserve"> </w:t>
      </w:r>
      <w:r>
        <w:t xml:space="preserve">For each of the five conditions, assess whether it is present, partially present, or absent in your case.</w:t>
      </w:r>
    </w:p>
    <w:p>
      <w:pPr>
        <w:pStyle w:val="Compact"/>
        <w:numPr>
          <w:ilvl w:val="0"/>
          <w:numId w:val="1003"/>
        </w:numPr>
      </w:pPr>
      <w:r>
        <w:t xml:space="preserve">Market size.</w:t>
      </w:r>
    </w:p>
    <w:p>
      <w:pPr>
        <w:pStyle w:val="Compact"/>
        <w:numPr>
          <w:ilvl w:val="0"/>
          <w:numId w:val="1003"/>
        </w:numPr>
      </w:pPr>
      <w:r>
        <w:t xml:space="preserve">Regulatory capacity.</w:t>
      </w:r>
    </w:p>
    <w:p>
      <w:pPr>
        <w:pStyle w:val="Compact"/>
        <w:numPr>
          <w:ilvl w:val="0"/>
          <w:numId w:val="1003"/>
        </w:numPr>
      </w:pPr>
      <w:r>
        <w:t xml:space="preserve">Stringent standards.</w:t>
      </w:r>
    </w:p>
    <w:p>
      <w:pPr>
        <w:pStyle w:val="Compact"/>
        <w:numPr>
          <w:ilvl w:val="0"/>
          <w:numId w:val="1003"/>
        </w:numPr>
      </w:pPr>
      <w:r>
        <w:t xml:space="preserve">Inelastic targets.</w:t>
      </w:r>
    </w:p>
    <w:p>
      <w:pPr>
        <w:pStyle w:val="Compact"/>
        <w:numPr>
          <w:ilvl w:val="0"/>
          <w:numId w:val="1003"/>
        </w:numPr>
      </w:pPr>
      <w:r>
        <w:t xml:space="preserve">Non-divisibility.</w:t>
      </w:r>
    </w:p>
    <w:p>
      <w:pPr>
        <w:pStyle w:val="FirstParagraph"/>
      </w:pPr>
      <w:r>
        <w:t xml:space="preserve">Diffusion can be de facto (firms voluntarily adjust practices) or de jure (other jurisdictions adopt similar rules); the Bendiek–Stürzer refinement holds that internal EU consensus and its multi-level decision-making structure shape how credible that diffusion signal is externally.</w:t>
      </w:r>
    </w:p>
    <w:p>
      <w:pPr>
        <w:pStyle w:val="BodyText"/>
      </w:pPr>
      <w:r>
        <w:rPr>
          <w:b/>
          <w:bCs/>
        </w:rPr>
        <w:t xml:space="preserve">Weaponized interdependence (Farrell and Newman 2019).</w:t>
      </w:r>
      <w:r>
        <w:t xml:space="preserve"> </w:t>
      </w:r>
      <w:r>
        <w:t xml:space="preserve">A counter-mechanism to the Brussels effect: states positioned at network choke-points (e.g., SWIFT, undersea cables, semiconductor supply chains, cloud infrastructure) can coerce compliance from network members directly, rather than relying on firms’ voluntary decisions.</w:t>
      </w:r>
    </w:p>
    <w:bookmarkEnd w:id="22"/>
    <w:bookmarkStart w:id="23" w:name="case-specifics-from-the-case-pack"/>
    <w:p>
      <w:pPr>
        <w:pStyle w:val="Heading3"/>
      </w:pPr>
      <w:r>
        <w:t xml:space="preserve">Case specifics (from the case pack)</w:t>
      </w:r>
    </w:p>
    <w:p>
      <w:pPr>
        <w:pStyle w:val="FirstParagraph"/>
      </w:pPr>
      <w:r>
        <w:t xml:space="preserve">The United States adopted a permissionless-innovation paradigm for digital governance through the 1990s and 2000s. Section 230 of the Communications Decency Act 1996 gave platforms immunity from liability for user content, which made the platform business model possible. Antitrust enforcement stayed light-touch through the rise of the dominant tech firms. Pressure on this paradigm has built since 2016, including new FTC enforcement activity under Lina Khan (2021–2025) and recurring legislative proposals to reform Section 230.</w:t>
      </w:r>
    </w:p>
    <w:p>
      <w:pPr>
        <w:pStyle w:val="BodyText"/>
      </w:pPr>
      <w:r>
        <w:rPr>
          <w:b/>
          <w:bCs/>
        </w:rPr>
        <w:t xml:space="preserve">Case: the agency’s data</w:t>
      </w:r>
    </w:p>
    <w:p>
      <w:pPr>
        <w:pStyle w:val="Compact"/>
        <w:numPr>
          <w:ilvl w:val="0"/>
          <w:numId w:val="1004"/>
        </w:numPr>
      </w:pPr>
      <w:r>
        <w:t xml:space="preserve">Foundational rules: Communications Decency Act 1996 Section 230; Telecommunications Act 1996; light-touch antitrust reflecting Chicago School influence (1980s–2010s).</w:t>
      </w:r>
    </w:p>
    <w:p>
      <w:pPr>
        <w:pStyle w:val="Compact"/>
        <w:numPr>
          <w:ilvl w:val="0"/>
          <w:numId w:val="1004"/>
        </w:numPr>
      </w:pPr>
      <w:r>
        <w:t xml:space="preserve">Architecture: TCP/IP open architecture; multi-stakeholder governance via ICANN and IETF; minimal federal regulation of internet content or platforms.</w:t>
      </w:r>
    </w:p>
    <w:p>
      <w:pPr>
        <w:pStyle w:val="Compact"/>
        <w:numPr>
          <w:ilvl w:val="0"/>
          <w:numId w:val="1004"/>
        </w:numPr>
      </w:pPr>
      <w:r>
        <w:t xml:space="preserve">Platform rise: Google, Facebook, Amazon, Apple, and Microsoft became dominant online platforms between 1996 and 2016; Section 230 itself has not been amended in that period.</w:t>
      </w:r>
    </w:p>
    <w:p>
      <w:pPr>
        <w:pStyle w:val="Compact"/>
        <w:numPr>
          <w:ilvl w:val="0"/>
          <w:numId w:val="1004"/>
        </w:numPr>
      </w:pPr>
      <w:r>
        <w:t xml:space="preserve">Recent enforcement: the FTC under Lina Khan (2021–2025) pursued antitrust action against Meta and Amazon, with mixed outcomes through the 2024–25 transitions.</w:t>
      </w:r>
    </w:p>
    <w:p>
      <w:pPr>
        <w:pStyle w:val="Compact"/>
        <w:numPr>
          <w:ilvl w:val="0"/>
          <w:numId w:val="1004"/>
        </w:numPr>
      </w:pPr>
      <w:r>
        <w:t xml:space="preserve">Legislative pressure: KOSA (Kids Online Safety Act) and similar proposals — bipartisan but contested.</w:t>
      </w:r>
    </w:p>
    <w:p>
      <w:pPr>
        <w:pStyle w:val="Compact"/>
        <w:numPr>
          <w:ilvl w:val="0"/>
          <w:numId w:val="1004"/>
        </w:numPr>
      </w:pPr>
      <w:r>
        <w:t xml:space="preserve">State-level rules: California’s CCPA/CPRA (2020/2023); Texas and Florida social-media laws contested in courts; New York and Illinois biometric and data laws, among others.</w:t>
      </w:r>
    </w:p>
    <w:p>
      <w:pPr>
        <w:pStyle w:val="Compact"/>
        <w:numPr>
          <w:ilvl w:val="0"/>
          <w:numId w:val="1004"/>
        </w:numPr>
      </w:pPr>
      <w:r>
        <w:t xml:space="preserve">Recent context: the post-2024 administration’s deregulatory orientation; revised AI Executive Orders; Section 230 pressure persists from both directions.</w:t>
      </w:r>
    </w:p>
    <w:bookmarkEnd w:id="23"/>
    <w:bookmarkStart w:id="24" w:name="discussion-questions-from-the-case-pack"/>
    <w:p>
      <w:pPr>
        <w:pStyle w:val="Heading3"/>
      </w:pPr>
      <w:r>
        <w:t xml:space="preserve">Discussion questions from the case pack</w:t>
      </w:r>
    </w:p>
    <w:p>
      <w:pPr>
        <w:pStyle w:val="Compact"/>
        <w:numPr>
          <w:ilvl w:val="0"/>
          <w:numId w:val="1005"/>
        </w:numPr>
      </w:pPr>
      <w:r>
        <w:t xml:space="preserve">Which institutional-change mechanism best characterises the USA case? What’s the rule, what’s the environment, and what’s changed in the relationship between them? Where is the fit cleanest, and where is it more ambiguous?</w:t>
      </w:r>
    </w:p>
    <w:p>
      <w:pPr>
        <w:pStyle w:val="Compact"/>
        <w:numPr>
          <w:ilvl w:val="0"/>
          <w:numId w:val="1005"/>
        </w:numPr>
      </w:pPr>
      <w:r>
        <w:t xml:space="preserve">How do the Brussels-effect conditions apply here, given that the USA is the source of its own model rather than a recipient of someone else’s?</w:t>
      </w:r>
    </w:p>
    <w:p>
      <w:pPr>
        <w:pStyle w:val="Compact"/>
        <w:numPr>
          <w:ilvl w:val="0"/>
          <w:numId w:val="1005"/>
        </w:numPr>
      </w:pPr>
      <w:r>
        <w:t xml:space="preserve">Compare to EU: same underlying technology, divergent paradigms. What conditions explain the divergence?</w:t>
      </w:r>
    </w:p>
    <w:p>
      <w:pPr>
        <w:pStyle w:val="Compact"/>
        <w:numPr>
          <w:ilvl w:val="0"/>
          <w:numId w:val="1005"/>
        </w:numPr>
      </w:pPr>
      <w:r>
        <w:t xml:space="preserve">AI reflection: the USA’s sectoral approach to AI (NIST RMF, Executive Orders) is the alternative to the EU AI Act. Which mechanism is most likely operative for AI governance in the USA? What does the Section 230 case suggest for how AI governance might evolve?</w:t>
      </w:r>
    </w:p>
    <w:p>
      <w:r>
        <w:br w:type="page"/>
      </w:r>
    </w:p>
    <w:bookmarkEnd w:id="24"/>
    <w:bookmarkEnd w:id="25"/>
    <w:bookmarkEnd w:id="26"/>
    <w:bookmarkStart w:id="33" w:name="X8d5042f8a12763fff57b2bff6cc8d8428f7d0db"/>
    <w:p>
      <w:pPr>
        <w:pStyle w:val="Heading1"/>
      </w:pPr>
      <w:r>
        <w:t xml:space="preserve">Mechanisms and Diffusion in Digital Governance — Worksheet</w:t>
      </w:r>
    </w:p>
    <w:bookmarkStart w:id="32" w:name="X2cc5a168f5222955c3869a34579dad0e0ba7c38"/>
    <w:p>
      <w:pPr>
        <w:pStyle w:val="Heading2"/>
      </w:pPr>
      <w:r>
        <w:t xml:space="preserve">EU precautionary regulation — Foundational paradigm divergence pair</w:t>
      </w:r>
    </w:p>
    <w:p>
      <w:pPr>
        <w:pStyle w:val="FirstParagraph"/>
      </w:pPr>
      <w:r>
        <w:rPr>
          <w:i/>
          <w:iCs/>
        </w:rPr>
        <w:t xml:space="preserve">IR227 Seminar 8 — Group worksheet</w:t>
      </w:r>
    </w:p>
    <w:bookmarkStart w:id="27" w:name="task-1"/>
    <w:p>
      <w:pPr>
        <w:pStyle w:val="Heading3"/>
      </w:pPr>
      <w:r>
        <w:t xml:space="preserve">Task</w:t>
      </w:r>
    </w:p>
    <w:p>
      <w:pPr>
        <w:pStyle w:val="FirstParagraph"/>
      </w:pPr>
      <w:r>
        <w:t xml:space="preserve">Take your assigned digital-governance case and identify which institutional-change mechanism — drift, conversion, layering, displacement, or exhaustion — best characterises its recent trajectory. Apply the five Brussels-effect conditions to assess whether and how the case’s regulatory model is diffusing.</w:t>
      </w:r>
    </w:p>
    <w:p>
      <w:pPr>
        <w:pStyle w:val="BodyText"/>
      </w:pPr>
      <w:r>
        <w:t xml:space="preserve">The analytical tools you will deploy are: Streeck and Thelen’s five-mechanism typology of gradual institutional change, and Bradford’s five-condition Brussels-effect framework for regulatory diffusion.</w:t>
      </w:r>
    </w:p>
    <w:bookmarkEnd w:id="27"/>
    <w:bookmarkStart w:id="28" w:name="requirements-1"/>
    <w:p>
      <w:pPr>
        <w:pStyle w:val="Heading3"/>
      </w:pPr>
      <w:r>
        <w:t xml:space="preserve">Requirements</w:t>
      </w:r>
    </w:p>
    <w:p>
      <w:pPr>
        <w:pStyle w:val="Compact"/>
        <w:numPr>
          <w:ilvl w:val="0"/>
          <w:numId w:val="1006"/>
        </w:numPr>
      </w:pPr>
      <w:r>
        <w:t xml:space="preserve">identify the institutional-change mechanism with evidence — the rule, the environment, and the change in the relationship between them,</w:t>
      </w:r>
    </w:p>
    <w:p>
      <w:pPr>
        <w:pStyle w:val="Compact"/>
        <w:numPr>
          <w:ilvl w:val="0"/>
          <w:numId w:val="1006"/>
        </w:numPr>
      </w:pPr>
      <w:r>
        <w:t xml:space="preserve">for each of the five Brussels-effect conditions, identify whether it is present, partially present, or absent, with evidence from the case,</w:t>
      </w:r>
    </w:p>
    <w:p>
      <w:pPr>
        <w:pStyle w:val="Compact"/>
        <w:numPr>
          <w:ilvl w:val="0"/>
          <w:numId w:val="1006"/>
        </w:numPr>
      </w:pPr>
      <w:r>
        <w:t xml:space="preserve">reach a diffusion verdict, and</w:t>
      </w:r>
    </w:p>
    <w:p>
      <w:pPr>
        <w:pStyle w:val="Compact"/>
        <w:numPr>
          <w:ilvl w:val="0"/>
          <w:numId w:val="1006"/>
        </w:numPr>
      </w:pPr>
      <w:r>
        <w:t xml:space="preserve">close with a brief reflection on what the case implies for the AI-governance challenge in Lecture 11.</w:t>
      </w:r>
    </w:p>
    <w:p>
      <w:pPr>
        <w:pStyle w:val="FirstParagraph"/>
      </w:pPr>
      <w:r>
        <w:t xml:space="preserve">Note: these cases are deliberately under-determined. There is no single correct verdict — you will be assessed on the strength of the reasoning chain (mechanism identification → conditions assessment → diffusion verdict → AI-governance reflection), not on which verdict you reach.</w:t>
      </w:r>
    </w:p>
    <w:bookmarkEnd w:id="28"/>
    <w:bookmarkStart w:id="29" w:name="tool-summary-1"/>
    <w:p>
      <w:pPr>
        <w:pStyle w:val="Heading3"/>
      </w:pPr>
      <w:r>
        <w:t xml:space="preserve">Tool summary</w:t>
      </w:r>
    </w:p>
    <w:p>
      <w:pPr>
        <w:pStyle w:val="FirstParagraph"/>
      </w:pPr>
      <w:r>
        <w:rPr>
          <w:b/>
          <w:bCs/>
        </w:rPr>
        <w:t xml:space="preserve">Institutional-change mechanisms (Streeck and Thelen 2005; Hacker 2015).</w:t>
      </w:r>
      <w:r>
        <w:t xml:space="preserve"> </w:t>
      </w:r>
      <w:r>
        <w:t xml:space="preserve">For each case, ask which mechanism best fits the rule, the environment, and the change in the relationship between them — and where the fit is cleanest versus more ambiguous.</w:t>
      </w:r>
    </w:p>
    <w:p>
      <w:pPr>
        <w:pStyle w:val="Compact"/>
        <w:numPr>
          <w:ilvl w:val="0"/>
          <w:numId w:val="1007"/>
        </w:numPr>
      </w:pPr>
      <w:r>
        <w:t xml:space="preserve">Drift. Rules unchanged, environment changes; outcomes diverge.</w:t>
      </w:r>
    </w:p>
    <w:p>
      <w:pPr>
        <w:pStyle w:val="Compact"/>
        <w:numPr>
          <w:ilvl w:val="0"/>
          <w:numId w:val="1007"/>
        </w:numPr>
      </w:pPr>
      <w:r>
        <w:t xml:space="preserve">Conversion. Rules unchanged in form, redirected to new purposes.</w:t>
      </w:r>
    </w:p>
    <w:p>
      <w:pPr>
        <w:pStyle w:val="Compact"/>
        <w:numPr>
          <w:ilvl w:val="0"/>
          <w:numId w:val="1007"/>
        </w:numPr>
      </w:pPr>
      <w:r>
        <w:t xml:space="preserve">Layering. New rules added on top of old without dismantling.</w:t>
      </w:r>
    </w:p>
    <w:p>
      <w:pPr>
        <w:pStyle w:val="Compact"/>
        <w:numPr>
          <w:ilvl w:val="0"/>
          <w:numId w:val="1007"/>
        </w:numPr>
      </w:pPr>
      <w:r>
        <w:t xml:space="preserve">Displacement. Old institutions actively replaced by new ones.</w:t>
      </w:r>
    </w:p>
    <w:p>
      <w:pPr>
        <w:pStyle w:val="Compact"/>
        <w:numPr>
          <w:ilvl w:val="0"/>
          <w:numId w:val="1007"/>
        </w:numPr>
      </w:pPr>
      <w:r>
        <w:t xml:space="preserve">Exhaustion. Institutions wither without intentional replacement.</w:t>
      </w:r>
    </w:p>
    <w:p>
      <w:pPr>
        <w:pStyle w:val="FirstParagraph"/>
      </w:pPr>
      <w:r>
        <w:rPr>
          <w:b/>
          <w:bCs/>
        </w:rPr>
        <w:t xml:space="preserve">Brussels-effect conditions (Bradford 2020).</w:t>
      </w:r>
      <w:r>
        <w:t xml:space="preserve"> </w:t>
      </w:r>
      <w:r>
        <w:t xml:space="preserve">For each of the five conditions, assess whether it is present, partially present, or absent in your case.</w:t>
      </w:r>
    </w:p>
    <w:p>
      <w:pPr>
        <w:pStyle w:val="Compact"/>
        <w:numPr>
          <w:ilvl w:val="0"/>
          <w:numId w:val="1008"/>
        </w:numPr>
      </w:pPr>
      <w:r>
        <w:t xml:space="preserve">Market size.</w:t>
      </w:r>
    </w:p>
    <w:p>
      <w:pPr>
        <w:pStyle w:val="Compact"/>
        <w:numPr>
          <w:ilvl w:val="0"/>
          <w:numId w:val="1008"/>
        </w:numPr>
      </w:pPr>
      <w:r>
        <w:t xml:space="preserve">Regulatory capacity.</w:t>
      </w:r>
    </w:p>
    <w:p>
      <w:pPr>
        <w:pStyle w:val="Compact"/>
        <w:numPr>
          <w:ilvl w:val="0"/>
          <w:numId w:val="1008"/>
        </w:numPr>
      </w:pPr>
      <w:r>
        <w:t xml:space="preserve">Stringent standards.</w:t>
      </w:r>
    </w:p>
    <w:p>
      <w:pPr>
        <w:pStyle w:val="Compact"/>
        <w:numPr>
          <w:ilvl w:val="0"/>
          <w:numId w:val="1008"/>
        </w:numPr>
      </w:pPr>
      <w:r>
        <w:t xml:space="preserve">Inelastic targets.</w:t>
      </w:r>
    </w:p>
    <w:p>
      <w:pPr>
        <w:pStyle w:val="Compact"/>
        <w:numPr>
          <w:ilvl w:val="0"/>
          <w:numId w:val="1008"/>
        </w:numPr>
      </w:pPr>
      <w:r>
        <w:t xml:space="preserve">Non-divisibility.</w:t>
      </w:r>
    </w:p>
    <w:p>
      <w:pPr>
        <w:pStyle w:val="FirstParagraph"/>
      </w:pPr>
      <w:r>
        <w:t xml:space="preserve">Diffusion can be de facto (firms voluntarily adjust practices) or de jure (other jurisdictions adopt similar rules); the Bendiek–Stürzer refinement holds that internal EU consensus and its multi-level decision-making structure shape how credible that diffusion signal is externally.</w:t>
      </w:r>
    </w:p>
    <w:p>
      <w:pPr>
        <w:pStyle w:val="BodyText"/>
      </w:pPr>
      <w:r>
        <w:rPr>
          <w:b/>
          <w:bCs/>
        </w:rPr>
        <w:t xml:space="preserve">Weaponized interdependence (Farrell and Newman 2019).</w:t>
      </w:r>
      <w:r>
        <w:t xml:space="preserve"> </w:t>
      </w:r>
      <w:r>
        <w:t xml:space="preserve">A counter-mechanism to the Brussels effect: states positioned at network choke-points (e.g., SWIFT, undersea cables, semiconductor supply chains, cloud infrastructure) can coerce compliance from network members directly, rather than relying on firms’ voluntary decisions.</w:t>
      </w:r>
    </w:p>
    <w:bookmarkEnd w:id="29"/>
    <w:bookmarkStart w:id="30" w:name="case-specifics-from-the-case-pack-1"/>
    <w:p>
      <w:pPr>
        <w:pStyle w:val="Heading3"/>
      </w:pPr>
      <w:r>
        <w:t xml:space="preserve">Case specifics (from the case pack)</w:t>
      </w:r>
    </w:p>
    <w:p>
      <w:pPr>
        <w:pStyle w:val="FirstParagraph"/>
      </w:pPr>
      <w:r>
        <w:t xml:space="preserve">The European Union has built out its digital-regulatory architecture in stages, from the Data Protection Directive (1995) through GDPR (2018), the Digital Services Act and Digital Markets Act (2022, fully active 2024), and the AI Act (2024). It is the most extensive digital-regulatory architecture in the world, and the reference case for this seminar’s Brussels-effect analysis.</w:t>
      </w:r>
    </w:p>
    <w:p>
      <w:pPr>
        <w:pStyle w:val="BodyText"/>
      </w:pPr>
      <w:r>
        <w:rPr>
          <w:b/>
          <w:bCs/>
        </w:rPr>
        <w:t xml:space="preserve">Case: the agency’s data</w:t>
      </w:r>
    </w:p>
    <w:p>
      <w:pPr>
        <w:pStyle w:val="Compact"/>
        <w:numPr>
          <w:ilvl w:val="0"/>
          <w:numId w:val="1009"/>
        </w:numPr>
      </w:pPr>
      <w:r>
        <w:t xml:space="preserve">Foundational rules: Data Protection Directive 95/46/EC (1995); ePrivacy Directive 2002; e-Commerce Directive 2000.</w:t>
      </w:r>
    </w:p>
    <w:p>
      <w:pPr>
        <w:pStyle w:val="Compact"/>
        <w:numPr>
          <w:ilvl w:val="0"/>
          <w:numId w:val="1009"/>
        </w:numPr>
      </w:pPr>
      <w:r>
        <w:t xml:space="preserve">GDPR (Regulation 2016/679, in force 2018): comprehensive data-protection regulation covering the right to erasure, portability, and consent, with heavy fines for non-compliance.</w:t>
      </w:r>
    </w:p>
    <w:p>
      <w:pPr>
        <w:pStyle w:val="Compact"/>
        <w:numPr>
          <w:ilvl w:val="0"/>
          <w:numId w:val="1009"/>
        </w:numPr>
      </w:pPr>
      <w:r>
        <w:t xml:space="preserve">DSA (Regulation 2022/2065, fully active 2024): online intermediary obligations, transparency requirements, illegal-content removal, and designation of very large online platforms.</w:t>
      </w:r>
    </w:p>
    <w:p>
      <w:pPr>
        <w:pStyle w:val="Compact"/>
        <w:numPr>
          <w:ilvl w:val="0"/>
          <w:numId w:val="1009"/>
        </w:numPr>
      </w:pPr>
      <w:r>
        <w:t xml:space="preserve">DMA (Regulation 2022/1925, in force 2024): gatekeeper-platform obligations including interoperability, a self-preferencing prohibition, and app-store rules. Initial gatekeeper designations: Alphabet, Amazon, Apple, ByteDance, Meta, Microsoft.</w:t>
      </w:r>
    </w:p>
    <w:p>
      <w:pPr>
        <w:pStyle w:val="Compact"/>
        <w:numPr>
          <w:ilvl w:val="0"/>
          <w:numId w:val="1009"/>
        </w:numPr>
      </w:pPr>
      <w:r>
        <w:t xml:space="preserve">AI Act (Regulation 2024/1689): risk-based regulation, with full implementation phased through 2026.</w:t>
      </w:r>
    </w:p>
    <w:p>
      <w:pPr>
        <w:pStyle w:val="Compact"/>
        <w:numPr>
          <w:ilvl w:val="0"/>
          <w:numId w:val="1009"/>
        </w:numPr>
      </w:pPr>
      <w:r>
        <w:t xml:space="preserve">Recent enforcement: GDPR fines on Meta (€1.2bn, 2023; €390m, 2023), TikTok (€345m, 2023), and Amazon (€746m, 2021); DMA designations and ongoing enforcement; CJEU rulings including Schrems II (2020, on EU–US data transfers) and recent rulings on adtech and platform liability.</w:t>
      </w:r>
    </w:p>
    <w:p>
      <w:pPr>
        <w:pStyle w:val="Compact"/>
        <w:numPr>
          <w:ilvl w:val="0"/>
          <w:numId w:val="1009"/>
        </w:numPr>
      </w:pPr>
      <w:r>
        <w:t xml:space="preserve">Adoption elsewhere: 100+ jurisdictions now have GDPR-style data-protection laws; the Council of Europe’s Convention 108+ has also seen further ratifications.</w:t>
      </w:r>
    </w:p>
    <w:p>
      <w:pPr>
        <w:pStyle w:val="Compact"/>
        <w:numPr>
          <w:ilvl w:val="0"/>
          <w:numId w:val="1009"/>
        </w:numPr>
      </w:pPr>
      <w:r>
        <w:t xml:space="preserve">Internal political dynamics: the post-2024 Commission has emphasised competitiveness alongside regulation; AI Act implementation is under pressure from member states and industry.</w:t>
      </w:r>
    </w:p>
    <w:bookmarkEnd w:id="30"/>
    <w:bookmarkStart w:id="31" w:name="X4cf3b874869529e6c61abdce607a1eefc2e0dc7"/>
    <w:p>
      <w:pPr>
        <w:pStyle w:val="Heading3"/>
      </w:pPr>
      <w:r>
        <w:t xml:space="preserve">Discussion questions from the case pack</w:t>
      </w:r>
    </w:p>
    <w:p>
      <w:pPr>
        <w:pStyle w:val="Compact"/>
        <w:numPr>
          <w:ilvl w:val="0"/>
          <w:numId w:val="1010"/>
        </w:numPr>
      </w:pPr>
      <w:r>
        <w:t xml:space="preserve">Which institutional-change mechanism best characterises the EU build-out, and where within it does the fit look cleanest?</w:t>
      </w:r>
    </w:p>
    <w:p>
      <w:pPr>
        <w:pStyle w:val="Compact"/>
        <w:numPr>
          <w:ilvl w:val="0"/>
          <w:numId w:val="1010"/>
        </w:numPr>
      </w:pPr>
      <w:r>
        <w:t xml:space="preserve">Apply the five Brussels-effect conditions: where does each one score?</w:t>
      </w:r>
    </w:p>
    <w:p>
      <w:pPr>
        <w:pStyle w:val="Compact"/>
        <w:numPr>
          <w:ilvl w:val="0"/>
          <w:numId w:val="1010"/>
        </w:numPr>
      </w:pPr>
      <w:r>
        <w:t xml:space="preserve">Compare to USA: same underlying technology, different regulatory paths. Why?</w:t>
      </w:r>
    </w:p>
    <w:p>
      <w:pPr>
        <w:pStyle w:val="Compact"/>
        <w:numPr>
          <w:ilvl w:val="0"/>
          <w:numId w:val="1010"/>
        </w:numPr>
      </w:pPr>
      <w:r>
        <w:t xml:space="preserve">Compare to the AI Act specifically: same source (EU), but potentially different diffusion conditions. Which conditions are stronger or weaker for AI than for GDPR?</w:t>
      </w:r>
    </w:p>
    <w:p>
      <w:pPr>
        <w:pStyle w:val="Compact"/>
        <w:numPr>
          <w:ilvl w:val="0"/>
          <w:numId w:val="1010"/>
        </w:numPr>
      </w:pPr>
      <w:r>
        <w:t xml:space="preserve">AI reflection: what does the EU’s GDPR–DSA–DMA–AI Act sequence suggest about the next layer of digital regulation to come?</w:t>
      </w:r>
    </w:p>
    <w:p>
      <w:r>
        <w:br w:type="page"/>
      </w:r>
    </w:p>
    <w:bookmarkEnd w:id="31"/>
    <w:bookmarkEnd w:id="32"/>
    <w:bookmarkEnd w:id="33"/>
    <w:bookmarkStart w:id="40" w:name="Xe0d3a377f0e21c240169416d4bbc9adcfdd8ac2"/>
    <w:p>
      <w:pPr>
        <w:pStyle w:val="Heading1"/>
      </w:pPr>
      <w:r>
        <w:t xml:space="preserve">Mechanisms and Diffusion in Digital Governance — Worksheet</w:t>
      </w:r>
    </w:p>
    <w:bookmarkStart w:id="39" w:name="X438596fae2017912bbda9cc867521698fbc7631"/>
    <w:p>
      <w:pPr>
        <w:pStyle w:val="Heading2"/>
      </w:pPr>
      <w:r>
        <w:t xml:space="preserve">China’s digital governance — State-led developmental pair</w:t>
      </w:r>
    </w:p>
    <w:p>
      <w:pPr>
        <w:pStyle w:val="FirstParagraph"/>
      </w:pPr>
      <w:r>
        <w:rPr>
          <w:i/>
          <w:iCs/>
        </w:rPr>
        <w:t xml:space="preserve">IR227 Seminar 8 — Group worksheet</w:t>
      </w:r>
    </w:p>
    <w:bookmarkStart w:id="34" w:name="task-2"/>
    <w:p>
      <w:pPr>
        <w:pStyle w:val="Heading3"/>
      </w:pPr>
      <w:r>
        <w:t xml:space="preserve">Task</w:t>
      </w:r>
    </w:p>
    <w:p>
      <w:pPr>
        <w:pStyle w:val="FirstParagraph"/>
      </w:pPr>
      <w:r>
        <w:t xml:space="preserve">Take your assigned digital-governance case and identify which institutional-change mechanism — drift, conversion, layering, displacement, or exhaustion — best characterises its recent trajectory. Apply the five Brussels-effect conditions to assess whether and how the case’s regulatory model is diffusing.</w:t>
      </w:r>
    </w:p>
    <w:p>
      <w:pPr>
        <w:pStyle w:val="BodyText"/>
      </w:pPr>
      <w:r>
        <w:t xml:space="preserve">The analytical tools you will deploy are: Streeck and Thelen’s five-mechanism typology of gradual institutional change, and Bradford’s five-condition Brussels-effect framework for regulatory diffusion.</w:t>
      </w:r>
    </w:p>
    <w:bookmarkEnd w:id="34"/>
    <w:bookmarkStart w:id="35" w:name="requirements-2"/>
    <w:p>
      <w:pPr>
        <w:pStyle w:val="Heading3"/>
      </w:pPr>
      <w:r>
        <w:t xml:space="preserve">Requirements</w:t>
      </w:r>
    </w:p>
    <w:p>
      <w:pPr>
        <w:pStyle w:val="Compact"/>
        <w:numPr>
          <w:ilvl w:val="0"/>
          <w:numId w:val="1011"/>
        </w:numPr>
      </w:pPr>
      <w:r>
        <w:t xml:space="preserve">identify the institutional-change mechanism with evidence — the rule, the environment, and the change in the relationship between them,</w:t>
      </w:r>
    </w:p>
    <w:p>
      <w:pPr>
        <w:pStyle w:val="Compact"/>
        <w:numPr>
          <w:ilvl w:val="0"/>
          <w:numId w:val="1011"/>
        </w:numPr>
      </w:pPr>
      <w:r>
        <w:t xml:space="preserve">for each of the five Brussels-effect conditions, identify whether it is present, partially present, or absent, with evidence from the case,</w:t>
      </w:r>
    </w:p>
    <w:p>
      <w:pPr>
        <w:pStyle w:val="Compact"/>
        <w:numPr>
          <w:ilvl w:val="0"/>
          <w:numId w:val="1011"/>
        </w:numPr>
      </w:pPr>
      <w:r>
        <w:t xml:space="preserve">reach a diffusion verdict, and</w:t>
      </w:r>
    </w:p>
    <w:p>
      <w:pPr>
        <w:pStyle w:val="Compact"/>
        <w:numPr>
          <w:ilvl w:val="0"/>
          <w:numId w:val="1011"/>
        </w:numPr>
      </w:pPr>
      <w:r>
        <w:t xml:space="preserve">close with a brief reflection on what the case implies for the AI-governance challenge in Lecture 11.</w:t>
      </w:r>
    </w:p>
    <w:p>
      <w:pPr>
        <w:pStyle w:val="FirstParagraph"/>
      </w:pPr>
      <w:r>
        <w:t xml:space="preserve">Note: these cases are deliberately under-determined. There is no single correct verdict — you will be assessed on the strength of the reasoning chain (mechanism identification → conditions assessment → diffusion verdict → AI-governance reflection), not on which verdict you reach.</w:t>
      </w:r>
    </w:p>
    <w:bookmarkEnd w:id="35"/>
    <w:bookmarkStart w:id="36" w:name="tool-summary-2"/>
    <w:p>
      <w:pPr>
        <w:pStyle w:val="Heading3"/>
      </w:pPr>
      <w:r>
        <w:t xml:space="preserve">Tool summary</w:t>
      </w:r>
    </w:p>
    <w:p>
      <w:pPr>
        <w:pStyle w:val="FirstParagraph"/>
      </w:pPr>
      <w:r>
        <w:rPr>
          <w:b/>
          <w:bCs/>
        </w:rPr>
        <w:t xml:space="preserve">Institutional-change mechanisms (Streeck and Thelen 2005; Hacker 2015).</w:t>
      </w:r>
      <w:r>
        <w:t xml:space="preserve"> </w:t>
      </w:r>
      <w:r>
        <w:t xml:space="preserve">For each case, ask which mechanism best fits the rule, the environment, and the change in the relationship between them — and where the fit is cleanest versus more ambiguous.</w:t>
      </w:r>
    </w:p>
    <w:p>
      <w:pPr>
        <w:pStyle w:val="Compact"/>
        <w:numPr>
          <w:ilvl w:val="0"/>
          <w:numId w:val="1012"/>
        </w:numPr>
      </w:pPr>
      <w:r>
        <w:t xml:space="preserve">Drift. Rules unchanged, environment changes; outcomes diverge.</w:t>
      </w:r>
    </w:p>
    <w:p>
      <w:pPr>
        <w:pStyle w:val="Compact"/>
        <w:numPr>
          <w:ilvl w:val="0"/>
          <w:numId w:val="1012"/>
        </w:numPr>
      </w:pPr>
      <w:r>
        <w:t xml:space="preserve">Conversion. Rules unchanged in form, redirected to new purposes.</w:t>
      </w:r>
    </w:p>
    <w:p>
      <w:pPr>
        <w:pStyle w:val="Compact"/>
        <w:numPr>
          <w:ilvl w:val="0"/>
          <w:numId w:val="1012"/>
        </w:numPr>
      </w:pPr>
      <w:r>
        <w:t xml:space="preserve">Layering. New rules added on top of old without dismantling.</w:t>
      </w:r>
    </w:p>
    <w:p>
      <w:pPr>
        <w:pStyle w:val="Compact"/>
        <w:numPr>
          <w:ilvl w:val="0"/>
          <w:numId w:val="1012"/>
        </w:numPr>
      </w:pPr>
      <w:r>
        <w:t xml:space="preserve">Displacement. Old institutions actively replaced by new ones.</w:t>
      </w:r>
    </w:p>
    <w:p>
      <w:pPr>
        <w:pStyle w:val="Compact"/>
        <w:numPr>
          <w:ilvl w:val="0"/>
          <w:numId w:val="1012"/>
        </w:numPr>
      </w:pPr>
      <w:r>
        <w:t xml:space="preserve">Exhaustion. Institutions wither without intentional replacement.</w:t>
      </w:r>
    </w:p>
    <w:p>
      <w:pPr>
        <w:pStyle w:val="FirstParagraph"/>
      </w:pPr>
      <w:r>
        <w:rPr>
          <w:b/>
          <w:bCs/>
        </w:rPr>
        <w:t xml:space="preserve">Brussels-effect conditions (Bradford 2020).</w:t>
      </w:r>
      <w:r>
        <w:t xml:space="preserve"> </w:t>
      </w:r>
      <w:r>
        <w:t xml:space="preserve">For each of the five conditions, assess whether it is present, partially present, or absent in your case.</w:t>
      </w:r>
    </w:p>
    <w:p>
      <w:pPr>
        <w:pStyle w:val="Compact"/>
        <w:numPr>
          <w:ilvl w:val="0"/>
          <w:numId w:val="1013"/>
        </w:numPr>
      </w:pPr>
      <w:r>
        <w:t xml:space="preserve">Market size.</w:t>
      </w:r>
    </w:p>
    <w:p>
      <w:pPr>
        <w:pStyle w:val="Compact"/>
        <w:numPr>
          <w:ilvl w:val="0"/>
          <w:numId w:val="1013"/>
        </w:numPr>
      </w:pPr>
      <w:r>
        <w:t xml:space="preserve">Regulatory capacity.</w:t>
      </w:r>
    </w:p>
    <w:p>
      <w:pPr>
        <w:pStyle w:val="Compact"/>
        <w:numPr>
          <w:ilvl w:val="0"/>
          <w:numId w:val="1013"/>
        </w:numPr>
      </w:pPr>
      <w:r>
        <w:t xml:space="preserve">Stringent standards.</w:t>
      </w:r>
    </w:p>
    <w:p>
      <w:pPr>
        <w:pStyle w:val="Compact"/>
        <w:numPr>
          <w:ilvl w:val="0"/>
          <w:numId w:val="1013"/>
        </w:numPr>
      </w:pPr>
      <w:r>
        <w:t xml:space="preserve">Inelastic targets.</w:t>
      </w:r>
    </w:p>
    <w:p>
      <w:pPr>
        <w:pStyle w:val="Compact"/>
        <w:numPr>
          <w:ilvl w:val="0"/>
          <w:numId w:val="1013"/>
        </w:numPr>
      </w:pPr>
      <w:r>
        <w:t xml:space="preserve">Non-divisibility.</w:t>
      </w:r>
    </w:p>
    <w:p>
      <w:pPr>
        <w:pStyle w:val="FirstParagraph"/>
      </w:pPr>
      <w:r>
        <w:t xml:space="preserve">Diffusion can be de facto (firms voluntarily adjust practices) or de jure (other jurisdictions adopt similar rules); the Bendiek–Stürzer refinement holds that internal EU consensus and its multi-level decision-making structure shape how credible that diffusion signal is externally.</w:t>
      </w:r>
    </w:p>
    <w:p>
      <w:pPr>
        <w:pStyle w:val="BodyText"/>
      </w:pPr>
      <w:r>
        <w:rPr>
          <w:b/>
          <w:bCs/>
        </w:rPr>
        <w:t xml:space="preserve">Weaponized interdependence (Farrell and Newman 2019).</w:t>
      </w:r>
      <w:r>
        <w:t xml:space="preserve"> </w:t>
      </w:r>
      <w:r>
        <w:t xml:space="preserve">A counter-mechanism to the Brussels effect: states positioned at network choke-points (e.g., SWIFT, undersea cables, semiconductor supply chains, cloud infrastructure) can coerce compliance from network members directly, rather than relying on firms’ voluntary decisions.</w:t>
      </w:r>
    </w:p>
    <w:bookmarkEnd w:id="36"/>
    <w:bookmarkStart w:id="37" w:name="case-specifics-from-the-case-pack-2"/>
    <w:p>
      <w:pPr>
        <w:pStyle w:val="Heading3"/>
      </w:pPr>
      <w:r>
        <w:t xml:space="preserve">Case specifics (from the case pack)</w:t>
      </w:r>
    </w:p>
    <w:p>
      <w:pPr>
        <w:pStyle w:val="FirstParagraph"/>
      </w:pPr>
      <w:r>
        <w:t xml:space="preserve">China has built a distinct digital-governance architecture grounded in cyber-sovereignty principles and state direction of platforms. The Cybersecurity Law (2017), Data Security Law (2021), and Personal Information Protection Law (2021) form a framework that is structurally distinct from the EU or US frameworks. The Belt and Road digital-infrastructure footprint exports Chinese-standard hardware and platform integration to partner countries.</w:t>
      </w:r>
    </w:p>
    <w:p>
      <w:pPr>
        <w:pStyle w:val="BodyText"/>
      </w:pPr>
      <w:r>
        <w:rPr>
          <w:b/>
          <w:bCs/>
        </w:rPr>
        <w:t xml:space="preserve">Case: the agency’s data</w:t>
      </w:r>
    </w:p>
    <w:p>
      <w:pPr>
        <w:pStyle w:val="Compact"/>
        <w:numPr>
          <w:ilvl w:val="0"/>
          <w:numId w:val="1014"/>
        </w:numPr>
      </w:pPr>
      <w:r>
        <w:t xml:space="preserve">Foundational principles: Xi’s 2014 Wuzhen</w:t>
      </w:r>
      <w:r>
        <w:t xml:space="preserve"> </w:t>
      </w:r>
      <w:r>
        <w:t xml:space="preserve">“</w:t>
      </w:r>
      <w:r>
        <w:t xml:space="preserve">cyber sovereignty</w:t>
      </w:r>
      <w:r>
        <w:t xml:space="preserve">”</w:t>
      </w:r>
      <w:r>
        <w:t xml:space="preserve"> </w:t>
      </w:r>
      <w:r>
        <w:t xml:space="preserve">speech; State Council direction of internet content and platform governance.</w:t>
      </w:r>
    </w:p>
    <w:p>
      <w:pPr>
        <w:pStyle w:val="Compact"/>
        <w:numPr>
          <w:ilvl w:val="0"/>
          <w:numId w:val="1014"/>
        </w:numPr>
      </w:pPr>
      <w:r>
        <w:t xml:space="preserve">Cybersecurity Law (2017): network-operator obligations and data-localisation requirements for critical information infrastructure operators.</w:t>
      </w:r>
    </w:p>
    <w:p>
      <w:pPr>
        <w:pStyle w:val="Compact"/>
        <w:numPr>
          <w:ilvl w:val="0"/>
          <w:numId w:val="1014"/>
        </w:numPr>
      </w:pPr>
      <w:r>
        <w:t xml:space="preserve">Data Security Law (2021): a national data-classification system, cross-border data-transfer review, and treatment of data security as national security.</w:t>
      </w:r>
    </w:p>
    <w:p>
      <w:pPr>
        <w:pStyle w:val="Compact"/>
        <w:numPr>
          <w:ilvl w:val="0"/>
          <w:numId w:val="1014"/>
        </w:numPr>
      </w:pPr>
      <w:r>
        <w:t xml:space="preserve">Personal Information Protection Law (2021): personal-data protection broadly resembling GDPR but with significant differences in state-access provisions.</w:t>
      </w:r>
    </w:p>
    <w:p>
      <w:pPr>
        <w:pStyle w:val="Compact"/>
        <w:numPr>
          <w:ilvl w:val="0"/>
          <w:numId w:val="1014"/>
        </w:numPr>
      </w:pPr>
      <w:r>
        <w:t xml:space="preserve">Cross-border data transfer: CAC standard contracts (2023); security-assessment requirements; gradual liberalisation in pilot zones (e.g., Shanghai, 2024).</w:t>
      </w:r>
    </w:p>
    <w:p>
      <w:pPr>
        <w:pStyle w:val="Compact"/>
        <w:numPr>
          <w:ilvl w:val="0"/>
          <w:numId w:val="1014"/>
        </w:numPr>
      </w:pPr>
      <w:r>
        <w:t xml:space="preserve">Platform regulation: the Alibaba antitrust action (2021, ~$2.8bn fine); broader anti-monopoly enforcement on Tencent and others; suspension of the Ant Group IPO (2020).</w:t>
      </w:r>
    </w:p>
    <w:p>
      <w:pPr>
        <w:pStyle w:val="Compact"/>
        <w:numPr>
          <w:ilvl w:val="0"/>
          <w:numId w:val="1014"/>
        </w:numPr>
      </w:pPr>
      <w:r>
        <w:t xml:space="preserve">Belt and Road digital footprint: Huawei and ZTE infrastructure exports to dozens of jurisdictions; cloud and platform partnerships across Asia, Africa, and Latin America.</w:t>
      </w:r>
    </w:p>
    <w:p>
      <w:pPr>
        <w:pStyle w:val="Compact"/>
        <w:numPr>
          <w:ilvl w:val="0"/>
          <w:numId w:val="1014"/>
        </w:numPr>
      </w:pPr>
      <w:r>
        <w:t xml:space="preserve">Comparable data-localisation laws elsewhere: Russia (2014, expanded 2024); Iran; several Central Asian states; partial measures in Vietnam and Indonesia.</w:t>
      </w:r>
    </w:p>
    <w:p>
      <w:pPr>
        <w:pStyle w:val="Compact"/>
        <w:numPr>
          <w:ilvl w:val="0"/>
          <w:numId w:val="1014"/>
        </w:numPr>
      </w:pPr>
      <w:r>
        <w:t xml:space="preserve">AI governance: Provisions on Generative AI Services (2023); AI Safety Governance Framework (2024).</w:t>
      </w:r>
    </w:p>
    <w:bookmarkEnd w:id="37"/>
    <w:bookmarkStart w:id="38" w:name="Xabfd89b0020d7dd201e80d11d06c98b246a20ef"/>
    <w:p>
      <w:pPr>
        <w:pStyle w:val="Heading3"/>
      </w:pPr>
      <w:r>
        <w:t xml:space="preserve">Discussion questions from the case pack</w:t>
      </w:r>
    </w:p>
    <w:p>
      <w:pPr>
        <w:pStyle w:val="Compact"/>
        <w:numPr>
          <w:ilvl w:val="0"/>
          <w:numId w:val="1015"/>
        </w:numPr>
      </w:pPr>
      <w:r>
        <w:t xml:space="preserve">Which institutional-change mechanism (or mechanisms) characterises China’s digital build-out, and where does the fit look cleanest?</w:t>
      </w:r>
    </w:p>
    <w:p>
      <w:pPr>
        <w:pStyle w:val="Compact"/>
        <w:numPr>
          <w:ilvl w:val="0"/>
          <w:numId w:val="1015"/>
        </w:numPr>
      </w:pPr>
      <w:r>
        <w:t xml:space="preserve">Apply the five Brussels-effect (or</w:t>
      </w:r>
      <w:r>
        <w:t xml:space="preserve"> </w:t>
      </w:r>
      <w:r>
        <w:t xml:space="preserve">“</w:t>
      </w:r>
      <w:r>
        <w:t xml:space="preserve">Beijing-effect</w:t>
      </w:r>
      <w:r>
        <w:t xml:space="preserve">”</w:t>
      </w:r>
      <w:r>
        <w:t xml:space="preserve">) conditions: where does each one score?</w:t>
      </w:r>
    </w:p>
    <w:p>
      <w:pPr>
        <w:pStyle w:val="Compact"/>
        <w:numPr>
          <w:ilvl w:val="0"/>
          <w:numId w:val="1015"/>
        </w:numPr>
      </w:pPr>
      <w:r>
        <w:t xml:space="preserve">Compare to India’s Aadhaar: both are state-led, but with different focal goals. What conditions explain the divergence?</w:t>
      </w:r>
    </w:p>
    <w:p>
      <w:pPr>
        <w:pStyle w:val="Compact"/>
        <w:numPr>
          <w:ilvl w:val="0"/>
          <w:numId w:val="1015"/>
        </w:numPr>
      </w:pPr>
      <w:r>
        <w:t xml:space="preserve">AI reflection: China’s AI governance is state-directed. What conditions affect how it diffuses globally? Where might it diffuse most easily, and where least?</w:t>
      </w:r>
    </w:p>
    <w:p>
      <w:r>
        <w:br w:type="page"/>
      </w:r>
    </w:p>
    <w:bookmarkEnd w:id="38"/>
    <w:bookmarkEnd w:id="39"/>
    <w:bookmarkEnd w:id="40"/>
    <w:bookmarkStart w:id="47" w:name="X4e83f6ad76c66d41bd10f8197c0c1d1e5f484de"/>
    <w:p>
      <w:pPr>
        <w:pStyle w:val="Heading1"/>
      </w:pPr>
      <w:r>
        <w:t xml:space="preserve">Mechanisms and Diffusion in Digital Governance — Worksheet</w:t>
      </w:r>
    </w:p>
    <w:bookmarkStart w:id="46" w:name="X54ff5c844c7da054074367b622aa07f6e7f5061"/>
    <w:p>
      <w:pPr>
        <w:pStyle w:val="Heading2"/>
      </w:pPr>
      <w:r>
        <w:t xml:space="preserve">India’s Aadhaar — State-led developmental pair</w:t>
      </w:r>
    </w:p>
    <w:p>
      <w:pPr>
        <w:pStyle w:val="FirstParagraph"/>
      </w:pPr>
      <w:r>
        <w:rPr>
          <w:i/>
          <w:iCs/>
        </w:rPr>
        <w:t xml:space="preserve">IR227 Seminar 8 — Group worksheet</w:t>
      </w:r>
    </w:p>
    <w:bookmarkStart w:id="41" w:name="task-3"/>
    <w:p>
      <w:pPr>
        <w:pStyle w:val="Heading3"/>
      </w:pPr>
      <w:r>
        <w:t xml:space="preserve">Task</w:t>
      </w:r>
    </w:p>
    <w:p>
      <w:pPr>
        <w:pStyle w:val="FirstParagraph"/>
      </w:pPr>
      <w:r>
        <w:t xml:space="preserve">Take your assigned digital-governance case and identify which institutional-change mechanism — drift, conversion, layering, displacement, or exhaustion — best characterises its recent trajectory. Apply the five Brussels-effect conditions to assess whether and how the case’s regulatory model is diffusing.</w:t>
      </w:r>
    </w:p>
    <w:p>
      <w:pPr>
        <w:pStyle w:val="BodyText"/>
      </w:pPr>
      <w:r>
        <w:t xml:space="preserve">The analytical tools you will deploy are: Streeck and Thelen’s five-mechanism typology of gradual institutional change, and Bradford’s five-condition Brussels-effect framework for regulatory diffusion.</w:t>
      </w:r>
    </w:p>
    <w:bookmarkEnd w:id="41"/>
    <w:bookmarkStart w:id="42" w:name="requirements-3"/>
    <w:p>
      <w:pPr>
        <w:pStyle w:val="Heading3"/>
      </w:pPr>
      <w:r>
        <w:t xml:space="preserve">Requirements</w:t>
      </w:r>
    </w:p>
    <w:p>
      <w:pPr>
        <w:pStyle w:val="Compact"/>
        <w:numPr>
          <w:ilvl w:val="0"/>
          <w:numId w:val="1016"/>
        </w:numPr>
      </w:pPr>
      <w:r>
        <w:t xml:space="preserve">identify the institutional-change mechanism with evidence — the rule, the environment, and the change in the relationship between them,</w:t>
      </w:r>
    </w:p>
    <w:p>
      <w:pPr>
        <w:pStyle w:val="Compact"/>
        <w:numPr>
          <w:ilvl w:val="0"/>
          <w:numId w:val="1016"/>
        </w:numPr>
      </w:pPr>
      <w:r>
        <w:t xml:space="preserve">for each of the five Brussels-effect conditions, identify whether it is present, partially present, or absent, with evidence from the case,</w:t>
      </w:r>
    </w:p>
    <w:p>
      <w:pPr>
        <w:pStyle w:val="Compact"/>
        <w:numPr>
          <w:ilvl w:val="0"/>
          <w:numId w:val="1016"/>
        </w:numPr>
      </w:pPr>
      <w:r>
        <w:t xml:space="preserve">reach a diffusion verdict, and</w:t>
      </w:r>
    </w:p>
    <w:p>
      <w:pPr>
        <w:pStyle w:val="Compact"/>
        <w:numPr>
          <w:ilvl w:val="0"/>
          <w:numId w:val="1016"/>
        </w:numPr>
      </w:pPr>
      <w:r>
        <w:t xml:space="preserve">close with a brief reflection on what the case implies for the AI-governance challenge in Lecture 11.</w:t>
      </w:r>
    </w:p>
    <w:p>
      <w:pPr>
        <w:pStyle w:val="FirstParagraph"/>
      </w:pPr>
      <w:r>
        <w:t xml:space="preserve">Note: these cases are deliberately under-determined. There is no single correct verdict — you will be assessed on the strength of the reasoning chain (mechanism identification → conditions assessment → diffusion verdict → AI-governance reflection), not on which verdict you reach.</w:t>
      </w:r>
    </w:p>
    <w:bookmarkEnd w:id="42"/>
    <w:bookmarkStart w:id="43" w:name="tool-summary-3"/>
    <w:p>
      <w:pPr>
        <w:pStyle w:val="Heading3"/>
      </w:pPr>
      <w:r>
        <w:t xml:space="preserve">Tool summary</w:t>
      </w:r>
    </w:p>
    <w:p>
      <w:pPr>
        <w:pStyle w:val="FirstParagraph"/>
      </w:pPr>
      <w:r>
        <w:rPr>
          <w:b/>
          <w:bCs/>
        </w:rPr>
        <w:t xml:space="preserve">Institutional-change mechanisms (Streeck and Thelen 2005; Hacker 2015).</w:t>
      </w:r>
      <w:r>
        <w:t xml:space="preserve"> </w:t>
      </w:r>
      <w:r>
        <w:t xml:space="preserve">For each case, ask which mechanism best fits the rule, the environment, and the change in the relationship between them — and where the fit is cleanest versus more ambiguous.</w:t>
      </w:r>
    </w:p>
    <w:p>
      <w:pPr>
        <w:pStyle w:val="Compact"/>
        <w:numPr>
          <w:ilvl w:val="0"/>
          <w:numId w:val="1017"/>
        </w:numPr>
      </w:pPr>
      <w:r>
        <w:t xml:space="preserve">Drift. Rules unchanged, environment changes; outcomes diverge.</w:t>
      </w:r>
    </w:p>
    <w:p>
      <w:pPr>
        <w:pStyle w:val="Compact"/>
        <w:numPr>
          <w:ilvl w:val="0"/>
          <w:numId w:val="1017"/>
        </w:numPr>
      </w:pPr>
      <w:r>
        <w:t xml:space="preserve">Conversion. Rules unchanged in form, redirected to new purposes.</w:t>
      </w:r>
    </w:p>
    <w:p>
      <w:pPr>
        <w:pStyle w:val="Compact"/>
        <w:numPr>
          <w:ilvl w:val="0"/>
          <w:numId w:val="1017"/>
        </w:numPr>
      </w:pPr>
      <w:r>
        <w:t xml:space="preserve">Layering. New rules added on top of old without dismantling.</w:t>
      </w:r>
    </w:p>
    <w:p>
      <w:pPr>
        <w:pStyle w:val="Compact"/>
        <w:numPr>
          <w:ilvl w:val="0"/>
          <w:numId w:val="1017"/>
        </w:numPr>
      </w:pPr>
      <w:r>
        <w:t xml:space="preserve">Displacement. Old institutions actively replaced by new ones.</w:t>
      </w:r>
    </w:p>
    <w:p>
      <w:pPr>
        <w:pStyle w:val="Compact"/>
        <w:numPr>
          <w:ilvl w:val="0"/>
          <w:numId w:val="1017"/>
        </w:numPr>
      </w:pPr>
      <w:r>
        <w:t xml:space="preserve">Exhaustion. Institutions wither without intentional replacement.</w:t>
      </w:r>
    </w:p>
    <w:p>
      <w:pPr>
        <w:pStyle w:val="FirstParagraph"/>
      </w:pPr>
      <w:r>
        <w:rPr>
          <w:b/>
          <w:bCs/>
        </w:rPr>
        <w:t xml:space="preserve">Brussels-effect conditions (Bradford 2020).</w:t>
      </w:r>
      <w:r>
        <w:t xml:space="preserve"> </w:t>
      </w:r>
      <w:r>
        <w:t xml:space="preserve">For each of the five conditions, assess whether it is present, partially present, or absent in your case.</w:t>
      </w:r>
    </w:p>
    <w:p>
      <w:pPr>
        <w:pStyle w:val="Compact"/>
        <w:numPr>
          <w:ilvl w:val="0"/>
          <w:numId w:val="1018"/>
        </w:numPr>
      </w:pPr>
      <w:r>
        <w:t xml:space="preserve">Market size.</w:t>
      </w:r>
    </w:p>
    <w:p>
      <w:pPr>
        <w:pStyle w:val="Compact"/>
        <w:numPr>
          <w:ilvl w:val="0"/>
          <w:numId w:val="1018"/>
        </w:numPr>
      </w:pPr>
      <w:r>
        <w:t xml:space="preserve">Regulatory capacity.</w:t>
      </w:r>
    </w:p>
    <w:p>
      <w:pPr>
        <w:pStyle w:val="Compact"/>
        <w:numPr>
          <w:ilvl w:val="0"/>
          <w:numId w:val="1018"/>
        </w:numPr>
      </w:pPr>
      <w:r>
        <w:t xml:space="preserve">Stringent standards.</w:t>
      </w:r>
    </w:p>
    <w:p>
      <w:pPr>
        <w:pStyle w:val="Compact"/>
        <w:numPr>
          <w:ilvl w:val="0"/>
          <w:numId w:val="1018"/>
        </w:numPr>
      </w:pPr>
      <w:r>
        <w:t xml:space="preserve">Inelastic targets.</w:t>
      </w:r>
    </w:p>
    <w:p>
      <w:pPr>
        <w:pStyle w:val="Compact"/>
        <w:numPr>
          <w:ilvl w:val="0"/>
          <w:numId w:val="1018"/>
        </w:numPr>
      </w:pPr>
      <w:r>
        <w:t xml:space="preserve">Non-divisibility.</w:t>
      </w:r>
    </w:p>
    <w:p>
      <w:pPr>
        <w:pStyle w:val="FirstParagraph"/>
      </w:pPr>
      <w:r>
        <w:t xml:space="preserve">Diffusion can be de facto (firms voluntarily adjust practices) or de jure (other jurisdictions adopt similar rules); the Bendiek–Stürzer refinement holds that internal EU consensus and its multi-level decision-making structure shape how credible that diffusion signal is externally.</w:t>
      </w:r>
    </w:p>
    <w:p>
      <w:pPr>
        <w:pStyle w:val="BodyText"/>
      </w:pPr>
      <w:r>
        <w:rPr>
          <w:b/>
          <w:bCs/>
        </w:rPr>
        <w:t xml:space="preserve">Weaponized interdependence (Farrell and Newman 2019).</w:t>
      </w:r>
      <w:r>
        <w:t xml:space="preserve"> </w:t>
      </w:r>
      <w:r>
        <w:t xml:space="preserve">A counter-mechanism to the Brussels effect: states positioned at network choke-points (e.g., SWIFT, undersea cables, semiconductor supply chains, cloud infrastructure) can coerce compliance from network members directly, rather than relying on firms’ voluntary decisions.</w:t>
      </w:r>
    </w:p>
    <w:bookmarkEnd w:id="43"/>
    <w:bookmarkStart w:id="44" w:name="case-specifics-from-the-case-pack-3"/>
    <w:p>
      <w:pPr>
        <w:pStyle w:val="Heading3"/>
      </w:pPr>
      <w:r>
        <w:t xml:space="preserve">Case specifics (from the case pack)</w:t>
      </w:r>
    </w:p>
    <w:p>
      <w:pPr>
        <w:pStyle w:val="FirstParagraph"/>
      </w:pPr>
      <w:r>
        <w:t xml:space="preserve">Aadhaar is the world’s largest digital identity platform, with roughly 1.4 billion enrolees and biometric authentication for state-service delivery. It was established administratively in 2009 (UIDAI), put on a statutory footing in 2016 (the Aadhaar Act), and upheld with restrictions by the Supreme Court of India in 2018. Aadhaar is integrated into welfare delivery — the Public Distribution System, MGNREGA, and subsidy disbursement — and increasingly into private-sector know-your-customer requirements.</w:t>
      </w:r>
    </w:p>
    <w:p>
      <w:pPr>
        <w:pStyle w:val="BodyText"/>
      </w:pPr>
      <w:r>
        <w:rPr>
          <w:b/>
          <w:bCs/>
        </w:rPr>
        <w:t xml:space="preserve">Case: the agency’s data</w:t>
      </w:r>
    </w:p>
    <w:p>
      <w:pPr>
        <w:pStyle w:val="Compact"/>
        <w:numPr>
          <w:ilvl w:val="0"/>
          <w:numId w:val="1019"/>
        </w:numPr>
      </w:pPr>
      <w:r>
        <w:t xml:space="preserve">Architecture: a 12-digit unique identifier; biometric (fingerprint, iris) and demographic enrolment; a centralised authentication service; roughly 1.4bn enrolees.</w:t>
      </w:r>
    </w:p>
    <w:p>
      <w:pPr>
        <w:pStyle w:val="Compact"/>
        <w:numPr>
          <w:ilvl w:val="0"/>
          <w:numId w:val="1019"/>
        </w:numPr>
      </w:pPr>
      <w:r>
        <w:t xml:space="preserve">Foundational legislation: UIDAI established as an administrative body in 2009; the Aadhaar Act 2016 provides its statutory basis, with subsequent amendments.</w:t>
      </w:r>
    </w:p>
    <w:p>
      <w:pPr>
        <w:pStyle w:val="Compact"/>
        <w:numPr>
          <w:ilvl w:val="0"/>
          <w:numId w:val="1019"/>
        </w:numPr>
      </w:pPr>
      <w:r>
        <w:t xml:space="preserve">Supreme Court 2018 (Puttaswamy II): Aadhaar held constitutional but with restrictions — it cannot be made mandatory for non-state-subsidy services — and the right to privacy was recognised.</w:t>
      </w:r>
    </w:p>
    <w:p>
      <w:pPr>
        <w:pStyle w:val="Compact"/>
        <w:numPr>
          <w:ilvl w:val="0"/>
          <w:numId w:val="1019"/>
        </w:numPr>
      </w:pPr>
      <w:r>
        <w:t xml:space="preserve">Welfare integration: the Public Distribution System (subsidised food grains); MGNREGA (the rural employment guarantee); LPG subsidy direct transfer; scholarships; pension delivery.</w:t>
      </w:r>
    </w:p>
    <w:p>
      <w:pPr>
        <w:pStyle w:val="Compact"/>
        <w:numPr>
          <w:ilvl w:val="0"/>
          <w:numId w:val="1019"/>
        </w:numPr>
      </w:pPr>
      <w:r>
        <w:t xml:space="preserve">Empirical findings on welfare delivery: Masiero and Arvidsson document what they call</w:t>
      </w:r>
      <w:r>
        <w:t xml:space="preserve"> </w:t>
      </w:r>
      <w:r>
        <w:t xml:space="preserve">“</w:t>
      </w:r>
      <w:r>
        <w:t xml:space="preserve">degenerative outcomes</w:t>
      </w:r>
      <w:r>
        <w:t xml:space="preserve">”</w:t>
      </w:r>
      <w:r>
        <w:t xml:space="preserve"> </w:t>
      </w:r>
      <w:r>
        <w:t xml:space="preserve">in two South Indian states across three layers — exclusion from access (authentication failure denying entitlement), distortion of monitoring (back-end record-keeping reshaped by the biometric layer), and redirection of policy (the PDS being made displaceable by cash transfers).</w:t>
      </w:r>
    </w:p>
    <w:p>
      <w:pPr>
        <w:pStyle w:val="Compact"/>
        <w:numPr>
          <w:ilvl w:val="0"/>
          <w:numId w:val="1019"/>
        </w:numPr>
      </w:pPr>
      <w:r>
        <w:t xml:space="preserve">DPDP Act 2023 (Digital Personal Data Protection Act): a data-protection statute covering data collected through Aadhaar and other digital-identity systems.</w:t>
      </w:r>
    </w:p>
    <w:p>
      <w:pPr>
        <w:pStyle w:val="Compact"/>
        <w:numPr>
          <w:ilvl w:val="0"/>
          <w:numId w:val="1019"/>
        </w:numPr>
      </w:pPr>
      <w:r>
        <w:t xml:space="preserve">Adoption elsewhere: some African digital-ID programmes have drawn on Aadhaar’s architecture; Estonia’s system predates Aadhaar but converges in design; various international development organisations have advocated Aadhaar-like systems.</w:t>
      </w:r>
    </w:p>
    <w:p>
      <w:pPr>
        <w:pStyle w:val="Compact"/>
        <w:numPr>
          <w:ilvl w:val="0"/>
          <w:numId w:val="1019"/>
        </w:numPr>
      </w:pPr>
      <w:r>
        <w:t xml:space="preserve">Recent context: continued integration with private-sector services post-2018, subject to the Supreme Court’s restrictions; ongoing concerns about exclusion among migrant workers, transgender persons, and manual labourers with worn fingerprints.</w:t>
      </w:r>
    </w:p>
    <w:bookmarkEnd w:id="44"/>
    <w:bookmarkStart w:id="45" w:name="X3132ccfbd4a825aee823f86eb155173dcf9a708"/>
    <w:p>
      <w:pPr>
        <w:pStyle w:val="Heading3"/>
      </w:pPr>
      <w:r>
        <w:t xml:space="preserve">Discussion questions from the case pack</w:t>
      </w:r>
    </w:p>
    <w:p>
      <w:pPr>
        <w:pStyle w:val="Compact"/>
        <w:numPr>
          <w:ilvl w:val="0"/>
          <w:numId w:val="1020"/>
        </w:numPr>
      </w:pPr>
      <w:r>
        <w:t xml:space="preserve">Which institutional-change mechanism characterises Aadhaar’s integration into welfare delivery? Where does that mechanism operate most visibly?</w:t>
      </w:r>
    </w:p>
    <w:p>
      <w:pPr>
        <w:pStyle w:val="Compact"/>
        <w:numPr>
          <w:ilvl w:val="0"/>
          <w:numId w:val="1020"/>
        </w:numPr>
      </w:pPr>
      <w:r>
        <w:t xml:space="preserve">Apply the five Brussels-effect conditions to Aadhaar’s potential diffusion. How does its picture compare with GDPR’s, and what explains any difference?</w:t>
      </w:r>
    </w:p>
    <w:p>
      <w:pPr>
        <w:pStyle w:val="Compact"/>
        <w:numPr>
          <w:ilvl w:val="0"/>
          <w:numId w:val="1020"/>
        </w:numPr>
      </w:pPr>
      <w:r>
        <w:t xml:space="preserve">Compare to China: both are state-led, but with different focal goals. What explains the divergence?</w:t>
      </w:r>
    </w:p>
    <w:p>
      <w:pPr>
        <w:pStyle w:val="Compact"/>
        <w:numPr>
          <w:ilvl w:val="0"/>
          <w:numId w:val="1020"/>
        </w:numPr>
      </w:pPr>
      <w:r>
        <w:t xml:space="preserve">AI reflection: Masiero and Arvidsson’s degenerative-outcomes finding has direct implications for AI governance. What does it suggest about integrating AI systems into welfare delivery?</w:t>
      </w:r>
    </w:p>
    <w:p>
      <w:r>
        <w:br w:type="page"/>
      </w:r>
    </w:p>
    <w:bookmarkEnd w:id="45"/>
    <w:bookmarkEnd w:id="46"/>
    <w:bookmarkEnd w:id="47"/>
    <w:bookmarkStart w:id="54" w:name="Xabcad73cbc23c5f0fbb73a4aed3b60a62c480c8"/>
    <w:p>
      <w:pPr>
        <w:pStyle w:val="Heading1"/>
      </w:pPr>
      <w:r>
        <w:t xml:space="preserve">Mechanisms and Diffusion in Digital Governance — Worksheet</w:t>
      </w:r>
    </w:p>
    <w:bookmarkStart w:id="53" w:name="Xefcdebc7d77ab6e6fba8cbc0151532618aa7284"/>
    <w:p>
      <w:pPr>
        <w:pStyle w:val="Heading2"/>
      </w:pPr>
      <w:r>
        <w:t xml:space="preserve">GDPR diffusion (2018–present) — Regulatory diffusion outcomes pair</w:t>
      </w:r>
    </w:p>
    <w:p>
      <w:pPr>
        <w:pStyle w:val="FirstParagraph"/>
      </w:pPr>
      <w:r>
        <w:rPr>
          <w:i/>
          <w:iCs/>
        </w:rPr>
        <w:t xml:space="preserve">IR227 Seminar 8 — Group worksheet</w:t>
      </w:r>
    </w:p>
    <w:bookmarkStart w:id="48" w:name="task-4"/>
    <w:p>
      <w:pPr>
        <w:pStyle w:val="Heading3"/>
      </w:pPr>
      <w:r>
        <w:t xml:space="preserve">Task</w:t>
      </w:r>
    </w:p>
    <w:p>
      <w:pPr>
        <w:pStyle w:val="FirstParagraph"/>
      </w:pPr>
      <w:r>
        <w:t xml:space="preserve">Take your assigned digital-governance case and identify which institutional-change mechanism — drift, conversion, layering, displacement, or exhaustion — best characterises its recent trajectory. Apply the five Brussels-effect conditions to assess whether and how the case’s regulatory model is diffusing.</w:t>
      </w:r>
    </w:p>
    <w:p>
      <w:pPr>
        <w:pStyle w:val="BodyText"/>
      </w:pPr>
      <w:r>
        <w:t xml:space="preserve">The analytical tools you will deploy are: Streeck and Thelen’s five-mechanism typology of gradual institutional change, and Bradford’s five-condition Brussels-effect framework for regulatory diffusion.</w:t>
      </w:r>
    </w:p>
    <w:bookmarkEnd w:id="48"/>
    <w:bookmarkStart w:id="49" w:name="requirements-4"/>
    <w:p>
      <w:pPr>
        <w:pStyle w:val="Heading3"/>
      </w:pPr>
      <w:r>
        <w:t xml:space="preserve">Requirements</w:t>
      </w:r>
    </w:p>
    <w:p>
      <w:pPr>
        <w:pStyle w:val="Compact"/>
        <w:numPr>
          <w:ilvl w:val="0"/>
          <w:numId w:val="1021"/>
        </w:numPr>
      </w:pPr>
      <w:r>
        <w:t xml:space="preserve">identify the institutional-change mechanism with evidence — the rule, the environment, and the change in the relationship between them,</w:t>
      </w:r>
    </w:p>
    <w:p>
      <w:pPr>
        <w:pStyle w:val="Compact"/>
        <w:numPr>
          <w:ilvl w:val="0"/>
          <w:numId w:val="1021"/>
        </w:numPr>
      </w:pPr>
      <w:r>
        <w:t xml:space="preserve">for each of the five Brussels-effect conditions, identify whether it is present, partially present, or absent, with evidence from the case,</w:t>
      </w:r>
    </w:p>
    <w:p>
      <w:pPr>
        <w:pStyle w:val="Compact"/>
        <w:numPr>
          <w:ilvl w:val="0"/>
          <w:numId w:val="1021"/>
        </w:numPr>
      </w:pPr>
      <w:r>
        <w:t xml:space="preserve">reach a diffusion verdict, and</w:t>
      </w:r>
    </w:p>
    <w:p>
      <w:pPr>
        <w:pStyle w:val="Compact"/>
        <w:numPr>
          <w:ilvl w:val="0"/>
          <w:numId w:val="1021"/>
        </w:numPr>
      </w:pPr>
      <w:r>
        <w:t xml:space="preserve">close with a brief reflection on what the case implies for the AI-governance challenge in Lecture 11.</w:t>
      </w:r>
    </w:p>
    <w:p>
      <w:pPr>
        <w:pStyle w:val="FirstParagraph"/>
      </w:pPr>
      <w:r>
        <w:t xml:space="preserve">Note: these cases are deliberately under-determined. There is no single correct verdict — you will be assessed on the strength of the reasoning chain (mechanism identification → conditions assessment → diffusion verdict → AI-governance reflection), not on which verdict you reach.</w:t>
      </w:r>
    </w:p>
    <w:bookmarkEnd w:id="49"/>
    <w:bookmarkStart w:id="50" w:name="tool-summary-4"/>
    <w:p>
      <w:pPr>
        <w:pStyle w:val="Heading3"/>
      </w:pPr>
      <w:r>
        <w:t xml:space="preserve">Tool summary</w:t>
      </w:r>
    </w:p>
    <w:p>
      <w:pPr>
        <w:pStyle w:val="FirstParagraph"/>
      </w:pPr>
      <w:r>
        <w:rPr>
          <w:b/>
          <w:bCs/>
        </w:rPr>
        <w:t xml:space="preserve">Institutional-change mechanisms (Streeck and Thelen 2005; Hacker 2015).</w:t>
      </w:r>
      <w:r>
        <w:t xml:space="preserve"> </w:t>
      </w:r>
      <w:r>
        <w:t xml:space="preserve">For each case, ask which mechanism best fits the rule, the environment, and the change in the relationship between them — and where the fit is cleanest versus more ambiguous.</w:t>
      </w:r>
    </w:p>
    <w:p>
      <w:pPr>
        <w:pStyle w:val="Compact"/>
        <w:numPr>
          <w:ilvl w:val="0"/>
          <w:numId w:val="1022"/>
        </w:numPr>
      </w:pPr>
      <w:r>
        <w:t xml:space="preserve">Drift. Rules unchanged, environment changes; outcomes diverge.</w:t>
      </w:r>
    </w:p>
    <w:p>
      <w:pPr>
        <w:pStyle w:val="Compact"/>
        <w:numPr>
          <w:ilvl w:val="0"/>
          <w:numId w:val="1022"/>
        </w:numPr>
      </w:pPr>
      <w:r>
        <w:t xml:space="preserve">Conversion. Rules unchanged in form, redirected to new purposes.</w:t>
      </w:r>
    </w:p>
    <w:p>
      <w:pPr>
        <w:pStyle w:val="Compact"/>
        <w:numPr>
          <w:ilvl w:val="0"/>
          <w:numId w:val="1022"/>
        </w:numPr>
      </w:pPr>
      <w:r>
        <w:t xml:space="preserve">Layering. New rules added on top of old without dismantling.</w:t>
      </w:r>
    </w:p>
    <w:p>
      <w:pPr>
        <w:pStyle w:val="Compact"/>
        <w:numPr>
          <w:ilvl w:val="0"/>
          <w:numId w:val="1022"/>
        </w:numPr>
      </w:pPr>
      <w:r>
        <w:t xml:space="preserve">Displacement. Old institutions actively replaced by new ones.</w:t>
      </w:r>
    </w:p>
    <w:p>
      <w:pPr>
        <w:pStyle w:val="Compact"/>
        <w:numPr>
          <w:ilvl w:val="0"/>
          <w:numId w:val="1022"/>
        </w:numPr>
      </w:pPr>
      <w:r>
        <w:t xml:space="preserve">Exhaustion. Institutions wither without intentional replacement.</w:t>
      </w:r>
    </w:p>
    <w:p>
      <w:pPr>
        <w:pStyle w:val="FirstParagraph"/>
      </w:pPr>
      <w:r>
        <w:rPr>
          <w:b/>
          <w:bCs/>
        </w:rPr>
        <w:t xml:space="preserve">Brussels-effect conditions (Bradford 2020).</w:t>
      </w:r>
      <w:r>
        <w:t xml:space="preserve"> </w:t>
      </w:r>
      <w:r>
        <w:t xml:space="preserve">For each of the five conditions, assess whether it is present, partially present, or absent in your case.</w:t>
      </w:r>
    </w:p>
    <w:p>
      <w:pPr>
        <w:pStyle w:val="Compact"/>
        <w:numPr>
          <w:ilvl w:val="0"/>
          <w:numId w:val="1023"/>
        </w:numPr>
      </w:pPr>
      <w:r>
        <w:t xml:space="preserve">Market size.</w:t>
      </w:r>
    </w:p>
    <w:p>
      <w:pPr>
        <w:pStyle w:val="Compact"/>
        <w:numPr>
          <w:ilvl w:val="0"/>
          <w:numId w:val="1023"/>
        </w:numPr>
      </w:pPr>
      <w:r>
        <w:t xml:space="preserve">Regulatory capacity.</w:t>
      </w:r>
    </w:p>
    <w:p>
      <w:pPr>
        <w:pStyle w:val="Compact"/>
        <w:numPr>
          <w:ilvl w:val="0"/>
          <w:numId w:val="1023"/>
        </w:numPr>
      </w:pPr>
      <w:r>
        <w:t xml:space="preserve">Stringent standards.</w:t>
      </w:r>
    </w:p>
    <w:p>
      <w:pPr>
        <w:pStyle w:val="Compact"/>
        <w:numPr>
          <w:ilvl w:val="0"/>
          <w:numId w:val="1023"/>
        </w:numPr>
      </w:pPr>
      <w:r>
        <w:t xml:space="preserve">Inelastic targets.</w:t>
      </w:r>
    </w:p>
    <w:p>
      <w:pPr>
        <w:pStyle w:val="Compact"/>
        <w:numPr>
          <w:ilvl w:val="0"/>
          <w:numId w:val="1023"/>
        </w:numPr>
      </w:pPr>
      <w:r>
        <w:t xml:space="preserve">Non-divisibility.</w:t>
      </w:r>
    </w:p>
    <w:p>
      <w:pPr>
        <w:pStyle w:val="FirstParagraph"/>
      </w:pPr>
      <w:r>
        <w:t xml:space="preserve">Diffusion can be de facto (firms voluntarily adjust practices) or de jure (other jurisdictions adopt similar rules); the Bendiek–Stürzer refinement holds that internal EU consensus and its multi-level decision-making structure shape how credible that diffusion signal is externally.</w:t>
      </w:r>
    </w:p>
    <w:p>
      <w:pPr>
        <w:pStyle w:val="BodyText"/>
      </w:pPr>
      <w:r>
        <w:rPr>
          <w:b/>
          <w:bCs/>
        </w:rPr>
        <w:t xml:space="preserve">Weaponized interdependence (Farrell and Newman 2019).</w:t>
      </w:r>
      <w:r>
        <w:t xml:space="preserve"> </w:t>
      </w:r>
      <w:r>
        <w:t xml:space="preserve">A counter-mechanism to the Brussels effect: states positioned at network choke-points (e.g., SWIFT, undersea cables, semiconductor supply chains, cloud infrastructure) can coerce compliance from network members directly, rather than relying on firms’ voluntary decisions.</w:t>
      </w:r>
    </w:p>
    <w:bookmarkEnd w:id="50"/>
    <w:bookmarkStart w:id="51" w:name="case-specifics-from-the-case-pack-4"/>
    <w:p>
      <w:pPr>
        <w:pStyle w:val="Heading3"/>
      </w:pPr>
      <w:r>
        <w:t xml:space="preserve">Case specifics (from the case pack)</w:t>
      </w:r>
    </w:p>
    <w:p>
      <w:pPr>
        <w:pStyle w:val="FirstParagraph"/>
      </w:pPr>
      <w:r>
        <w:t xml:space="preserve">The General Data Protection Regulation (Regulation 2016/679) came into force on 25 May 2018. More than 100 jurisdictions now have data-protection laws that share GDPR’s basic structure. Multinational firms reorganised their global data-handling practices around GDPR-baseline compliance in 2018–19.</w:t>
      </w:r>
    </w:p>
    <w:p>
      <w:pPr>
        <w:pStyle w:val="BodyText"/>
      </w:pPr>
      <w:r>
        <w:rPr>
          <w:b/>
          <w:bCs/>
        </w:rPr>
        <w:t xml:space="preserve">Case: the agency’s data</w:t>
      </w:r>
    </w:p>
    <w:p>
      <w:pPr>
        <w:pStyle w:val="Compact"/>
        <w:numPr>
          <w:ilvl w:val="0"/>
          <w:numId w:val="1024"/>
        </w:numPr>
      </w:pPr>
      <w:r>
        <w:t xml:space="preserve">Source rule: GDPR (Regulation 2016/679) replaced the Data Protection Directive 95/46/EC.</w:t>
      </w:r>
    </w:p>
    <w:p>
      <w:pPr>
        <w:pStyle w:val="Compact"/>
        <w:numPr>
          <w:ilvl w:val="0"/>
          <w:numId w:val="1024"/>
        </w:numPr>
      </w:pPr>
      <w:r>
        <w:t xml:space="preserve">Firm practices: multinational firms (Google, Facebook, Microsoft, Apple, Amazon) restructured global data-handling practices to a GDPR baseline in 2018–19.</w:t>
      </w:r>
    </w:p>
    <w:p>
      <w:pPr>
        <w:pStyle w:val="Compact"/>
        <w:numPr>
          <w:ilvl w:val="0"/>
          <w:numId w:val="1024"/>
        </w:numPr>
      </w:pPr>
      <w:r>
        <w:t xml:space="preserve">Similar laws elsewhere: Brazil’s LGPD (2018); India’s DPDP Act (2023); South Africa’s POPIA (2013, in force 2020); Japan’s APPI amendments (2017, 2020); South Korea’s PIPA amendments (2020); California’s CCPA (2018) / CPRA (2020); Colorado’s CPA, Virginia’s VCDPA, and roughly 20 other US state laws (2021–25).</w:t>
      </w:r>
    </w:p>
    <w:p>
      <w:pPr>
        <w:pStyle w:val="Compact"/>
        <w:numPr>
          <w:ilvl w:val="0"/>
          <w:numId w:val="1024"/>
        </w:numPr>
      </w:pPr>
      <w:r>
        <w:t xml:space="preserve">Cross-border transfer mechanisms: Standard Contractual Clauses; Binding Corporate Rules; Adequacy Decisions (Andorra, Argentina, Canada (commercial), Faroe Islands, Guernsey, Israel, Isle of Man, Japan, Jersey, New Zealand, Switzerland, UK, Uruguay, South Korea); the EU–US Data Privacy Framework (2023, replacing the Privacy Shield struck down in Schrems II, 2020).</w:t>
      </w:r>
    </w:p>
    <w:p>
      <w:pPr>
        <w:pStyle w:val="Compact"/>
        <w:numPr>
          <w:ilvl w:val="0"/>
          <w:numId w:val="1024"/>
        </w:numPr>
      </w:pPr>
      <w:r>
        <w:t xml:space="preserve">Enforcement: 2,000+ GDPR fines totalling several billion euros by 2024, including major fines on Meta (€1.2bn, 2023; €390m, 2023), TikTok (€345m, 2023), Amazon (€746m, 2021), and Google (€90m+, multiple).</w:t>
      </w:r>
    </w:p>
    <w:p>
      <w:pPr>
        <w:pStyle w:val="Compact"/>
        <w:numPr>
          <w:ilvl w:val="0"/>
          <w:numId w:val="1024"/>
        </w:numPr>
      </w:pPr>
      <w:r>
        <w:t xml:space="preserve">Structural similarities: the laws listed above differ in their substantive provisions, but share several structural elements with GDPR — data-subject rights, controller/processor categories, breach notification, and DPA-style enforcement bodies.</w:t>
      </w:r>
    </w:p>
    <w:bookmarkEnd w:id="51"/>
    <w:bookmarkStart w:id="52" w:name="X387aa0d96432d7cba40b082af2f4743f5cc1d68"/>
    <w:p>
      <w:pPr>
        <w:pStyle w:val="Heading3"/>
      </w:pPr>
      <w:r>
        <w:t xml:space="preserve">Discussion questions from the case pack</w:t>
      </w:r>
    </w:p>
    <w:p>
      <w:pPr>
        <w:pStyle w:val="Compact"/>
        <w:numPr>
          <w:ilvl w:val="0"/>
          <w:numId w:val="1025"/>
        </w:numPr>
      </w:pPr>
      <w:r>
        <w:t xml:space="preserve">Apply the five Brussels-effect conditions to GDPR. Where does each condition score, and is any of them a weak point?</w:t>
      </w:r>
    </w:p>
    <w:p>
      <w:pPr>
        <w:pStyle w:val="Compact"/>
        <w:numPr>
          <w:ilvl w:val="0"/>
          <w:numId w:val="1025"/>
        </w:numPr>
      </w:pPr>
      <w:r>
        <w:t xml:space="preserve">Was GDPR’s spread automatic, or dependent on the structural features that Bendiek and Stürzer identify?</w:t>
      </w:r>
    </w:p>
    <w:p>
      <w:pPr>
        <w:pStyle w:val="Compact"/>
        <w:numPr>
          <w:ilvl w:val="0"/>
          <w:numId w:val="1025"/>
        </w:numPr>
      </w:pPr>
      <w:r>
        <w:t xml:space="preserve">Which jurisdictions look like GDPR-style adopters, and which look GDPR-resistant or committed to an alternative paradigm?</w:t>
      </w:r>
    </w:p>
    <w:p>
      <w:pPr>
        <w:pStyle w:val="Compact"/>
        <w:numPr>
          <w:ilvl w:val="0"/>
          <w:numId w:val="1025"/>
        </w:numPr>
      </w:pPr>
      <w:r>
        <w:t xml:space="preserve">Compare to the AI Act: same source (EU) — which conditions look weaker for AI than they were for GDPR?</w:t>
      </w:r>
    </w:p>
    <w:p>
      <w:pPr>
        <w:pStyle w:val="Compact"/>
        <w:numPr>
          <w:ilvl w:val="0"/>
          <w:numId w:val="1025"/>
        </w:numPr>
      </w:pPr>
      <w:r>
        <w:t xml:space="preserve">AI reflection: what would have to be true for the AI Act to diffuse in a similar way to GDPR?</w:t>
      </w:r>
    </w:p>
    <w:p>
      <w:r>
        <w:br w:type="page"/>
      </w:r>
    </w:p>
    <w:bookmarkEnd w:id="52"/>
    <w:bookmarkEnd w:id="53"/>
    <w:bookmarkEnd w:id="54"/>
    <w:bookmarkStart w:id="61" w:name="Xb4df9b8eea00d0116a793a9cdac63f838f982a2"/>
    <w:p>
      <w:pPr>
        <w:pStyle w:val="Heading1"/>
      </w:pPr>
      <w:r>
        <w:t xml:space="preserve">Mechanisms and Diffusion in Digital Governance — Worksheet</w:t>
      </w:r>
    </w:p>
    <w:bookmarkStart w:id="60" w:name="Xb695870205ad5782819be1cad0139b798a9d850"/>
    <w:p>
      <w:pPr>
        <w:pStyle w:val="Heading2"/>
      </w:pPr>
      <w:r>
        <w:t xml:space="preserve">AI Act diffusion (2024–present) — Regulatory diffusion outcomes pair</w:t>
      </w:r>
    </w:p>
    <w:p>
      <w:pPr>
        <w:pStyle w:val="FirstParagraph"/>
      </w:pPr>
      <w:r>
        <w:rPr>
          <w:i/>
          <w:iCs/>
        </w:rPr>
        <w:t xml:space="preserve">IR227 Seminar 8 — Group worksheet</w:t>
      </w:r>
    </w:p>
    <w:bookmarkStart w:id="55" w:name="task-5"/>
    <w:p>
      <w:pPr>
        <w:pStyle w:val="Heading3"/>
      </w:pPr>
      <w:r>
        <w:t xml:space="preserve">Task</w:t>
      </w:r>
    </w:p>
    <w:p>
      <w:pPr>
        <w:pStyle w:val="FirstParagraph"/>
      </w:pPr>
      <w:r>
        <w:t xml:space="preserve">Take your assigned digital-governance case and identify which institutional-change mechanism — drift, conversion, layering, displacement, or exhaustion — best characterises its recent trajectory. Apply the five Brussels-effect conditions to assess whether and how the case’s regulatory model is diffusing.</w:t>
      </w:r>
    </w:p>
    <w:p>
      <w:pPr>
        <w:pStyle w:val="BodyText"/>
      </w:pPr>
      <w:r>
        <w:t xml:space="preserve">The analytical tools you will deploy are: Streeck and Thelen’s five-mechanism typology of gradual institutional change, and Bradford’s five-condition Brussels-effect framework for regulatory diffusion.</w:t>
      </w:r>
    </w:p>
    <w:bookmarkEnd w:id="55"/>
    <w:bookmarkStart w:id="56" w:name="requirements-5"/>
    <w:p>
      <w:pPr>
        <w:pStyle w:val="Heading3"/>
      </w:pPr>
      <w:r>
        <w:t xml:space="preserve">Requirements</w:t>
      </w:r>
    </w:p>
    <w:p>
      <w:pPr>
        <w:pStyle w:val="Compact"/>
        <w:numPr>
          <w:ilvl w:val="0"/>
          <w:numId w:val="1026"/>
        </w:numPr>
      </w:pPr>
      <w:r>
        <w:t xml:space="preserve">identify the institutional-change mechanism with evidence — the rule, the environment, and the change in the relationship between them,</w:t>
      </w:r>
    </w:p>
    <w:p>
      <w:pPr>
        <w:pStyle w:val="Compact"/>
        <w:numPr>
          <w:ilvl w:val="0"/>
          <w:numId w:val="1026"/>
        </w:numPr>
      </w:pPr>
      <w:r>
        <w:t xml:space="preserve">for each of the five Brussels-effect conditions, identify whether it is present, partially present, or absent, with evidence from the case,</w:t>
      </w:r>
    </w:p>
    <w:p>
      <w:pPr>
        <w:pStyle w:val="Compact"/>
        <w:numPr>
          <w:ilvl w:val="0"/>
          <w:numId w:val="1026"/>
        </w:numPr>
      </w:pPr>
      <w:r>
        <w:t xml:space="preserve">reach a diffusion verdict, and</w:t>
      </w:r>
    </w:p>
    <w:p>
      <w:pPr>
        <w:pStyle w:val="Compact"/>
        <w:numPr>
          <w:ilvl w:val="0"/>
          <w:numId w:val="1026"/>
        </w:numPr>
      </w:pPr>
      <w:r>
        <w:t xml:space="preserve">close with a brief reflection on what the case implies for the AI-governance challenge in Lecture 11.</w:t>
      </w:r>
    </w:p>
    <w:p>
      <w:pPr>
        <w:pStyle w:val="FirstParagraph"/>
      </w:pPr>
      <w:r>
        <w:t xml:space="preserve">Note: these cases are deliberately under-determined. There is no single correct verdict — you will be assessed on the strength of the reasoning chain (mechanism identification → conditions assessment → diffusion verdict → AI-governance reflection), not on which verdict you reach.</w:t>
      </w:r>
    </w:p>
    <w:bookmarkEnd w:id="56"/>
    <w:bookmarkStart w:id="57" w:name="tool-summary-5"/>
    <w:p>
      <w:pPr>
        <w:pStyle w:val="Heading3"/>
      </w:pPr>
      <w:r>
        <w:t xml:space="preserve">Tool summary</w:t>
      </w:r>
    </w:p>
    <w:p>
      <w:pPr>
        <w:pStyle w:val="FirstParagraph"/>
      </w:pPr>
      <w:r>
        <w:rPr>
          <w:b/>
          <w:bCs/>
        </w:rPr>
        <w:t xml:space="preserve">Institutional-change mechanisms (Streeck and Thelen 2005; Hacker 2015).</w:t>
      </w:r>
      <w:r>
        <w:t xml:space="preserve"> </w:t>
      </w:r>
      <w:r>
        <w:t xml:space="preserve">For each case, ask which mechanism best fits the rule, the environment, and the change in the relationship between them — and where the fit is cleanest versus more ambiguous.</w:t>
      </w:r>
    </w:p>
    <w:p>
      <w:pPr>
        <w:pStyle w:val="Compact"/>
        <w:numPr>
          <w:ilvl w:val="0"/>
          <w:numId w:val="1027"/>
        </w:numPr>
      </w:pPr>
      <w:r>
        <w:t xml:space="preserve">Drift. Rules unchanged, environment changes; outcomes diverge.</w:t>
      </w:r>
    </w:p>
    <w:p>
      <w:pPr>
        <w:pStyle w:val="Compact"/>
        <w:numPr>
          <w:ilvl w:val="0"/>
          <w:numId w:val="1027"/>
        </w:numPr>
      </w:pPr>
      <w:r>
        <w:t xml:space="preserve">Conversion. Rules unchanged in form, redirected to new purposes.</w:t>
      </w:r>
    </w:p>
    <w:p>
      <w:pPr>
        <w:pStyle w:val="Compact"/>
        <w:numPr>
          <w:ilvl w:val="0"/>
          <w:numId w:val="1027"/>
        </w:numPr>
      </w:pPr>
      <w:r>
        <w:t xml:space="preserve">Layering. New rules added on top of old without dismantling.</w:t>
      </w:r>
    </w:p>
    <w:p>
      <w:pPr>
        <w:pStyle w:val="Compact"/>
        <w:numPr>
          <w:ilvl w:val="0"/>
          <w:numId w:val="1027"/>
        </w:numPr>
      </w:pPr>
      <w:r>
        <w:t xml:space="preserve">Displacement. Old institutions actively replaced by new ones.</w:t>
      </w:r>
    </w:p>
    <w:p>
      <w:pPr>
        <w:pStyle w:val="Compact"/>
        <w:numPr>
          <w:ilvl w:val="0"/>
          <w:numId w:val="1027"/>
        </w:numPr>
      </w:pPr>
      <w:r>
        <w:t xml:space="preserve">Exhaustion. Institutions wither without intentional replacement.</w:t>
      </w:r>
    </w:p>
    <w:p>
      <w:pPr>
        <w:pStyle w:val="FirstParagraph"/>
      </w:pPr>
      <w:r>
        <w:rPr>
          <w:b/>
          <w:bCs/>
        </w:rPr>
        <w:t xml:space="preserve">Brussels-effect conditions (Bradford 2020).</w:t>
      </w:r>
      <w:r>
        <w:t xml:space="preserve"> </w:t>
      </w:r>
      <w:r>
        <w:t xml:space="preserve">For each of the five conditions, assess whether it is present, partially present, or absent in your case.</w:t>
      </w:r>
    </w:p>
    <w:p>
      <w:pPr>
        <w:pStyle w:val="Compact"/>
        <w:numPr>
          <w:ilvl w:val="0"/>
          <w:numId w:val="1028"/>
        </w:numPr>
      </w:pPr>
      <w:r>
        <w:t xml:space="preserve">Market size.</w:t>
      </w:r>
    </w:p>
    <w:p>
      <w:pPr>
        <w:pStyle w:val="Compact"/>
        <w:numPr>
          <w:ilvl w:val="0"/>
          <w:numId w:val="1028"/>
        </w:numPr>
      </w:pPr>
      <w:r>
        <w:t xml:space="preserve">Regulatory capacity.</w:t>
      </w:r>
    </w:p>
    <w:p>
      <w:pPr>
        <w:pStyle w:val="Compact"/>
        <w:numPr>
          <w:ilvl w:val="0"/>
          <w:numId w:val="1028"/>
        </w:numPr>
      </w:pPr>
      <w:r>
        <w:t xml:space="preserve">Stringent standards.</w:t>
      </w:r>
    </w:p>
    <w:p>
      <w:pPr>
        <w:pStyle w:val="Compact"/>
        <w:numPr>
          <w:ilvl w:val="0"/>
          <w:numId w:val="1028"/>
        </w:numPr>
      </w:pPr>
      <w:r>
        <w:t xml:space="preserve">Inelastic targets.</w:t>
      </w:r>
    </w:p>
    <w:p>
      <w:pPr>
        <w:pStyle w:val="Compact"/>
        <w:numPr>
          <w:ilvl w:val="0"/>
          <w:numId w:val="1028"/>
        </w:numPr>
      </w:pPr>
      <w:r>
        <w:t xml:space="preserve">Non-divisibility.</w:t>
      </w:r>
    </w:p>
    <w:p>
      <w:pPr>
        <w:pStyle w:val="FirstParagraph"/>
      </w:pPr>
      <w:r>
        <w:t xml:space="preserve">Diffusion can be de facto (firms voluntarily adjust practices) or de jure (other jurisdictions adopt similar rules); the Bendiek–Stürzer refinement holds that internal EU consensus and its multi-level decision-making structure shape how credible that diffusion signal is externally.</w:t>
      </w:r>
    </w:p>
    <w:p>
      <w:pPr>
        <w:pStyle w:val="BodyText"/>
      </w:pPr>
      <w:r>
        <w:rPr>
          <w:b/>
          <w:bCs/>
        </w:rPr>
        <w:t xml:space="preserve">Weaponized interdependence (Farrell and Newman 2019).</w:t>
      </w:r>
      <w:r>
        <w:t xml:space="preserve"> </w:t>
      </w:r>
      <w:r>
        <w:t xml:space="preserve">A counter-mechanism to the Brussels effect: states positioned at network choke-points (e.g., SWIFT, undersea cables, semiconductor supply chains, cloud infrastructure) can coerce compliance from network members directly, rather than relying on firms’ voluntary decisions.</w:t>
      </w:r>
    </w:p>
    <w:bookmarkEnd w:id="57"/>
    <w:bookmarkStart w:id="58" w:name="case-specifics-from-the-case-pack-5"/>
    <w:p>
      <w:pPr>
        <w:pStyle w:val="Heading3"/>
      </w:pPr>
      <w:r>
        <w:t xml:space="preserve">Case specifics (from the case pack)</w:t>
      </w:r>
    </w:p>
    <w:p>
      <w:pPr>
        <w:pStyle w:val="FirstParagraph"/>
      </w:pPr>
      <w:r>
        <w:t xml:space="preserve">The EU AI Act (Regulation 2024/1689, adopted June 2024, with full implementation phased through 2026) is the world’s most ambitious risk-based AI regulation. Whether and how it diffuses is an open question: the US sectoral approach (the NIST AI Risk Management Framework, sector-specific Executive Orders) and the Chinese state-directed approach (the 2023 Provisions on Generative AI, the 2024 AI Safety Governance Framework) offer alternative templates. The UK and Canada lean closer to the EU’s approach, but with significant variation. The Council of Europe’s Framework Convention on AI (2024) is a potential coordination point, though with limited binding scope.</w:t>
      </w:r>
    </w:p>
    <w:p>
      <w:pPr>
        <w:pStyle w:val="BodyText"/>
      </w:pPr>
      <w:r>
        <w:rPr>
          <w:b/>
          <w:bCs/>
        </w:rPr>
        <w:t xml:space="preserve">Case: the agency’s data</w:t>
      </w:r>
    </w:p>
    <w:p>
      <w:pPr>
        <w:pStyle w:val="Compact"/>
        <w:numPr>
          <w:ilvl w:val="0"/>
          <w:numId w:val="1029"/>
        </w:numPr>
      </w:pPr>
      <w:r>
        <w:t xml:space="preserve">Source rule: the AI Act (Regulation 2024/1689) entered into force in August 2024, with staged implementation through August 2026.</w:t>
      </w:r>
    </w:p>
    <w:p>
      <w:pPr>
        <w:pStyle w:val="Compact"/>
        <w:numPr>
          <w:ilvl w:val="0"/>
          <w:numId w:val="1029"/>
        </w:numPr>
      </w:pPr>
      <w:r>
        <w:t xml:space="preserve">Architecture: a risk-based tiering — unacceptable risk (prohibited), high risk (regulated), limited risk (transparency obligations), minimal risk (unregulated) — with separate provisions for foundation models / general-purpose AI.</w:t>
      </w:r>
    </w:p>
    <w:p>
      <w:pPr>
        <w:pStyle w:val="Compact"/>
        <w:numPr>
          <w:ilvl w:val="0"/>
          <w:numId w:val="1029"/>
        </w:numPr>
      </w:pPr>
      <w:r>
        <w:t xml:space="preserve">Early signals: large foundation-model providers (OpenAI, Anthropic, Google, Meta, Microsoft) are developing AI Act compliance tools, with some convergence around model-evaluation and risk-assessment practices.</w:t>
      </w:r>
    </w:p>
    <w:p>
      <w:pPr>
        <w:pStyle w:val="Compact"/>
        <w:numPr>
          <w:ilvl w:val="0"/>
          <w:numId w:val="1029"/>
        </w:numPr>
      </w:pPr>
      <w:r>
        <w:t xml:space="preserve">International coordination bodies: the UK AI Safety Institute and counterpart bodies in the US, Singapore, Japan, India, and Korea have formed cooperative networks via the Bletchley Declaration (2023), the AI Safety Summit series, and the Seoul Declaration (2024).</w:t>
      </w:r>
    </w:p>
    <w:p>
      <w:pPr>
        <w:pStyle w:val="Compact"/>
        <w:numPr>
          <w:ilvl w:val="0"/>
          <w:numId w:val="1029"/>
        </w:numPr>
      </w:pPr>
      <w:r>
        <w:t xml:space="preserve">US position: a federal sectoral approach via Executive Orders (issued under Biden in 2023, revoked and replaced under Trump in 2025); the NIST AI Risk Management Framework as a voluntary baseline; emerging state-level laws (Colorado’s AI Act, 2024; a similar bill pending in California).</w:t>
      </w:r>
    </w:p>
    <w:p>
      <w:pPr>
        <w:pStyle w:val="Compact"/>
        <w:numPr>
          <w:ilvl w:val="0"/>
          <w:numId w:val="1029"/>
        </w:numPr>
      </w:pPr>
      <w:r>
        <w:t xml:space="preserve">China position: the Provisions on Generative AI Services (2023); algorithmic-recommendation regulations; the AI Safety Governance Framework (2024); state-directed model evaluation.</w:t>
      </w:r>
    </w:p>
    <w:p>
      <w:pPr>
        <w:pStyle w:val="Compact"/>
        <w:numPr>
          <w:ilvl w:val="0"/>
          <w:numId w:val="1029"/>
        </w:numPr>
      </w:pPr>
      <w:r>
        <w:t xml:space="preserve">Council of Europe Framework Convention on AI (May 2024): a broader-membership, lighter-touch instrument, signed by the EU, US, UK, and others by 2025.</w:t>
      </w:r>
    </w:p>
    <w:p>
      <w:pPr>
        <w:pStyle w:val="Compact"/>
        <w:numPr>
          <w:ilvl w:val="0"/>
          <w:numId w:val="1029"/>
        </w:numPr>
      </w:pPr>
      <w:r>
        <w:t xml:space="preserve">Recent context: post-2024 US administration changes affecting the US position; competitiveness concerns affecting EU implementation; rapid Chinese AI deployment shaping the global landscape.</w:t>
      </w:r>
    </w:p>
    <w:bookmarkEnd w:id="58"/>
    <w:bookmarkStart w:id="59" w:name="X568068362dc8e4133806000961525b2dac20a29"/>
    <w:p>
      <w:pPr>
        <w:pStyle w:val="Heading3"/>
      </w:pPr>
      <w:r>
        <w:t xml:space="preserve">Discussion questions from the case pack</w:t>
      </w:r>
    </w:p>
    <w:p>
      <w:pPr>
        <w:pStyle w:val="Compact"/>
        <w:numPr>
          <w:ilvl w:val="0"/>
          <w:numId w:val="1030"/>
        </w:numPr>
      </w:pPr>
      <w:r>
        <w:t xml:space="preserve">Apply the five Brussels-effect conditions to the AI Act. Where does each condition score? Which one looks like the binding constraint?</w:t>
      </w:r>
    </w:p>
    <w:p>
      <w:pPr>
        <w:pStyle w:val="Compact"/>
        <w:numPr>
          <w:ilvl w:val="0"/>
          <w:numId w:val="1030"/>
        </w:numPr>
      </w:pPr>
      <w:r>
        <w:t xml:space="preserve">Compare to GDPR diffusion: both cases run through the same Brussels-effect framework — where do the underlying conditions actually differ?</w:t>
      </w:r>
    </w:p>
    <w:p>
      <w:pPr>
        <w:pStyle w:val="Compact"/>
        <w:numPr>
          <w:ilvl w:val="0"/>
          <w:numId w:val="1030"/>
        </w:numPr>
      </w:pPr>
      <w:r>
        <w:t xml:space="preserve">Compare to weaponized interdependence: how do export controls on AI chips and cloud-infrastructure access shape AI governance in ways the Brussels-effect logic doesn’t capture?</w:t>
      </w:r>
    </w:p>
    <w:p>
      <w:pPr>
        <w:pStyle w:val="Compact"/>
        <w:numPr>
          <w:ilvl w:val="0"/>
          <w:numId w:val="1030"/>
        </w:numPr>
      </w:pPr>
      <w:r>
        <w:t xml:space="preserve">AI reflection: this case previews Lecture 11 directly. Based on your conditions assessment, what might the trajectory of AI governance look like over 2025–2030?</w:t>
      </w:r>
    </w:p>
    <w:bookmarkEnd w:id="59"/>
    <w:bookmarkEnd w:id="60"/>
    <w:bookmarkEnd w:id="61"/>
    <w:sectPr w:rsidR="0025775B"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973555985" w:numId="1">
    <w:abstractNumId w:val="8"/>
  </w:num>
  <w:num w16cid:durableId="1366563869" w:numId="2">
    <w:abstractNumId w:val="6"/>
  </w:num>
  <w:num w16cid:durableId="1202668815" w:numId="3">
    <w:abstractNumId w:val="5"/>
  </w:num>
  <w:num w16cid:durableId="892079298" w:numId="4">
    <w:abstractNumId w:val="4"/>
  </w:num>
  <w:num w16cid:durableId="1506898117" w:numId="5">
    <w:abstractNumId w:val="7"/>
  </w:num>
  <w:num w16cid:durableId="2120489874" w:numId="6">
    <w:abstractNumId w:val="3"/>
  </w:num>
  <w:num w16cid:durableId="1656684556" w:numId="7">
    <w:abstractNumId w:val="2"/>
  </w:num>
  <w:num w16cid:durableId="505946227" w:numId="8">
    <w:abstractNumId w:val="1"/>
  </w:num>
  <w:num w16cid:durableId="617180631"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3"/>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75B"/>
    <w:rsid w:val="0029639D"/>
    <w:rsid w:val="00326F90"/>
    <w:rsid w:val="005D1614"/>
    <w:rsid w:val="00AA1D8D"/>
    <w:rsid w:val="00B47730"/>
    <w:rsid w:val="00CB0664"/>
    <w:rsid w:val="00D4168F"/>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u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u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u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u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u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u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u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u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u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u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u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u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u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u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u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u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u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u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u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u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u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4115</Words>
  <Characters>23456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2026-07-09T13:43:52Z</dcterms:created>
  <dcterms:modified xsi:type="dcterms:W3CDTF">2026-07-09T13:43:52Z</dcterms:modified>
</cp:coreProperties>
</file>

<file path=docProps/custom.xml><?xml version="1.0" encoding="utf-8"?>
<Properties xmlns="http://schemas.openxmlformats.org/officeDocument/2006/custom-properties" xmlns:vt="http://schemas.openxmlformats.org/officeDocument/2006/docPropsVTypes"/>
</file>