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C339E">
      <w:pPr>
        <w:pStyle w:val="2"/>
        <w:keepNext w:val="0"/>
        <w:keepLines w:val="0"/>
        <w:widowControl/>
        <w:suppressLineNumbers w:val="0"/>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Lecture Notes: Pillars of Prosperity — The Political Economics of Development Clusters, Chs. 1–2</w:t>
      </w:r>
    </w:p>
    <w:p w14:paraId="04AFEC50">
      <w:pPr>
        <w:pStyle w:val="2"/>
        <w:keepNext w:val="0"/>
        <w:keepLines w:val="0"/>
        <w:widowControl/>
        <w:suppressLineNumbers w:val="0"/>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讲义：繁荣的支柱——发展集群的政治经济学，第1–2章</w:t>
      </w:r>
    </w:p>
    <w:p w14:paraId="560FB23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w:t>
      </w:r>
    </w:p>
    <w:p w14:paraId="58D74DC3">
      <w:pP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English: The reading is Pillars of Prosperity: The Political Economics of Development Clusters, Chapters 1 and 2, by Princeton University Press /ˈprɪnstən juːnɪˈvɜːrsəti prɛs/. These two chapters should not be read as a self-contained journal article with a single narrow question. Chapter 1 sets up the book’s general research agenda, while Chapter 2 develops the first formal building block of that agenda by focusing specifically on fiscal capacity. In other words, the object of explanation in Chapter 1 is the broader pattern of </w:t>
      </w:r>
      <w:r>
        <w:rPr>
          <w:rFonts w:hint="default" w:ascii="Times New Roman Regular" w:hAnsi="Times New Roman Regular" w:cs="Times New Roman Regular"/>
          <w:lang w:val="en-US" w:eastAsia="zh-CN"/>
        </w:rPr>
        <w:t>“</w:t>
      </w:r>
      <w:r>
        <w:rPr>
          <w:rFonts w:hint="default" w:ascii="Times New Roman Regular" w:hAnsi="Times New Roman Regular" w:cs="Times New Roman Regular"/>
          <w:lang w:val="en-US"/>
        </w:rPr>
        <w:t>development clusters,</w:t>
      </w:r>
      <w:r>
        <w:rPr>
          <w:rFonts w:hint="default"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 xml:space="preserve"> whereas the directly modeled endogenous outcome in Chapter 2 is the building of fiscal capacity. (pp. 1–15, 40–47)</w:t>
      </w:r>
    </w:p>
    <w:p w14:paraId="2E097321">
      <w:pPr>
        <w:rPr>
          <w:rFonts w:hint="default"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这篇阅读材料是普林斯顿大学出版社 Pillars of Prosperity: The Political Economics of Development Clusters 的第1章和第2章。阅读这两章时，不应把它们理解为一篇只有单一问题的标准期刊论文。第一章的功能是提出整本书的研究议程，第二章则在这个议程下先建立第一个形式模型，专门分析财政能力。因此，第一章要解释的是更广义的</w:t>
      </w:r>
      <w:r>
        <w:rPr>
          <w:rFonts w:hint="default" w:ascii="Times New Roman Regular" w:hAnsi="Times New Roman Regular" w:cs="Times New Roman Regular"/>
          <w:lang w:val="en-US"/>
        </w:rPr>
        <w:t>“发展集群”</w:t>
      </w:r>
      <w:r>
        <w:rPr>
          <w:rFonts w:hint="default" w:ascii="Times New Roman Regular" w:hAnsi="Times New Roman Regular" w:cs="Times New Roman Regular" w:eastAsiaTheme="minorEastAsia"/>
        </w:rPr>
        <w:t>现象，而第二章直接进入模型、正式分析的内生结果则是财政能力的建设。 （第1–15页，第40–47页）</w:t>
      </w:r>
    </w:p>
    <w:p w14:paraId="49B3DE6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1974313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w:t>
      </w:r>
    </w:p>
    <w:p w14:paraId="4D96D94D">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authors are Timothy Besley /ˈtɪməθi ˈbɛzli/ and Torsten Persson /ˈtɔːrstən ˈpɜːrsən/. In the book’s own positioning, they are trying to bring the study of weak states, state capacity, and state building more fully into mainstream political economy and development economics. Their argument is built at the intersection of economics, political science, economic history, and the study of conflict. This interdisciplinary ambition is already stated very clearly in Chapter 1. (pp. 5, 10–13, 38–39)</w:t>
      </w:r>
    </w:p>
    <w:p w14:paraId="373ACFC4">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作者是 Timothy Besley /ˈtɪməθi ˈbɛzli/ 和 Torsten Persson /ˈtɔːrstən ˈpɜːrsən/。按照本书自己的定位，他们试图把弱国家、国家能力与国家建设这些问题更系统地纳入主流政治经济学与发展经济学之中。他们的论证处在经济学、政治学、经济史与冲突研究的交叉点上。这种跨学科 ambition 在第一章中已经说得非常明确。 （第5页，第10–13页，第38–39页）</w:t>
      </w:r>
    </w:p>
    <w:p w14:paraId="7D89154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190DCC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w:t>
      </w:r>
    </w:p>
    <w:p w14:paraId="1CB5E88D">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book was published in 2011 by Princeton University Press /ˈprɪnstən/. It is also identified on the title pages as part of the Yrjö Jahnsson Lectures. This matters because the text has the structure of a synthetic lecture-based book: it is not just reporting one empirical result, but building a cumulative theoretical framework chapter by chapter. (front matter)</w:t>
      </w:r>
    </w:p>
    <w:p w14:paraId="57200076">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本书出版于2011年，由 Princeton University Press /ˈprɪnstən/ 出版，扉页还标明它来自 Yrjö Jahnsson Lectures。这个信息并不只是出版细节，它也解释了本书的写作结构：这不是一篇只报告单一实证结果的论文，而是一部逐章累积搭建理论框架的 lecture-based book。 （扉页）</w:t>
      </w:r>
    </w:p>
    <w:p w14:paraId="5A4E26D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4CC77564">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What is the main dependent variable?</w:t>
      </w:r>
    </w:p>
    <w:p w14:paraId="6DE5EC44">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English: If one asks this question at the level of the whole book’s opening problem, the broad dependent variable is the pattern the authors call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development clusters</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 xml:space="preserve">: the systematic co-movement, within the same country, of state capacity, low political violence, and high income. The key point in Chapter 1 is that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clusters</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 xml:space="preserve"> do not mean geographic clustering across neighboring countries. They mean that different development outcomes inside the same country tend to move together. Countries with strong state capacity also tend to have higher income and less internal violence, while weak states tend to be poor and violent. (pp. 6–10)</w:t>
      </w:r>
    </w:p>
    <w:p w14:paraId="38464E2A">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如果从整本书最初提出的问题来看，广义上的因变量是作者所谓的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发展集群</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现象：也就是在同一个国家内部，国家能力、较低的政治暴力和较高的收入会系统性地一起出现。第一章特别强调，这里的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集群</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不是地理学意义上相邻国家之间的空间聚集，而是同一个国家内部不同发展结果变量之间的共变。国家能力强的国家往往也更富裕、内部暴力更少；而弱国家则往往同时贫困且暴力频发。 （第6–10页）</w:t>
      </w:r>
    </w:p>
    <w:p w14:paraId="273262D9">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But if one asks the question strictly for Chapters 1–2, then the answer must be narrower and more precise. Chapter 2 does not yet model the entire development cluster. Its direct endogenous outcome is fiscal capacity, understood both as a stock of state capability and as an object of forward-looking investment. In that chapter, the main thing to be explained is why governments do or do not invest in the administrative and institutional structures that allow broad-based taxation in the future. So, for Chapters 1–2 specifically, the most accurate answer is: the broad explanandum is development clusters, but the directly modeled dependent variable is fiscal-capacity investment and the resulting level of fiscal capacity. (pp. 13–16, 40–42, 45–47)</w:t>
      </w:r>
    </w:p>
    <w:p w14:paraId="10A5521E">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但如果严格限定在第1–2章之内，这个问题就必须回答得更窄、更精确。第二章还没有把整个</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发展集群</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都正式放进模型里。它直接内生化、正式建模的结果变量是财政能力，既把它理解为一种国家能力存量，也把它理解为一种前瞻性的投资对象。第二章真正要解释的是：政府为什么会、或者不会，去投资那些使未来广泛征税成为可能的行政与制度结构。因此，对第1–2章最准确的说法应当是：广义的解释对象是发展集群，但第二章直接建模的因变量是财政能力投资及其形成的财政能力水平。 （第13–16页，第40–42页，第45–47页）</w:t>
      </w:r>
    </w:p>
    <w:p w14:paraId="0F99DDB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77340F8B">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What is the main independent variable?</w:t>
      </w:r>
    </w:p>
    <w:p w14:paraId="3C123012">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English: There is no single master independent variable in these chapters. That is one reason why forcing the book into a simple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one DV, one IV</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 xml:space="preserve"> template can be misleading. The theoretical framework instead identifies a set of political and economic determinants that jointly shape state building. In Chapter 2, the most important determinants are the strength of common interests relative to redistributive interests, the cohesiveness of political institutions, political stability, income, and access to nontax revenue such as natural-resource rents or foreign aid. Chapter 1 is explicit that many of these are treated as given only temporarily, and later chapters progressively endogenize more of them. (pp. 11–16, 40–42, 45–47)</w:t>
      </w:r>
    </w:p>
    <w:p w14:paraId="565B0DBF">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这两章并不存在一个单独支配全局的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主要自变量</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。这也是为什么把这本书硬套进</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一因变量、一个主自变量</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的模板会有误导性。作者的理论框架实际上识别的是一组共同塑造国家建设的政治与经济决定因素。在第二章里，最重要的决定因素包括：社会中共同利益相对于再分配利益的强弱、政治制度的凝聚性、政治稳定性、收入水平，以及来自自然资源租金或外国援助等非税收入的可得性。第一章还明确说明，这些因素中很多只是暂时被当作给定参数，后面章节会逐步把更多因素内生化。 （第11–16页，第40–42页，第45–47页）</w:t>
      </w:r>
    </w:p>
    <w:p w14:paraId="5BBB5E0B">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In empirical terms, the authors use observable proxies for those theoretical determinants. The most prominent are past external war prevalence as a proxy for demand for common-interest public goods, average executive constraints as a proxy for institutional cohesiveness, indicators of nonopen executive recruitment as a proxy for political stability, ethnic homogeneity as a proxy for lower heterogeneity in public-goods valuations, income per capita, and inequality in some specifications. But the authors are careful not to claim that these proxies are perfect mappings from data to theory. (pp. 16–21, 91–98)</w:t>
      </w:r>
    </w:p>
    <w:p w14:paraId="3BC29679">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在经验分析层面，作者用一组可观测变量去代理这些理论决定因素。最重要的包括：过去外部战争的发生率，用来代理共同利益公共品的需求；平均 executive constraints，用来代理制度凝聚性；非开放式的行政领导人选拔指标，用来代理政治稳定性；族群同质性，用来代理公共品偏好异质性的较低程度；以及人均收入和部分设定中的不平等程度。但作者也很谨慎，并没有声称这些代理变量能够和理论参数一一精确对应。 （第16–21页，第91–98页）</w:t>
      </w:r>
    </w:p>
    <w:p w14:paraId="3CED89E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7D85FE78">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 xml:space="preserve">Stateness: How is the </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highlight w:val="yellow"/>
          <w:lang w:val="en-US"/>
        </w:rPr>
        <w:t>state</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eastAsiaTheme="minorEastAsia"/>
          <w:highlight w:val="yellow"/>
        </w:rPr>
        <w:t xml:space="preserve"> and/or </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highlight w:val="yellow"/>
          <w:lang w:val="en-US"/>
        </w:rPr>
        <w:t>state building</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eastAsiaTheme="minorEastAsia"/>
          <w:highlight w:val="yellow"/>
        </w:rPr>
        <w:t xml:space="preserve"> conceptualized and measured?</w:t>
      </w:r>
    </w:p>
    <w:p w14:paraId="30B8C66F">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authors conceptualize the state in these chapters primarily through state capacity, meaning the institutional capability of government to carry out policy. This is narrower and more operational than a broad philosophical or Weberian definition of the state. The authors are not trying to define the state in the abstract. They are trying to explain the creation of effective policy-supporting institutions. In Chapter 1, they distinguish two broad dimensions of state capacity: fiscal capacity and legal capacity. Fiscal capacity refers to the extractive side of the state—the administrative, monitoring, enforcement, and compliance structures that allow revenue to be raised from broad tax bases such as income and consumption. Legal capacity refers to the productive or market-supporting side of the state—the courts, judges, registers, and legal infrastructures that help enforce contracts, protect property rights, and support markets. (pp. 6–8)</w:t>
      </w:r>
    </w:p>
    <w:p w14:paraId="1CEBF4C2">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在这两章里，作者主要是通过</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国家能力</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来概念化国家，也就是政府执行政策的制度性能力。这种处理比抽象的哲学定义或广义的韦伯式国家定义更窄，也更可操作。作者并不是想在抽象层面回答</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国家是什么</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而是想解释有效的政策支持性制度是怎样形成的。第一章把国家能力区分为两个维度：财政能力和法律能力。财政能力指国家的汲取性一面，也就是使国家能够从所得税、消费税等广泛税基中征税的行政、监测、执法和合规结构。法律能力则是国家的生产性、市场支持性一面，也就是法院、法官、登记制度和法律基础设施，它们帮助执行合同、保护产权并支持市场运行。 （第6–8页）</w:t>
      </w:r>
    </w:p>
    <w:p w14:paraId="2AC23F72">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In measurement terms, Chapter 1 uses illustrative proxies. Fiscal capacity is first illustrated with total tax revenue as a share of GDP in 1999. Legal capacity is illustrated with the International Country Risk Guide property-rights or antidiversion index in 1997, normalized between 0 and 1. But the authors immediately stress that these are approximations. Tax revenue mixes capacity and willingness. Legal-capacity proxies are imperfect as well. This caution matters because one of the book’s deeper methodological claims is that good theory is needed precisely to distinguish symptoms from causes and to interpret imperfect indicators. (pp. 2–7, 8–10)</w:t>
      </w:r>
    </w:p>
    <w:p w14:paraId="028BE40B">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在度量上，第一章先用一些示意性的代理变量来说明问题。财政能力首先用1999年的税收占GDP比重来近似，法律能力则用1997年的 International Country Risk Guide 的产权保护或 anti-diversion 指数来近似，并把它标准化到0到1之间。但作者立刻就提醒读者，这些都只是近似量。税收占比混合了征税能力与征税意愿，法律能力的代理指标也同样不完美。这个提醒很重要，因为本书一个更深的方法论主张正是：只有先有理论框架，才能区分症状与原因，也才能对这些并不完美的指标作出解释。 （第2–7页，第8–10页）</w:t>
      </w:r>
    </w:p>
    <w:p w14:paraId="1EB82C6F">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Most importantly, state building is conceptualized not as a one-shot historical event but as a forward-looking investment process. Chapter 2 makes this explicit. Fiscal capacity is treated as a form of capital: it is inherited from the past, it depreciates, it constrains current policy, and it can be increased only through costly investment by current incumbents. This is one of the book’s central moves. It shifts attention away from treating institutions as fixed background conditions and toward treating them as strategic objects of political choice under uncertainty. (pp. 12–16, 40–48)</w:t>
      </w:r>
    </w:p>
    <w:p w14:paraId="401D8C67">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更重要的是，作者把国家建设概念化为一种前瞻性的投资过程，而不是一次性的历史事件。第二章把这一点明确写进了模型。财政能力被当作一种资本：它从过去继承而来，会折旧，会约束当期政策，而且只能通过当期执政者付出代价去投资才能提高。这是本书最核心的理论动作之一。它把注意力从</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把制度当成固定背景条件</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转向</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把制度当成在不确定条件下被政治主体战略性选择和积累的对象</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 （第12–16页，第40–48页）</w:t>
      </w:r>
    </w:p>
    <w:p w14:paraId="3C33463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7074C29B">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What is the core argument about the relationship between the independent and dependent variable(s)?</w:t>
      </w:r>
    </w:p>
    <w:p w14:paraId="6B1B9A59">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core argument in Chapter 1 is that the observed clustering of high state capacity, low internal political violence, and high income is not accidental. These outcomes tend to come together because they are shaped by overlapping political and economic determinants, and because there are complementarities and feedbacks among them. However, this broad claim is only introduced in Chapter 1. It is not yet fully proven there. Chapter 1 is a programmatic chapter: it states the problem, introduces the broad logic, shows salient correlations, and explains how the later chapters will build the full framework step by step. (pp. 5–13, 37–38)</w:t>
      </w:r>
    </w:p>
    <w:p w14:paraId="70A04B42">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一章的核心论点是：高国家能力、低内部政治暴力和高收入之所以经常聚集在一起，并不是偶然的。这些结果之所以会一起出现，是因为它们受到一组相互重叠的政治与经济决定因素的共同塑造，而且它们之间还存在互补性和反馈效应。但这个广义主张在第一章里还只是被提出，并没有被完全证明。第一章本质上是一个 programmatic chapter：它提出问题，介绍总体逻辑，展示一些显著相关关系，并说明后面章节将如何一步步把这个框架正式搭起来。 （第5–13页，第37–38页）</w:t>
      </w:r>
    </w:p>
    <w:p w14:paraId="441BC684">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core argument in Chapter 2 is narrower and more formal. Fiscal capacity is built when incumbents expect the future return to a broader tax base to be high enough relative to its present cost. Whether that expected return is high depends on politics. If future public revenue is likely to be used in the common interest, or if institutions are cohesive enough that future governments cannot easily turn state capacity into one-sided redistribution, then incumbents are willing to invest. If institutions are noncohesive and political turnover is unstable, incumbents fear that stronger fiscal capacity will later be used against them, and then they underinvest or do not invest at all. In that sense, political institutions and political stability do not just constrain policy; they shape the very incentives to build the state. (pp. 40–47, 45–47, 52–63)</w:t>
      </w:r>
    </w:p>
    <w:p w14:paraId="3FACBD32">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二章的核心论点则更窄，也更形式化。财政能力之所以会被建设，是因为执政者认为：更广税基在未来带来的收益，足以抵过当期投资的成本。而这种预期收益是否足够高，关键取决于政治。如果未来财政收入很可能被用于共同利益，或者制度足够有凝聚力，以至于未来政府不能轻易把国家能力变成单边再分配工具，那么当前执政者就愿意投资。反过来，如果制度缺乏凝聚性、政治更替又不稳定，执政者就会担心：今天建设出来的财政能力，未来反而会被对手拿来对付自己，于是就会投资不足，甚至根本不投资。也就是说，政治制度和政治稳定性不只是约束政策，它们还塑造了国家建设本身的激励结构。 （第40–47页，第52–63页）</w:t>
      </w:r>
    </w:p>
    <w:p w14:paraId="18533D2D">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broader social-scientific significance of this argument is that it translates a classic historical-sociological insight into a formal political-economy model. Historians such as Otto Hintze /ˈɒtoʊ ˈhɪntsə/ and Charles Tilly /tʃɑːrlz ˈtɪli/ argued that the demands of war pushed rulers to build states. Besley and Persson do not simply repeat that claim. They reinterpret it in incentive terms. External war matters because it raises the expected value of common-interest public goods, which raises the expected payoff from fiscal investment. But they also show that war pressure alone is not enough. Whether war promotes state building depends on the political-institutional environment in which those revenues will later be used. (pp. 12–16, 16–20, 44–47)</w:t>
      </w:r>
    </w:p>
    <w:p w14:paraId="196FD7E1">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这一论点在更广的社会科学意义上，在于它把经典的历史社会学洞见转译成了一个形式化的政治经济学模型。像 Otto Hintze /ˈɒtoʊ ˈhɪntsə/ 和 Charles Tilly /tʃɑːrlz ˈtɪli/ 这样的历史学家和历史社会学家早就提出，战争需求推动了国家建设。Besley 和 Persson 并不是简单重复这个命题，而是把它重写成激励逻辑：外部战争之所以重要，是因为它提高了共同利益公共品的预期价值，从而提高了财政投资的预期回报。但他们同时也说明，仅有战争压力并不足够。战争是否真的推动国家建设，还取决于这些收入日后将置于何种政治制度环境中使用。 （第12–16页，第16–20页，第44–47页）</w:t>
      </w:r>
    </w:p>
    <w:p w14:paraId="045B08C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411DEAC6">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What mechanisms are proposed to explain how the independent variable influences the outcome?</w:t>
      </w:r>
    </w:p>
    <w:p w14:paraId="3853069E">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 xml:space="preserve">English: The first mechanism is the common-interest mechanism. When future public funds are expected to finance genuinely common-interest goods, especially defense against external threats, the incumbent values future revenue even if political power changes hands. In the model, a higher probability of the high-value public-goods state raises the expected marginal value of future public funds, which makes fiscal-capacity investment more attractive. This is the formal channel through which the book reworks the classic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war made the state</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 xml:space="preserve"> claim. (pp. 15–20, 52–58)</w:t>
      </w:r>
    </w:p>
    <w:p w14:paraId="3837B3F3">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一个机制是共同利益机制。如果未来的公共资金预期会被用于真正的共同利益公共品，尤其是防御外部威胁，那么现任执政者即使担心未来失去权力，也仍然会重视未来财政收入。在模型里，高价值公共品状态出现的概率越高，未来公共资金的预期边际价值就越高，财政能力投资也就越有吸引力。这就是本书把</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战争塑造国家</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这个经典命题形式化的核心渠道。 （第15–20页，第52–58页）</w:t>
      </w:r>
    </w:p>
    <w:p w14:paraId="7FB6D99A">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second mechanism is the institutional-cohesiveness mechanism. Even when common interests are not overwhelming, cohesive political institutions can make state building possible because they constrain the winner from using the future state primarily against the loser. In the model, greater cohesiveness lowers the attractiveness of pure redistribution and increases the range of situations in which incumbents prefer public-goods provision. This makes investments in fiscal capacity safer from the incumbent’s point of view. In simple terms, institutions matter because they make future policy use more predictable and less threatening. (pp. 18–21, 48–57)</w:t>
      </w:r>
    </w:p>
    <w:p w14:paraId="788C0643">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二个机制是制度凝聚性机制。即便共同利益并不压倒一切，只要政治制度足够有凝聚力，国家建设仍然可能发生，因为这种制度会约束胜者，使其不能在未来主要把国家机器用来对付败者。在模型中，更高的制度凝聚性降低了纯再分配的吸引力，并扩大了执政者选择公共品供给而非单边转移的情形范围。这样一来，从现任者的角度看，投资财政能力就不那么危险了。简单说，制度之所以重要，是因为它让未来的政策用途更可预期，也更不具威胁性。 （第18–21页，第48–57页）</w:t>
      </w:r>
    </w:p>
    <w:p w14:paraId="3EEBDB05">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third mechanism is the political-stability mechanism. If institutions are not cohesive, then the key question becomes whether today’s incumbent expects to remain in office. When turnover is highly likely, the incumbent fears that any fiscal investment will later be captured by the opposition and turned into redistribution against the incumbent’s own group. Under those conditions, incentives to invest collapse. This mechanism is what generates the weak-state equilibrium in Chapter 2. (pp. 19–21, 56–63)</w:t>
      </w:r>
    </w:p>
    <w:p w14:paraId="19509956">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三个机制是政治稳定性机制。如果制度本身并不凝聚，那么关键问题就变成：今天的执政者是否预期自己还会继续执政。当政治更替概率很高时，执政者会担心：今天投资的财政能力，未来会被反对派接管，并转化成针对本群体的不利再分配。在这种条件下，投资激励就会塌陷。第二章中的弱国家均衡，正是由这一机制产生的。 （第19–21页，第56–63页）</w:t>
      </w:r>
    </w:p>
    <w:p w14:paraId="335312C4">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fourth mechanism is the economic-structure or rentier mechanism. When governments have access to large nontax revenues from resource rents or aid, they depend less on broad market incomes as a fiscal base. That weakens incentives to build the institutions needed for broad-based taxation. In the larger logic of the book, this also tends to weaken incentives to build market-supporting institutions, because lower market income means a lower tax base. This is how the authors incorporate a political-economy version of the rentier-state argument into their framework. (pp. 20–21, 40–42)</w:t>
      </w:r>
    </w:p>
    <w:p w14:paraId="448CAE9F">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四个机制是经济结构机制，也可以说是食利机制。当政府可以从资源租金或援助中获得大量非税收入时，它对广泛市场收入作为财政基础的依赖就会下降。这会削弱它建设广泛征税制度的激励。在本书更大的逻辑里，这还会进一步削弱国家建设市场支持性制度的动力，因为市场收入越低，税基也越小。这就是作者如何把</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食利国家</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论点转写进自己的政治经济学框架之中。 （第20–21页，第40–42页）</w:t>
      </w:r>
    </w:p>
    <w:p w14:paraId="640F1E64">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fifth mechanism, developed through extensions already foreshadowed in Chapter 2, concerns polarization and inequality. Greater heterogeneity reduces the degree to which public goods are truly common-interest goods across groups. Greater inequality can raise the tax price of public spending for the incumbent if the incumbent’s group is richer than average. In both cases, the perceived return to state building falls. These extensions are important because they show that the same framework can move beyond a purely symmetric two-group world and connect to broader theories of polarization, ethnic politics, and distributive conflict in comparative politics. (pp. 47, 52–63; Chapter 2 plan at pp. 45–47)</w:t>
      </w:r>
    </w:p>
    <w:p w14:paraId="1E03C037">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第五个机制是通过第二章的拓展部分所展开的极化与不平等机制。更大的异质性会降低公共品在不同群体之间作为</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共同利益</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的程度。更高的不平等则会在执政群体比平均收入更高时，提高其为公共支出承担的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税价格</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。在这两种情况下，国家建设的预期回报都会下降。这个拓展很重要，因为它说明：同一个框架并不只适用于一个完全对称的两群体世界，它还能连接到比较政治中更广泛的极化、族群政治和分配冲突理论。 （第45–47页，第52–63页）</w:t>
      </w:r>
    </w:p>
    <w:p w14:paraId="4ED5B84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62009B2A">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What data is used to test the argument?</w:t>
      </w:r>
    </w:p>
    <w:p w14:paraId="53E63A79">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Chapter 1 first uses descriptive cross-country indicators to show the empirical pattern the book wants to explain. Fiscal capacity is illustrated with total tax revenue as a share of GDP in 1999 from IMF sources. Legal capacity is illustrated with the International Country Risk Guide antidiversion or property-rights index in 1997. Political violence is illustrated using at least one year of civil war during 1950–2000 from the Armed Conflict Dataset, and fragility is shown using the Polity IV State Fragility Index. The unit of analysis in these descriptive figures is the country. The point of these figures is not causal identification. It is to establish that fiscal capacity, legal capacity, income, fragility, and violence are clustered in the way the theory aims to explain. (pp. 2–10)</w:t>
      </w:r>
    </w:p>
    <w:p w14:paraId="464E0037">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第一章首先用一组描述性的跨国指标来展示本书想解释的经验事实。财政能力用1999年的税收占GDP比重来示意，数据来自 IMF。法律能力用1997年的 International Country Risk Guide 的 anti-diversion 或产权保护指数来示意。政治暴力则用 Armed Conflict Dataset 中1950—2000年间是否至少有一年发生内战来示意，脆弱性则用 Polity IV 的 State Fragility Index 来展示。这些描述性图表的分析单位都是国家。它们的目的不是做因果识别，而是先确立：财政能力、法律能力、收入、脆弱性和暴力确实以本书想要解释的方式聚集在一起。 （第2–10页）</w:t>
      </w:r>
    </w:p>
    <w:p w14:paraId="53B30221">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dedicated empirical analysis in Chapter 2 uses a cross-section of roughly one hundred countries, with sample size varying by data availability. The dependent-side measures are five proxies for fiscal capacity. These are total tax revenue as a share of GDP, the income-tax share of tax revenue, the nontrade-tax share of tax revenue, the bias toward income taxation relative to trade taxation, and the formal-sector share of the economy. The authors show that these proxies are strongly correlated with one another, with pairwise correlations roughly between 0.55 and 0.95. They standardize the fiscal-capacity variables by their sample standard deviation so that coefficients are more comparable across regressions. (pp. 91–93)</w:t>
      </w:r>
    </w:p>
    <w:p w14:paraId="4B605C72">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二章真正专门展开的经验分析，使用的是大约一百个国家左右的横截面样本，具体样本数会随变量可得性而变化。因变量一侧，作者使用了五个财政能力代理指标：税收占GDP比重、所得税占总税收份额、非贸易税占总税收份额、相对贸易税而言的所得税偏向，以及经济中正规部门所占比重。作者还展示了这五个财政能力代理量之间高度相关，成对相关系数大约在0.55到0.95之间。为了使不同回归中的系数更具有可比性，他们把这些财政能力变量都按样本标准差做了标准化处理。 （第91–93页）</w:t>
      </w:r>
    </w:p>
    <w:p w14:paraId="23C91E39">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On the explanatory side, the main variables are constructed to proxy the model’s theoretical parameters. External war prevalence is measured as the share of years a country spent in interstate or extrastate war from 1816 or independence to 2000, using the Correlates of War data. Institutional cohesiveness is proxied by average executive constraints from Polity IV over the same long historical period, normalized to lie between 0 and 1. Political stability is proxied by nonopen, noncompetitive executive recruitment, again from Polity IV. Ethnic homogeneity is derived from ethnic fractionalization measures. Some specifications also include log GDP per capita in 2000 from Penn World Tables and a low-inequality indicator based on the Gini coefficient. The unit of analysis is again the country. (pp. 16–21, 91–98)</w:t>
      </w:r>
    </w:p>
    <w:p w14:paraId="09B269E3">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在解释变量一侧，作者构造的主要变量都旨在代理模型中的理论参数。外部战争发生率被定义为：从1816年或独立年份到2000年，一个国家处于 interstate 或 extrastate war 状态的年份占比，数据来自 Correlates of War。制度凝聚性则用同一长时段内 Polity IV 的平均 executive constraints 来代理，并把它标准化到0到1之间。政治稳定性用非开放、非竞争性的行政领导人选拔来代理，也来自 Polity IV。族群同质性则是从族群分裂化指标推导出来的。一些设定里还加入了 2000 年的人均 GDP 对数（来自 Penn World Tables）以及基于基尼系数构造的低不平等指标。这里的分析单位同样是国家。 （第16–21页，第91–98页）</w:t>
      </w:r>
    </w:p>
    <w:p w14:paraId="1E9316AC">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It is important to state clearly what the data are doing and what they are not doing. The data are being used to see whether broad cross-country patterns line up with the model’s comparative statics. They are not being used to estimate a clean causal effect of one determinant on fiscal capacity. The authors themselves are explicit about this limitation, both in Chapter 1 and in Chapter 2. (pp. 11–12, 91, 96–97)</w:t>
      </w:r>
    </w:p>
    <w:p w14:paraId="5376A553">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这里必须很清楚地区分数据的用途和限度。作者使用这些数据，是为了考察广义的跨国模式是否与模型的比较静态方向相一致，而不是为了估计某个单一决定因素对财政能力的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干净因果效应</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。无论在第一章还是第二章，作者都明确承认了这一点。 （第11–12页，第91页，第96–97页）</w:t>
      </w:r>
    </w:p>
    <w:p w14:paraId="0C38DC7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7DC34496">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What methods are employed to assess the argument? What assumptions must hold for these methods to be valid?</w:t>
      </w:r>
    </w:p>
    <w:p w14:paraId="42C5D0FB">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book uses two distinct kinds of method in Chapters 1–2. The first is formal theory. Chapter 2 develops a dynamic two-period political-economy model in which an incumbent government chooses whether to invest in fiscal capacity for the future while facing political constraints and uncertainty about future turnover. This is the core analytical method of the chapter. The second is empirical illustration through cross-country descriptive plots and OLS cross-sectional regressions. The regressions examine whether the signs and broad patterns in the data are consistent with the model’s predictions. (pp. 11–13, 40–47, 91–98)</w:t>
      </w:r>
    </w:p>
    <w:p w14:paraId="697AE228">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1–2章实际上同时使用了两类方法。第一类是形式理论。第二章建立了一个两期动态政治经济学模型，其中现任政府在面临政治约束和未来权力更替不确定性的情况下，决定是否为未来投资财政能力。这是本章最核心的分析方法。第二类则是经验说明，包括跨国描述性图表和 OLS 横截面回归。回归的目标是考察数据中的符号方向和总体模式是否与模型预测相一致。 （第11–13页，第40–47页，第91–98页）</w:t>
      </w:r>
    </w:p>
    <w:p w14:paraId="6B9D0598">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main empirical specification regresses each fiscal-capacity proxy on the core explanatory proxies together: war prevalence, executive constraints, political stability, and ethnic homogeneity, with robust standard errors. Additional specifications introduce interaction terms motivated by the model and then add income and low inequality. The model predicts some global comparative statics quite robustly, but the interaction evidence is weaker and does not strongly confirm all of the finer-grained local comparative-static predictions. This is something the authors themselves admit. (pp. 95–98)</w:t>
      </w:r>
    </w:p>
    <w:p w14:paraId="531B4FB0">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主要经验设定是把每一个财政能力代理变量，同时对战争发生率、行政约束、政治稳定性和族群同质性这些核心解释变量做代理回归，并使用稳健标准误。进一步的设定又加入了由模型所启发的交互项，之后再加入收入和低不平等变量。模型对一些总体性的比较静态方向预测得比较稳，但更细粒度的局部比较静态在交互项上支持得较弱，并没有被很强地证实。这一点作者自己也承认了。 （第95–98页）</w:t>
      </w:r>
    </w:p>
    <w:p w14:paraId="76A93732">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For these empirical methods to have a strong causal interpretation, demanding assumptions would have to hold. The proxies for war, institutions, stability, and social structure would need to be exogenous with respect to omitted determinants of fiscal capacity. There would need to be no serious reverse causality, no major omitted historical confounders, and no large mapping error between the theoretical parameters and the observable proxies. The authors do not claim that these assumptions are satisfied. On the contrary, they say that because most relevant variables are jointly determined, isolating causal relations in cross-country data is very difficult. That is why the empirical material in these chapters should be read as pattern matching or theory-consistency checking, not as decisive causal adjudication. (pp. 11–12, 91, 96–97)</w:t>
      </w:r>
    </w:p>
    <w:p w14:paraId="546A0731">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如果要把这些经验方法解释成强因果识别，那么必须满足很苛刻的条件。战争、制度、稳定性和社会结构这些代理变量必须相对于财政能力的遗漏决定因素是外生的；不能存在严重的反向因果；不能有重大的历史性遗漏混杂因素；理论参数和可观测代理变量之间也不能有太大的映射误差。作者并没有声称这些条件成立。相反，他们明确说，因为大多数相关变量本来就是共同决定的，所以想在跨国数据中分离出因果关系极其困难。因此，这两章的经验材料更适合被理解为 pattern matching 或 theory-consistency checking，而不是决定性地裁判 competing causal explanations。 （第11–12页，第91页，第96–97页）</w:t>
      </w:r>
    </w:p>
    <w:p w14:paraId="37DB714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7CF444F1">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Contribution: What would the academia see as the reading’s main contribution?</w:t>
      </w:r>
    </w:p>
    <w:p w14:paraId="5A945D7B">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first major contribution is theoretical unification. Many literatures had treated taxation, legal order, violence, and development as partially separate topics. Besley and Persson’s contribution is to propose that they should be studied as interconnected outcomes generated by overlapping political and economic mechanisms. In Chapters 1–2, this unification is still incomplete, but the framework is already visible: development is not just income; it is a cluster that includes state capacity and the peaceful resolution of conflict. (pp. 5–13, 37–38)</w:t>
      </w:r>
    </w:p>
    <w:p w14:paraId="70A78785">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第一个主要贡献是理论统一化。此前很多文献把征税、法律秩序、暴力和发展分别当作相对独立的问题来研究。Besley 和 Persson 的贡献在于提出：这些问题应该被看成由一组重叠的政治经济机制共同生成的相互关联结果。在第1–2章里，这种统一还没有完全完成，但框架已经很清楚：发展不只是收入，而是包含国家能力和冲突和平解决能力在内的一个集群。 （第5–13页，第37–38页）</w:t>
      </w:r>
    </w:p>
    <w:p w14:paraId="2D260D1F">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second major contribution is to recast state capacity as an investment problem. This is arguably the central innovation of Chapter 2. Instead of taking the tax system as fixed background infrastructure, the chapter models fiscal capacity as something costly, cumulative, and politically chosen. That move brings an important topic from historical sociology and comparative politics into a tractable formal political-economy model. (pp. 12–16, 40–47)</w:t>
      </w:r>
    </w:p>
    <w:p w14:paraId="1430495C">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二个主要贡献是把国家能力重新表述为一个投资问题。这可以说是第二章最核心的创新。作者不再把税收体系当作既定不变的背景性基础设施，而是把财政能力看成一种有成本、可累积、并且受到政治选择影响的对象。这个理论动作把一个长期属于历史社会学和比较政治核心议题的对象，转译成了一个可处理的形式化政治经济学模型。 （第12–16页，第40–47页）</w:t>
      </w:r>
    </w:p>
    <w:p w14:paraId="19C331FE">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third contribution is to formalize a historically important claim about war and state formation without reducing it to a slogan. The book does not say mechanically that war causes state building everywhere. It specifies the political conditions under which greater public-goods demand, including from war, raises the incentive to build fiscal capacity. This conditionalization is an important refinement of the bellicist tradition associated with Hintze and Tilly. (pp. 14–20, 44–47, 52–58)</w:t>
      </w:r>
    </w:p>
    <w:p w14:paraId="50B67E12">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第三个贡献是，它把关于战争与国家形成的一条重要历史命题形式化了，而且没有把它简化成口号。作者并不是机械地说</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战争在任何地方都会推动国家建设</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，而是具体说明：只有在什么样的政治条件下，更高的公共品需求——包括来自战争的需求——才会提高财政能力建设的激励。这种把战争命题条件化的做法，是对 Hintze 与 Tilly 所代表的战争主义国家形成传统的重要精炼。 （第14–20页，第44–47页，第52–58页）</w:t>
      </w:r>
    </w:p>
    <w:p w14:paraId="153B225E">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fourth contribution is methodological rather than purely substantive. These chapters show a distinctive style of social-science explanation: stripped-down formal theory, empirically interpretable parameters, and descriptive or partial-correlation evidence used to discipline rather than replace theory. Whether one fully agrees with the identification standards is a separate question. But as a piece of political-economy theory-building, the chapters are unusually self-conscious about how theory and evidence should talk to each other. (pp. 5, 11–13, 91, 96–97)</w:t>
      </w:r>
    </w:p>
    <w:p w14:paraId="04404AF9">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第四个贡献更偏方法论，而不只是实质命题本身。这两章展示了一种非常鲜明的社会科学解释风格：用高度抽象但可经验解释的形式理论，配合能够与理论参数大致对应的数据，再用描述性或偏相关证据去</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约束</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理论，而不是用经验结果替代理论。是否完全接受这种识别标准，是另一回事；但作为政治经济学理论建构的作品，这两章对</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理论与证据应如何对话</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有很强的自觉。 （第5页，第11–13页，第91页，第96–97页）</w:t>
      </w:r>
    </w:p>
    <w:p w14:paraId="20321C3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456151E5">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What would professional scholars and researchers identify as limitations of the reading and how would they suggest a way to address or improve it.</w:t>
      </w:r>
    </w:p>
    <w:p w14:paraId="38B73BE5">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first limitation is that the empirical analysis in Chapters 1–2 is fundamentally correlational. The book itself says this. Because institutions, income, conflict, and state capacity are jointly determined, cross-country regressions cannot by themselves isolate causal effects. Professional scholars would therefore treat the empirical evidence in these chapters as suggestive rather than dispositive. A natural improvement would be to use historically grounded quasi-experiments, panel designs, or credible instruments that isolate variation in war exposure, administrative reform, or nontax revenue. (pp. 11–12, 16–20, 91, 96–97)</w:t>
      </w:r>
    </w:p>
    <w:p w14:paraId="58113C61">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一个局限是，第1–2章中的经验分析本质上是相关性的。书里自己就明确承认了这一点。由于制度、收入、冲突和国家能力本来就是共同决定的，单靠跨国回归本身无法分离出因果效应。因此，专业学者一般只会把这里的经验结果看作 suggestive，而不会把它当作决定性的证据。一个自然的改进方向，是使用更扎实的历史准实验、面板设计，或者可信的工具变量，来识别战争暴露、行政改革或非税收入变化中的外生变异。 （第11–12页，第16–20页，第91页，第96–97页）</w:t>
      </w:r>
    </w:p>
    <w:p w14:paraId="57833D1B">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second limitation is that some key political variables are treated as exogenous in Chapter 2 even though the broader logic of the book suggests they are endogenous. Institutional cohesiveness and political stability are allowed to determine fiscal investment, but in these chapters they are not yet themselves explained. This is not a hidden flaw; it is part of the authors’ deliberate step-by-step strategy. Still, analytically, it means Chapter 2 explains state building only conditionally on a prior political environment. A stronger fully endogenous theory would have to model the joint evolution of institutions, stability, and state capacity more directly. (pp. 11–13, 15–16, 40–47)</w:t>
      </w:r>
    </w:p>
    <w:p w14:paraId="3CB3413B">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二个局限是，第二章把一些关键政治变量当成外生给定，尽管本书更大的逻辑其实暗示它们也是内生的。制度凝聚性和政治稳定性在第二章中被用来决定财政投资，但它们本身在这两章里还没有被解释。这并不是一个隐藏的缺陷，而是作者有意采取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逐步推进</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策略的一部分。尽管如此，从分析上说，这意味着第二章对国家建设的解释仍然是</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给定先前政治环境条件下</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的条件性解释。更强的完整内生理论，需要更直接地同时建模制度、稳定性与国家能力的共同演化。 （第11–13页，第15–16页，第40–47页）</w:t>
      </w:r>
    </w:p>
    <w:p w14:paraId="7F173298">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third limitation concerns measurement. The key theoretical concepts are elegant, but the empirical proxies are rough. Tax-to-GDP mixes capacity and policy choice. Executive constraints may capture some but not all of what the model calls institutional cohesiveness. War prevalence may proxy common-interest demand only imperfectly, because actual wars are not the same as perceived external threat, and wars are jointly determined across states. The authors themselves note some of these problems. Professional researchers would therefore want more fine-grained historical and institutional data, especially on administrative reforms, actual tax instruments, and state organization. (pp. 6–7, 16–20, 91–98)</w:t>
      </w:r>
    </w:p>
    <w:p w14:paraId="5E132C32">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第三个局限是测量问题。书中的关键理论概念很漂亮，但经验代理变量比较粗糙。税收占GDP混合了能力与政策选择；executive constraints 可能抓住了部分制度凝聚性，但不一定完全对应；战争发生率也只能不完美地代理共同利益公共品需求，因为实际战争并不等于主观威胁感知，而战争本身还是国家之间共同决定的结果。作者自己已经承认了这些问题中的一部分。因此，专业研究者通常会希望看到更细粒度的历史与制度数据，尤其是关于具体税务改革、税种结构和国家行政组织变迁的数据。 （第6–7页，第16–20页，第91–98页）</w:t>
      </w:r>
    </w:p>
    <w:p w14:paraId="64FF0CBE">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The fourth limitation is one of abstraction. The two-period, two-group model is analytically powerful, but it compresses a great deal of social complexity. It says little about bureaucracy as an organization, state-society bargaining below the national level, colonial legacies, or the international system beyond a stylized role for war and resource flows. This abstraction is a strength for theory, but it is also a cost. A richer model would need to incorporate more institutional texture and more historically specific mechanisms. (pp. 11–13, 40–47)</w:t>
      </w:r>
    </w:p>
    <w:p w14:paraId="13F3C346">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第四个局限是抽象程度。两期、两群体的模型在分析上非常有力，但它也压缩掉了大量社会复杂性。它几乎没有具体分析官僚机构作为组织是怎样运作的，也很少涉及国家以下层面的国家—社会 bargaining、殖民遗产，或者除战争与资源流动之外更完整的国际体系因素。这种抽象对于理论建构是优点，但它同时也是代价。一个更丰富的模型，需要把更多制度纹理与更具历史特异性的机制纳入进来。 （第11–13页，第40–47页）</w:t>
      </w:r>
    </w:p>
    <w:p w14:paraId="7D75CDC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w:t>
      </w:r>
    </w:p>
    <w:p w14:paraId="744301BD">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Extensions: What would professional scholars and researchers propose as a potential extension of the study or a new research question inspired by the paper.</w:t>
      </w:r>
    </w:p>
    <w:p w14:paraId="1A15F286">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One natural extension would be to move from cross-country comparison to within-country historical analysis. The model is fundamentally dynamic, but the empirical work in these chapters is mostly cross-sectional. A strong next step would be to examine when specific states adopted income taxes, VAT systems, cadastral registries, or withholding institutions, and to ask whether those changes followed the kinds of political and common-interest conditions identified by the model. Chapter 2 already shows historically that the spread of income tax and VAT reflects gradual fiscal upgrading; that insight could be turned into a much stronger event-history research design. (pp. 41–44, 91–98)</w:t>
      </w:r>
    </w:p>
    <w:p w14:paraId="0FBE05B7">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一个很自然的拓展方向，是从跨国比较转向国家内部的历史分析。模型本身是动态的，但这两章的经验工作大体还是横截面的。更强的一步，是去研究具体国家在什么时点引入所得税、增值税、地籍登记或者代扣代缴制度，并检验这些制度升级是否确实发生在模型所说的那类政治条件和共同利益条件之下。第二章已经展示了所得税与 VAT 的扩散体现了财政升级，这个洞见完全可以进一步转化为更有力的事件史研究设计。 （第41–44页，第91–98页）</w:t>
      </w:r>
    </w:p>
    <w:p w14:paraId="11EEAB70">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A second extension would be to connect the theory more directly to subnational variation. In many large countries, fiscal extraction and legal enforcement vary enormously across provinces, states, or municipalities. A subnational design would let researchers hold constant many national-level confounders while studying whether political cohesiveness, social heterogeneity, or resource dependence affect local state-building in the same way. This would also bring the framework closer to the comparative politics literature on uneven state formation. (pp. 5–7, 12–16, 40–47)</w:t>
      </w:r>
    </w:p>
    <w:p w14:paraId="6988F0E0">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二个拓展方向，是把这个理论更直接地应用到次国家层面的差异上。在很多大国内部，财政汲取与法律执行在省、州、市之间差异极大。次国家层面的研究设计可以在很大程度上控制全国层面的混杂因素，从而更清楚地考察政治凝聚性、社会异质性或资源依赖是否会以类似方式影响地方国家建设。这也会使本书框架更紧密地对接比较政治中关于不均衡国家形成的文献。 （第5–7页，第12–16页，第40–47页）</w:t>
      </w:r>
    </w:p>
    <w:p w14:paraId="224E6037">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A third extension would be to study whether different dimensions of state capacity are built sequentially or jointly. Chapter 1 announces that fiscal and legal capacity are linked, and Chapter 3 later formalizes their complementarity. A further research question would be whether one type typically comes first historically, or whether both must be built together to escape low-capacity traps. That question would connect the book’s theory to broader debates on developmental states, institutional sequencing, and path dependence. (pp. 7–8, 14–18, 37–38)</w:t>
      </w:r>
    </w:p>
    <w:p w14:paraId="66403C80">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中文： 第三个拓展方向，是研究不同维度的国家能力究竟是按顺序建设出来的，还是必须共同建设。第一章已经预告财政能力与法律能力之间存在联系，而第三章会正式证明两者的互补性。进一步的问题则可以是：历史上通常是哪一种能力先出现，还是说两者必须一起建设，国家才能摆脱低能力陷阱。这个问题能够把本书的理论进一步连接到发展型国家、制度时序和路径依赖等更广泛的争论中。 （第7–8页，第14–18页，第37–38页）</w:t>
      </w:r>
    </w:p>
    <w:p w14:paraId="4E57D05E">
      <w:pPr>
        <w:rPr>
          <w:rFonts w:hint="eastAsia" w:ascii="Times New Roman Regular" w:hAnsi="Times New Roman Regular" w:cs="Times New Roman Regular" w:eastAsiaTheme="minorEastAsia"/>
          <w:lang w:eastAsia="zh-CN"/>
        </w:rPr>
      </w:pPr>
      <w:r>
        <w:rPr>
          <w:rFonts w:hint="default" w:ascii="Times New Roman Regular" w:hAnsi="Times New Roman Regular" w:cs="Times New Roman Regular" w:eastAsiaTheme="minorEastAsia"/>
        </w:rPr>
        <w:t>English: A fourth extension would be to treat nationalism, identity formation, or state-led cultural homogenization as endogenous rather than given. Chapter 1 explicitly notes that ethnic homogeneity may itself be shaped by states, and it cites the possibility that European states cultivated common national identities to support warfare. That suggestion opens a major new question: can states first build common interests politically and culturally, and only then build stronger fiscal capacity? This would connect the book to nationalism studies and to the political sociology of nation building. (pp. 18–20, 39)</w:t>
      </w:r>
    </w:p>
    <w:p w14:paraId="606EEBB2">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中文： 第四个拓展方向，是把民族主义、身份形成或国家推动的文化同质化本身也内生化，而不是当作给定条件。第一章已经明确提到，族群同质性很可能也是被国家塑造出来的，并举出欧洲国家为了支持战争而培育共同民族认同的可能性。这个提示其实打开了一个很大的新问题：国家是否可能先在政治与文化层面</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制造共同利益</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，然后才进一步建设更强的财政能力？这会把本书和民族主义研究、nation building 的政治社会学更紧密地连接起来。 （第18–20页，第39页）</w:t>
      </w:r>
    </w:p>
    <w:p w14:paraId="42C4217B">
      <w:pPr>
        <w:rPr>
          <w:rFonts w:hint="default" w:ascii="Times New Roman Regular" w:hAnsi="Times New Roman Regular" w:cs="Times New Roman Regular" w:eastAsiaTheme="minorEastAsia"/>
        </w:rPr>
      </w:pPr>
    </w:p>
    <w:p w14:paraId="1CC75180">
      <w:pPr>
        <w:pStyle w:val="2"/>
        <w:keepNext w:val="0"/>
        <w:keepLines w:val="0"/>
        <w:widowControl/>
        <w:suppressLineNumbers w:val="0"/>
        <w:jc w:val="left"/>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Lecture Notes:</w:t>
      </w:r>
    </w:p>
    <w:p w14:paraId="3EDF0041">
      <w:pPr>
        <w:pStyle w:val="2"/>
        <w:keepNext w:val="0"/>
        <w:keepLines w:val="0"/>
        <w:widowControl/>
        <w:suppressLineNumbers w:val="0"/>
        <w:jc w:val="left"/>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Raised to Obey: The Rise and Spread of Mass Education</w:t>
      </w:r>
    </w:p>
    <w:p w14:paraId="4D288D8D">
      <w:pPr>
        <w:pStyle w:val="2"/>
        <w:keepNext w:val="0"/>
        <w:keepLines w:val="0"/>
        <w:widowControl/>
        <w:suppressLineNumbers w:val="0"/>
        <w:jc w:val="left"/>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(Chs. 1 &amp; 3)</w:t>
      </w:r>
    </w:p>
    <w:p w14:paraId="70B18D01">
      <w:pPr>
        <w:pStyle w:val="2"/>
        <w:keepNext w:val="0"/>
        <w:keepLines w:val="0"/>
        <w:widowControl/>
        <w:suppressLineNumbers w:val="0"/>
        <w:jc w:val="left"/>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讲义：《养育以服从：大众教育的兴起与传播》（第1、3章）</w:t>
      </w:r>
    </w:p>
    <w:p w14:paraId="58AF98B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2935E65F">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English: Raised to Obey: The Rise and Spread of Mass Education, Chapter 1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Education and Social Order</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 and Chapter 3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Why Do Governments Regulate and Provide Mass Education?</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w:t>
      </w:r>
    </w:p>
    <w:p w14:paraId="4E86E71E">
      <w:pPr>
        <w:rPr>
          <w:rFonts w:hint="eastAsia"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rPr>
        <w:t>中文： 《养育以服从：大众教育的兴起与传播》，第1章</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教育与社会秩序</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和第3章</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政府为何规制并提供大众教育？</w:t>
      </w:r>
      <w:r>
        <w:rPr>
          <w:rFonts w:hint="eastAsia" w:ascii="Times New Roman Regular" w:hAnsi="Times New Roman Regular" w:cs="Times New Roman Regular"/>
          <w:lang w:val="en-US" w:eastAsia="zh-CN"/>
        </w:rPr>
        <w:t>”</w:t>
      </w:r>
    </w:p>
    <w:p w14:paraId="22CB9C6E">
      <w:pPr>
        <w:rPr>
          <w:rFonts w:hint="default" w:ascii="Times New Roman Regular" w:hAnsi="Times New Roman Regular" w:cs="Times New Roman Regular" w:eastAsiaTheme="minorEastAsia"/>
        </w:rPr>
      </w:pPr>
    </w:p>
    <w:p w14:paraId="1D82A32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159879A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English: Agustina S. Paglayan. She is a political scientist working on education, state-building, and political development. </w:t>
      </w:r>
    </w:p>
    <w:p w14:paraId="5227404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中文： Agustina S. Paglayan，比较政治与政治发展方向学者，本书将教育政治与国家建设问题结合起来讨论。 </w:t>
      </w:r>
    </w:p>
    <w:p w14:paraId="34BE55F5">
      <w:pPr>
        <w:rPr>
          <w:rFonts w:hint="default" w:ascii="Times New Roman Regular" w:hAnsi="Times New Roman Regular" w:cs="Times New Roman Regular" w:eastAsiaTheme="minorEastAsia"/>
        </w:rPr>
      </w:pPr>
    </w:p>
    <w:p w14:paraId="6B382F5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出版年份</w:t>
      </w:r>
    </w:p>
    <w:p w14:paraId="176E481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English: 2024, Princeton University Press. </w:t>
      </w:r>
    </w:p>
    <w:p w14:paraId="0A35804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中文： 2024年，普林斯顿大学出版社。 </w:t>
      </w:r>
    </w:p>
    <w:p w14:paraId="49BC3F84">
      <w:pPr>
        <w:rPr>
          <w:rFonts w:hint="default" w:ascii="Times New Roman Regular" w:hAnsi="Times New Roman Regular" w:cs="Times New Roman Regular" w:eastAsiaTheme="minorEastAsia"/>
        </w:rPr>
      </w:pPr>
    </w:p>
    <w:p w14:paraId="08D5C1F2">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DV: Main Dependent Variable / 因变量</w:t>
      </w:r>
    </w:p>
    <w:p w14:paraId="36E429F9">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The central outcome of the book is the emergence and expansion of state-regulated primary education systems. In Chapters 1 and 3, this is the main object to be explained: why central governments began to regulate, fund, monitor, and expand primary education for the masses, rather than leaving children’s education to families, churches, and local communities. More specifically, the book is interested in at least two closely related dimensions of this outcome. First, it studies the emergence of state intervention in primary education: when governments began to monitor enrollment, fund schools, regulate curricula, regulate teacher training/certification, require provision, or pass compulsory schooling laws. Second, it studies the expansion of access to primary schooling, most visibly through rising enrollment rates. Chapters 1 and 3 also make clear that the shape of these systems matters—curriculum, teacher policy, inspection, and classroom discipline are not secondary details but part of what the state was building—though the detailed analysis of institutional design is developed more fully in later chapters.本书的核心因变量是国家规制的初等教育体系的出现与扩张。在第1章和第3章中，作者主要试图解释的是：中央政府为何开始规制、资助、监测并扩张面向大众的初等教育，而不是继续把儿童教育留给家庭、教会和地方社会。更具体说，这个结果至少有两个紧密相关的维度。第一，是国家干预的出现：政府何时开始监测入学、资助学校、规定课程、规制教师训练与认证、要求普及供给、通过义务教育法。第二，是初等教育覆盖面的扩张，最直观地体现在入学率上升。第1章和第3章也明确表明，教育体系的制度形态同样重要——课程内容、教师政策、督学制度和课堂纪律，并不是附带细节，而是国家所建构之体系的一部分；只是对制度设计的细致分析主要在后续章节展开。</w:t>
      </w:r>
    </w:p>
    <w:p w14:paraId="5F7CD3BF">
      <w:pPr>
        <w:rPr>
          <w:rFonts w:hint="default" w:ascii="Times New Roman Regular" w:hAnsi="Times New Roman Regular" w:cs="Times New Roman Regular" w:eastAsiaTheme="minorEastAsia"/>
        </w:rPr>
      </w:pPr>
    </w:p>
    <w:p w14:paraId="37D5A886">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IV: Main Independent Variable / 自变量</w:t>
      </w:r>
    </w:p>
    <w:p w14:paraId="52986A99">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The main explanatory factor is violent internal conflict involving the masses and perceived by national elites as threatening social order and the state’s stability. The book uses civil war as a particularly tractable empirical indicator in Chapter 2, but Chapters 1 and 3 make clear that the broader concept is not limited to civil war alone. It also includes peasant revolts, food riots, insurrections, social revolutions, mass protests, and other episodes of internal disorder that reveal the danger of mass violence and intensify elite fears of anarchy, crime, or political instability. What matters is not merely conflict in the abstract, but internal conflict that convinces elites that existing tools—repression, concessions, and church-led moral instruction—are insufficient to preserve order.主要解释变量是涉及大众并被国家精英感知为威胁社会秩序和国家稳定的暴力性内部冲突。作者在第2章中用内战作为较容易操作化的经验指标，但第1章和第3章都明确指出，更一般的概念并不限于内战。它还包括农民起义、粮食骚乱、暴动、社会革命、大规模抗议以及其他形式的内部失序事件。这些事件的关键不只是</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有冲突</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，而是它们让精英相信：既有工具——镇压、让步、以及由教会承担的道德教化——已不足以维持秩序。</w:t>
      </w:r>
    </w:p>
    <w:p w14:paraId="088BFD21">
      <w:pPr>
        <w:rPr>
          <w:rFonts w:hint="default" w:ascii="Times New Roman Regular" w:hAnsi="Times New Roman Regular" w:cs="Times New Roman Regular" w:eastAsiaTheme="minorEastAsia"/>
        </w:rPr>
      </w:pPr>
    </w:p>
    <w:p w14:paraId="1A06B44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highlight w:val="yellow"/>
        </w:rPr>
        <w:t xml:space="preserve">Stateness: Conceptualization and Measurement of the </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highlight w:val="yellow"/>
          <w:lang w:val="en-US"/>
        </w:rPr>
        <w:t>State</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eastAsiaTheme="minorEastAsia"/>
          <w:highlight w:val="yellow"/>
        </w:rPr>
        <w:t xml:space="preserve"> / </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highlight w:val="yellow"/>
          <w:lang w:val="en-US"/>
        </w:rPr>
        <w:t>国家</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eastAsiaTheme="minorEastAsia"/>
          <w:highlight w:val="yellow"/>
        </w:rPr>
        <w:t>与</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highlight w:val="yellow"/>
          <w:lang w:val="en-US"/>
        </w:rPr>
        <w:t>国家建设</w:t>
      </w:r>
      <w:r>
        <w:rPr>
          <w:rFonts w:hint="eastAsia" w:ascii="Times New Roman Regular" w:hAnsi="Times New Roman Regular" w:cs="Times New Roman Regular"/>
          <w:highlight w:val="yellow"/>
          <w:lang w:val="en-US" w:eastAsia="zh-CN"/>
        </w:rPr>
        <w:t>”</w:t>
      </w:r>
      <w:r>
        <w:rPr>
          <w:rFonts w:hint="default" w:ascii="Times New Roman Regular" w:hAnsi="Times New Roman Regular" w:cs="Times New Roman Regular" w:eastAsiaTheme="minorEastAsia"/>
          <w:highlight w:val="yellow"/>
        </w:rPr>
        <w:t>的概念化与测量</w:t>
      </w:r>
    </w:p>
    <w:p w14:paraId="5D043838">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 xml:space="preserve">Paglayan conceptualizes the state in a classical state-building sense: as a centralized political authority whose defining function is to maintain social order and consolidate authority within a territory. She explicitly situates her argument against accounts that explain state-building mainly through war-making, coercion, and extraction. Her claim is not that coercion and fiscal centralization were unimportant, but that they were incomplete. In addition to repression and concessions, rulers also invested in indoctrination, and mass primary education became one of the main instruments through which they sought to mold obedient future citizens. Thus, in this book,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state-building</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 xml:space="preserve"> refers not only to armies, taxes, and bureaucracy, but also to the capacity of central governments to regulate the education of children, impose common rules, shape moral instruction, certify teachers, and inspect schools. Empirically, the book does not build a single abstract </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stateness index.</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 xml:space="preserve"> Instead, it tracks concrete manifestations of central state penetration into primary education: enrollment monitoring, state funding, curriculum regulation, teacher regulation, compulsory schooling, and related interventions.帕格拉扬以一种典型的国家建设视角来理解国家：国家是维持社会秩序、在一片领土内巩固中央权威的集中化政治权威。她明确将自己的论证置于那些主要通过战争、强制和汲取来解释国家建设的传统叙事之外。她的意思不是说强制和财政集权不重要，而是说这还不够。除了镇压和让步之外，统治者还会投资于灌输/教化，而大众初等教育正是他们塑造未来顺从臣民的重要工具之一。因此，本书中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国家建设</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不仅涉及军队、税收和官僚制，也涉及中央政府规制儿童教育、规定统一规则、塑造道德教育、认证教师和督查学校的能力。经验上，作者并没有构造一个单一抽象的</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国家性指数</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，而是追踪中央国家渗透进初等教育的具体表现：入学监测、国家资助、课程规制、教师规制、义务教育法等。</w:t>
      </w:r>
    </w:p>
    <w:p w14:paraId="2EA137AB">
      <w:pPr>
        <w:rPr>
          <w:rFonts w:hint="default" w:ascii="Times New Roman Regular" w:hAnsi="Times New Roman Regular" w:cs="Times New Roman Regular" w:eastAsiaTheme="minorEastAsia"/>
        </w:rPr>
      </w:pPr>
    </w:p>
    <w:p w14:paraId="6FA2183A">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Argument: Core Argument / 核心论点</w:t>
      </w:r>
    </w:p>
    <w:p w14:paraId="25571F4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core argument is that state-regulated mass primary education emerged and spread in the West primarily as a state-building strategy for promoting long-term social order, not primarily as a response to democratization, industrialization, or external military rivalry. The book makes this argument in two linked steps.</w:t>
      </w:r>
    </w:p>
    <w:p w14:paraId="0C91EEB3">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First, it reconstructs an intellectual history: beginning in the early modern period, social contract thinkers, rulers, and reformers increasingly came to believe that primary education could be used to shape children’s beliefs, habits, and moral character in ways favorable to political order. By the late eighteenth century, absolutist Prussia had become the paradigmatic case in which schooling was explicitly connected to discipline, obedience, and respect for sovereign authority. These ideas then diffused widely across Europe and the Americas through reformers, official missions, educational travel, and influential texts.</w:t>
      </w:r>
    </w:p>
    <w:p w14:paraId="319AEB7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the book argues that the diffusion of these ideas alone cannot explain when centralized education reform actually happened. The crucial missing link was political traction. National elites often resisted state-controlled mass education at first, either because they thought moral education should remain in the hands of parents and the Church, or because they thought the state lacked the resources to undertake so expensive a project. What changed elite coalitions was internal conflict. Episodes of violent disorder increased elite fears that the masses threatened property, life, power, and the viability of the state, while also exposing the limits of traditional tools for keeping order. Under those conditions, proposals for state-regulated primary education became politically attractive because schools promised a long-term way to teach future citizens obedience, discipline, respect for authority, and acceptance of the status quo. In this sense, mass schooling was fundamentally an internal security and state-building project, even if it later also served redistributive, economic, or nation-building purposes.核心论点是：西方国家规制的大众初等教育体系，首先是作为一种促进长期社会秩序的国家建设策略而出现和扩张的，而不是首先由民主化、工业化或外部军事竞争所驱动。 这一论证有两个相互衔接的步骤。</w:t>
      </w:r>
    </w:p>
    <w:p w14:paraId="3EB6F81D">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第一，作者重构了一条思想史脉络：从近代早期开始，社会契约论者、统治者和改革者越来越相信，初等教育可以用来塑造儿童的信念、习惯和道德品格，从而服务于政治秩序。到18世纪后期，专制普鲁士成为最具代表性的案例，在那里，学校被明确地与纪律、服从以及对主权权威的尊重联系起来。随后，这套观念通过改革者流动、官方考察、教育旅行和关键文本，在欧洲和美洲广泛传播。</w:t>
      </w:r>
    </w:p>
    <w:p w14:paraId="420856C7">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第二，作者认为：观念扩散本身不足以解释国家何时真正启动中央化教育改革。 真正关键的是政治上的 traction。起初，许多国家精英并不支持国家控制的大众教育，因为他们认为道德教育应继续由父母和教会负责，或者认为国家无力承担如此昂贵的事业。改变精英联盟的是内部冲突。暴力失序事件强化了精英对大众威胁财产、生命、权力以及国家存续的恐惧，同时也暴露出传统维稳工具的局限。正是在这种条件下，国家规制的初等教育方案才变得具有政治吸引力，因为学校承诺提供一种长期方案：从儿童时期就教会未来公民服从、守纪律、尊重权威并接受现状。就此意义而言，大众学校首先是一个内部安全与国家建设工程，即便它后来也承载了再分配、经济发展或民族建构等目标。</w:t>
      </w:r>
    </w:p>
    <w:p w14:paraId="145AA0C4">
      <w:pPr>
        <w:rPr>
          <w:rFonts w:hint="default" w:ascii="Times New Roman Regular" w:hAnsi="Times New Roman Regular" w:cs="Times New Roman Regular" w:eastAsiaTheme="minorEastAsia"/>
        </w:rPr>
      </w:pPr>
    </w:p>
    <w:p w14:paraId="7291798D">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Mechanisms / 机制</w:t>
      </w:r>
    </w:p>
    <w:p w14:paraId="5F00D12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Paglayan develops mechanisms at two levels.</w:t>
      </w:r>
    </w:p>
    <w:p w14:paraId="77C0A434">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At the political level, internal conflict changes elite incentives and beliefs. Violent episodes generate fear of the masses and reveal that the status quo is more fragile than elites had assumed. They can also reveal the weakness of existing tools: repression may fail, police may defect or sympathize with protesters, and church-based moral education may seem inadequate to produce orderly subjects. These crises therefore help build broader elite coalitions in favor of centralized schooling. Ideas about moral education already existed, but internal conflict made them newly urgent and politically actionable.</w:t>
      </w:r>
    </w:p>
    <w:p w14:paraId="299EA77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At the school level, the chapter identifies three main indoctrination mechanisms. First, schools use punishment and reward to teach children that obedience, compliance, and respect for authority are in their own interest. Second, schools teach children to accept their place in society, cultivating moderation, self-sacrifice, and the idea that happiness lies in accepting one’s lot rather than rebelling. Third, schools cultivate habits of obedience through repetition, routines, schedules, silence, marching, recitation, and repeated exposure to morally loaded language in primers and textbooks. Across all three mechanisms, the defining feature is that children are taught to internalize norms and values without room for critical questioning. The chapter then adds two further functions of schooling relevant to order: schools could also keep children off the streets during the day, and teachers could serve as local monitors of children and families.帕格拉扬在两个层次上展开机制。</w:t>
      </w:r>
    </w:p>
    <w:p w14:paraId="447BE728">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在政治层面，内部冲突改变了精英的激励与认知。暴力事件会激发对大众的恐惧，并让精英意识到现有秩序比他们原先认为的更加脆弱。它还会暴露既有工具的不足：镇压可能失败，警察可能倒向抗议者，教会式道德教化也可能显得不足以塑造守序臣民。因此，这类危机会帮助形成更广泛的精英联盟，使其转而支持中央化学校体系。也就是说，道德教育的观念原本已经存在，但内部冲突使它突然变得迫切且具有政治可行性。</w:t>
      </w:r>
    </w:p>
    <w:p w14:paraId="0C30F16A">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在学校层面，第3章明确提出了三种主要的灌输机制。第一，学校通过惩罚与奖赏，让儿童理解服从、守规矩和尊重权威符合他们自己的利益。第二，学校教儿童接受自己的社会位置，培养节制、自我牺牲，并灌输</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lang w:val="en-US"/>
        </w:rPr>
        <w:t>幸福来自接受自己的命运，而不是反抗现状</w:t>
      </w:r>
      <w:r>
        <w:rPr>
          <w:rFonts w:hint="eastAsia" w:ascii="Times New Roman Regular" w:hAnsi="Times New Roman Regular" w:cs="Times New Roman Regular"/>
          <w:lang w:val="en-US" w:eastAsia="zh-CN"/>
        </w:rPr>
        <w:t>”</w:t>
      </w:r>
      <w:r>
        <w:rPr>
          <w:rFonts w:hint="default" w:ascii="Times New Roman Regular" w:hAnsi="Times New Roman Regular" w:cs="Times New Roman Regular" w:eastAsiaTheme="minorEastAsia"/>
        </w:rPr>
        <w:t>的观念。第三，学校通过重复来塑造服从习惯：时间表、日常程序、安静行进、机械背诵，以及识字教材中不断重复的道德化语言，都会把服从内化为习惯。这三种机制的共同点在于：儿童被要求在没有批判性质疑空间的情况下内化规范与价值。第3章还补充了两个与秩序相关的功能：学校能在白天把儿童从街头隔离出去，而教师也能成为监视儿童及其家庭行为的地方性观察者。</w:t>
      </w:r>
    </w:p>
    <w:p w14:paraId="12ACA03C">
      <w:pPr>
        <w:rPr>
          <w:rFonts w:hint="default" w:ascii="Times New Roman Regular" w:hAnsi="Times New Roman Regular" w:cs="Times New Roman Regular" w:eastAsiaTheme="minorEastAsia"/>
        </w:rPr>
      </w:pPr>
    </w:p>
    <w:p w14:paraId="636D5671">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Data / 数据</w:t>
      </w:r>
    </w:p>
    <w:p w14:paraId="6F879E2E">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Because these notes focus on Chapters 1 and 3, the data section should distinguish clearly between what those chapters themselves do and what they preview from the broader book. Chapter 1 introduces two major empirical enterprises. First, the book collects information on the timing of central government intervention in primary education across countries, including enrollment monitoring and, for a subset of Western European and Latin American countries, more detailed forms of intervention such as funding, curriculum regulation, teacher regulation, universal provision, and compulsory schooling. Second, the book assembles a long-run dataset of primary school enrollment for forty-two countries in Europe and the Americas from 1828 onward, complemented by Lee and Lee’s broader global dataset. Chapter 1 also signals that later chapters will use parliamentary debates, political correspondence, government reports, landmark education laws, textbooks, and teacher manuals to study motives and institutional design. Chapter 3 then draws on this broader historical archive and on intellectual history to reconstruct how rulers and reformers thought about education as a tool of order, discipline, and obedience.由于这份讲义聚焦第1章和第3章，数据部分应当区分清楚：哪些是这两章本身直接展开的，哪些是它们为全书预告的。第1章主要介绍了两项大的经验工作。第一，作者收集了各国中央政府何时开始介入初等教育的信息，包括入学监测；对于部分西欧和拉美国家，还收集了更细的干预形式，如国家资助、课程规制、教师规制、普及供给与义务教育等。第二，作者构建了一个覆盖欧洲和美洲42国、从1828年起的长期初等教育入学数据集，并用 Lee and Lee 的全球数据集进行补充。第1章同时说明，后续章节还将使用议会辩论、政治通信、政府报告、里程碑式教育法、教科书和教师手册，来分析教育改革的动机与制度设计。第3章则更多依靠这一更广泛的历史档案和思想史材料，来重构统治者与改革者如何将教育理解为秩序、纪律和服从的工具。</w:t>
      </w:r>
    </w:p>
    <w:p w14:paraId="25363D1D">
      <w:pPr>
        <w:rPr>
          <w:rFonts w:hint="default" w:ascii="Times New Roman Regular" w:hAnsi="Times New Roman Regular" w:cs="Times New Roman Regular" w:eastAsiaTheme="minorEastAsia"/>
        </w:rPr>
      </w:pPr>
    </w:p>
    <w:p w14:paraId="7045BA78">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Methods / 方法</w:t>
      </w:r>
    </w:p>
    <w:p w14:paraId="567273C5">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In Chapters 1 and 3, the method is best described as a historical-institutional and theory-building strategy rather than a single causal identification design. Chapter 1 establishes the empirical puzzle and previews broad descriptive patterns: Western countries began regulating and expanding primary education earlier than others, and enrollment accelerated more clearly after internal conflict than after democratization. Chapter 3 then develops the theory that explains these patterns by combining intellectual history, conceptual argument, and historically grounded mechanism analysis. The full book later supplements this with cross-national descriptive analysis and country case studies, but in Chapters 1 and 3 the main methodological move is to identify a pattern that existing theories do not explain well and then provide a historically grounded alternative theory about motives, sequencing, and mechanisms. This means that the evidentiary burden in these chapters is not to present a fully identified causal estimate, but to show that the author’s interpretation is historically plausible, theoretically coherent, and better able than rival theories to make sense of when and why state-regulated primary education emerged.在第1章和第3章中，方法上最准确的表述是：作者采用的是一种历史制度主义式、兼具理论建构性质的研究策略，而不是单一的因果识别设计。第1章先建立经验谜题，并预告若干总体描述性模式：西方国家更早开始规制和扩张初等教育；与民主化相比，内部冲突之后更明显出现入学扩张。第3章则在此基础上发展理论，通过思想史、概念论证和扎根于历史材料的机制分析来解释这些模式。全书后续当然还会辅以跨国描述分析和国家案例研究，但就第1章和第3章而言，主要的方法动作是：指出现有理论解释不足之处，再提出一个更能解释动机、时序和机制的历史性替代理论。也就是说，这两章的任务并不是给出一个完全识别的因果估计，而是证明作者的解释在历史上可信、在理论上自洽，并且比竞争性理论更能说明国家规制初等教育何时、为何出现。</w:t>
      </w:r>
    </w:p>
    <w:p w14:paraId="72A6A350">
      <w:pPr>
        <w:rPr>
          <w:rFonts w:hint="default" w:ascii="Times New Roman Regular" w:hAnsi="Times New Roman Regular" w:cs="Times New Roman Regular" w:eastAsiaTheme="minorEastAsia"/>
        </w:rPr>
      </w:pPr>
    </w:p>
    <w:p w14:paraId="0F6E372A">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Contribution / 学术贡献</w:t>
      </w:r>
    </w:p>
    <w:p w14:paraId="57AC671E">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book’s contribution is both substantive and theoretical.</w:t>
      </w:r>
    </w:p>
    <w:p w14:paraId="3FC5A225">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First, it offers a major reinterpretation of the rise of mass primary education. Instead of treating schooling mainly as a progressive response to social demand, democratization, industrial skill needs, or military competition, it argues that the first-order historical driver was social order and state-building. This reorders the usual causal hierarchy in the literature.</w:t>
      </w:r>
    </w:p>
    <w:p w14:paraId="11224938">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Second, the book revives and sharpens social control theories of education. Rather than simply saying that schools reproduce domination in a broad sociological sense, Paglayan specifies who the relevant actor is (the central state), what problem it is trying to solve (violent internal disorder), and through what institutional means it acts (curriculum, teacher policy, inspection, and mass schooling itself). In that sense, the book gives social control theories much more historical and institutional precision.</w:t>
      </w:r>
    </w:p>
    <w:p w14:paraId="35843C2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Third, the argument contributes to state-building theory by adding mass education as a key instrument of ideological and moral regulation. The state is not only extracting and coercing; it is also penetrating society through the everyday governance of childhood. This is an important extension of classical state-building frameworks. </w:t>
      </w:r>
    </w:p>
    <w:p w14:paraId="1BF6BAB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Fourth, the book has contemporary importance because it reframes modern schooling problems. It suggests that the difficulty many education systems have in teaching skills may not simply reflect poor policy design today, but also the deep historical legacy of systems originally built to teach obedience and order rather than autonomy and critical reasoning. 本书的贡献既是经验性的，也是理论性的。</w:t>
      </w:r>
    </w:p>
    <w:p w14:paraId="2C013854">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第一，它重新解释了大众初等教育兴起的历史。它不再把学校主要理解为回应社会需求、民主化、工业技能需求或军事竞争的进步性政策，而是指出，最根本的历史驱动力其实是社会秩序与国家建设。这实际上改写了相关文献中通常默认的因果主次。</w:t>
      </w:r>
    </w:p>
    <w:p w14:paraId="54941A65">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第二，本书重新激活并细化了教育的社会控制理论。它不是笼统地说学校复制支配，而是明确了行动者是谁（中央国家）、要解决什么问题（暴力性的内部失序）、以及通过何种制度工具发挥作用（课程、教师政策、督学制度和大众学校本身）。就此而言，它让社会控制理论获得了更强的历史与制度精确性。</w:t>
      </w:r>
    </w:p>
    <w:p w14:paraId="62B44203">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第三，它对国家建设理论也有推进作用，因为它把大众教育纳入国家治理工具箱，作为道德规训和意识形态塑造的重要手段。国家不仅在征税和强制，也在通过对童年日常生活的治理渗透社会。这个视角是对经典国家建设框架的重要扩展。 </w:t>
      </w:r>
    </w:p>
    <w:p w14:paraId="73545D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第四，本书对当代教育问题也具有现实意义。它提示我们：许多教育体系迟迟难以有效教授技能，未必只是今天政策设计不佳，也可能与这些体系深层的历史遗产有关——它们最初被建立出来，首先是为了教授服从与秩序，而不是自主性与批判性思考。 </w:t>
      </w:r>
    </w:p>
    <w:p w14:paraId="133A4B33">
      <w:pPr>
        <w:rPr>
          <w:rFonts w:hint="default" w:ascii="Times New Roman Regular" w:hAnsi="Times New Roman Regular" w:cs="Times New Roman Regular" w:eastAsiaTheme="minorEastAsia"/>
        </w:rPr>
      </w:pPr>
    </w:p>
    <w:p w14:paraId="6FD5B429">
      <w:pPr>
        <w:rPr>
          <w:rFonts w:hint="default" w:ascii="Times New Roman Regular" w:hAnsi="Times New Roman Regular" w:cs="Times New Roman Regular" w:eastAsiaTheme="minorEastAsia"/>
          <w:highlight w:val="yellow"/>
        </w:rPr>
      </w:pPr>
      <w:r>
        <w:rPr>
          <w:rFonts w:hint="default" w:ascii="Times New Roman Regular" w:hAnsi="Times New Roman Regular" w:cs="Times New Roman Regular" w:eastAsiaTheme="minorEastAsia"/>
          <w:highlight w:val="yellow"/>
        </w:rPr>
        <w:t>Suggestions: Limitations and Possible Improvements / 局限性与改进建议</w:t>
      </w:r>
    </w:p>
    <w:p w14:paraId="6A5986F9">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A first limitation is that, in Chapters 1 and 3, the argument is highly persuasive as historical theory, but it is not yet a tightly identified causal design. The author establishes a compelling pattern and offers a strong mechanism-based interpretation, but skepticism remains possible: internal conflict may coincide with other changes in state capacity, territorial consolidation, or fiscal development that also facilitate educational expansion. This does not refute the argument, but it means the early chapters are stronger on historical plausibility and theoretical integration than on causal isolation.</w:t>
      </w:r>
    </w:p>
    <w:p w14:paraId="1CA968FB">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A second limitation is scope. The early chapters are explicitly centered on the Western experience, especially Europe and Latin America. The argument may travel more broadly, but the book’s strongest evidence in these chapters is about the Western path to state-regulated primary education. This leaves open the question of how far the same logic applies in colonial and postcolonial settings in Africa and Asia, where empire, missionary education, decolonization, and Cold War politics may have altered the relationship between education and state-building. </w:t>
      </w:r>
    </w:p>
    <w:p w14:paraId="4313BEB1">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A third limitation concerns implementation. Chapters 1 and 3 convincingly show what elites wanted schools to do and how they designed systems to pursue those goals. But they say less, at this stage, about the degree to which teachers actually implemented this project in practice, whether families complied, and how much classroom reality diverged from official design. The book signals that later chapters will address these issues, but within Chapters 1 and 3 the emphasis remains more on elite intentions and system design than on everyday implementation outcomes.第一项局限是：就第1章和第3章而言，这个论证作为历史理论非常有说服力，但它还不是一个严格识别的因果设计。作者确立了一个很强的经验模式，也给出了机制导向的解释，但怀疑空间仍然存在：内部冲突可能与国家能力提升、领土整合、财政发展等其他变化同时发生，而这些变化本身也可能推动教育扩张。这并不推翻作者的论证，但意味着前两章更强的是历史可信性与理论整合，而不是因果隔离。</w:t>
      </w:r>
    </w:p>
    <w:p w14:paraId="22AD5EFC">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第二项局限是适用范围。前两章明确把重点放在西方经验，尤其是欧洲和拉丁美洲。这个理论也许可以更广泛适用，但这两章中最有力的证据主要还是在说明西方国家规制初等教育的形成路径。这就留下了一个问题：在非洲和亚洲的殖民与后殖民语境中，当帝国统治、传教教育、去殖民化和冷战政治叠加在一起时，教育与国家建设之间的关系是否仍遵循同样逻辑。 </w:t>
      </w:r>
    </w:p>
    <w:p w14:paraId="47BDABFD">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第三项局限涉及实施层面。第1章和第3章很有说服力地展示了精英想让学校做什么，以及他们如何把教育体系设计成实现这些目标的工具。但在这一步，它们对教师是否真正按此执行、家庭如何回应、以及课堂现实在多大程度上偏离官方设计，讨论得还不多。作者确实预告后续章节会处理这些问题，但在第1章和第3章中，重点仍主要放在精英意图与制度设计，而不是日常实施结果。</w:t>
      </w:r>
    </w:p>
    <w:p w14:paraId="7D3327B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D4503BA">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Extensions: Potential Research Directions / 延伸：潜在研究方向</w:t>
      </w:r>
    </w:p>
    <w:p w14:paraId="38134477">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One natural extension is to ask whether schools actually achieved the order-promoting effects elites expected. The early chapters explain why rulers believed mass schooling would pacify future citizens, but they do not yet show whether this belief was correct. A follow-up project could examine whether greater exposure to state-regulated primary education reduced later protest, crime, rebellion, or other forms of disorder. </w:t>
      </w:r>
    </w:p>
    <w:p w14:paraId="04BBC5CE">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A second extension is to compare education with other instruments of ideological regulation. The book already places education alongside repression and concessions; future research could more explicitly compare schools with churches, conscription, youth organizations, or modern digital surveillance as alternative tools for molding compliant citizens.</w:t>
      </w:r>
    </w:p>
    <w:p w14:paraId="08C51838">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A third extension is to move vertically across levels of education. The book emphasizes that primary education for the masses was historically distinct from secondary and tertiary education for elites. This raises the question of whether the same internal-conflict logic also helps explain later expansions of secondary education, or whether at higher levels other logics—human capital, democratization, welfare politics—become more important. </w:t>
      </w:r>
    </w:p>
    <w:p w14:paraId="4AB0257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A fourth extension is to test the argument subnationally. If internal conflict is the trigger, then regions within a country that pose greater threats to the state may receive earlier or more intensive educational intervention. The logic of the book suggests that within-country variation could be especially revealing, because it would hold constant many national-level confounders. </w:t>
      </w:r>
    </w:p>
    <w:p w14:paraId="618B7A6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 fifth extension is intellectual-historical. Paglayan reconstructs a lineage from early modern European political thought to Prussian practice and then to broader diffusion. Future work could ask whether comparable traditions existed outside Europe—for instance in China, the Ottoman Empire, or South Asia—and whether they linked education to order and political authority in similar or different ways.</w:t>
      </w:r>
      <w:r>
        <w:rPr>
          <w:rFonts w:hint="default" w:ascii="Times New Roman Regular" w:hAnsi="Times New Roman Regular" w:cs="Times New Roman Regular"/>
          <w:lang w:val="en-US"/>
        </w:rPr>
        <w:t>’</w:t>
      </w:r>
      <w:r>
        <w:rPr>
          <w:rFonts w:hint="default" w:ascii="Times New Roman Regular" w:hAnsi="Times New Roman Regular" w:cs="Times New Roman Regular" w:eastAsiaTheme="minorEastAsia"/>
        </w:rPr>
        <w:t xml:space="preserve">一个自然的延伸问题是：学校是否真的实现了精英所期待的维持秩序效果。前两章解释了统治者为什么相信大众学校能驯化未来公民，但尚未证明这种信念是否正确。后续研究可以考察：更高程度地暴露于国家规制初等教育，是否真的降低了后来的抗议、犯罪、叛乱或其他形式的失序。 </w:t>
      </w:r>
    </w:p>
    <w:p w14:paraId="709FFD2A">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第二个延伸方向，是把教育与其他意识形态规制工具放在一起比较。作者已经把教育与镇压、让步并列；未来研究可以更系统地比较学校、教会、征兵制、青年组织，乃至现代数字监控，作为塑造顺从公民的不同制度工具。</w:t>
      </w:r>
    </w:p>
    <w:p w14:paraId="43297540">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第三个延伸方向，是沿着教育层级向上追问。作者强调，面向大众的初等教育与面向精英的中等、高等教育在历史上是分开的。这就提出一个问题：同样的内部冲突逻辑，是否也能解释后来中等教育的扩张？还是说到了更高教育层级，人力资本、民主化或福利政治等逻辑会变得更重要。 </w:t>
      </w:r>
    </w:p>
    <w:p w14:paraId="611A1F8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第四个延伸方向，是做次国家层面的检验。如果内部冲突是触发因素，那么一国内部那些更可能威胁国家的地区，是否会更早或更强地成为教育干预对象？这本书的逻辑事实上暗示，国内地区差异可能特别有价值，因为它能在很大程度上控制国家层面的共同混淆因素。 </w:t>
      </w:r>
    </w:p>
    <w:p w14:paraId="7315E430">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第五个延伸方向，是思想史的比较。帕格拉扬重建了从近代欧洲政治思想到普鲁士实践，再到跨国扩散的谱系。未来可以追问：欧洲之外是否也存在将教育与秩序、政治权威联系起来的思想传统，例如在中国、奥斯曼帝国或南亚，这些传统与欧洲路径是相似还是不同。</w:t>
      </w:r>
    </w:p>
    <w:p w14:paraId="2757BBFD">
      <w:pPr>
        <w:rPr>
          <w:rFonts w:hint="default" w:ascii="Times New Roman Regular" w:hAnsi="Times New Roman Regular" w:cs="Times New Roman Regular" w:eastAsiaTheme="minorEastAsia"/>
        </w:rPr>
      </w:pPr>
    </w:p>
    <w:p w14:paraId="70F726EE">
      <w:pPr>
        <w:pStyle w:val="2"/>
        <w:keepNext w:val="0"/>
        <w:keepLines w:val="0"/>
        <w:widowControl/>
        <w:suppressLineNumbers w:val="0"/>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Lecture Notes: </w:t>
      </w:r>
      <w:r>
        <w:rPr>
          <w:rStyle w:val="8"/>
          <w:rFonts w:hint="default" w:ascii="Times New Roman Regular" w:hAnsi="Times New Roman Regular" w:cs="Times New Roman Regular" w:eastAsiaTheme="minorEastAsia"/>
          <w:b w:val="0"/>
          <w:i w:val="0"/>
        </w:rPr>
        <w:t>Blood is Thicker Than Water: Elite Kinship Networks and State Building in Imperial China</w:t>
      </w:r>
    </w:p>
    <w:p w14:paraId="40096465">
      <w:pPr>
        <w:pStyle w:val="2"/>
        <w:keepNext w:val="0"/>
        <w:keepLines w:val="0"/>
        <w:widowControl/>
        <w:suppressLineNumbers w:val="0"/>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讲义：《血浓于水：帝制中国的精英宗族网络与国家建设》</w:t>
      </w:r>
    </w:p>
    <w:p w14:paraId="4749840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6ED4E94C">
      <w:pPr>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 xml:space="preserve">English: </w:t>
      </w:r>
      <w:r>
        <w:rPr>
          <w:rFonts w:hint="default" w:ascii="Times New Roman Regular" w:hAnsi="Times New Roman Regular" w:cs="Times New Roman Regular"/>
          <w:lang w:val="en-US"/>
        </w:rPr>
        <w:t>“Blood is Thicker Than Water: Elite Kinship Networks and State Building in Imperial China”</w:t>
      </w:r>
    </w:p>
    <w:p w14:paraId="79776F2F">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中文： 《血浓于水：帝制中国的精英宗族网络与国家建设》</w:t>
      </w:r>
    </w:p>
    <w:p w14:paraId="3B39F7E8">
      <w:pPr>
        <w:rPr>
          <w:rFonts w:hint="default" w:ascii="Times New Roman Regular" w:hAnsi="Times New Roman Regular" w:cs="Times New Roman Regular" w:eastAsiaTheme="minorEastAsia"/>
        </w:rPr>
      </w:pPr>
    </w:p>
    <w:p w14:paraId="0446ABBD">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0F534214">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English: Yuhua Wang /ˈjuːˌhwɑː wɑːŋ/, Frederick S. Danziger Associate Professor, Department of Government, Harvard University /ˈhɑːrvərd/, United States (p. 896).</w:t>
      </w:r>
    </w:p>
    <w:p w14:paraId="7892E809">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中文： 王裕华（Yuhua Wang /ˈjuːˌhwɑː wɑːŋ/），哈佛大学（Harvard University /ˈhɑːrvərd/）政府系弗雷德里克·S·丹齐格副教授（第896页）。</w:t>
      </w:r>
    </w:p>
    <w:p w14:paraId="785CD8A9">
      <w:pPr>
        <w:rPr>
          <w:rFonts w:hint="default" w:ascii="Times New Roman Regular" w:hAnsi="Times New Roman Regular" w:cs="Times New Roman Regular" w:eastAsiaTheme="minorEastAsia"/>
        </w:rPr>
      </w:pPr>
    </w:p>
    <w:p w14:paraId="119B0726">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出版年份</w:t>
      </w:r>
    </w:p>
    <w:p w14:paraId="5B1A680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English: 2022, published in American Political Science Review (APSR), Volume 116, Issue 3, pp. 896–910. First published online January 26, 2022 (p. 896).</w:t>
      </w:r>
    </w:p>
    <w:p w14:paraId="3F42F271">
      <w:pPr>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中文： 2022年，发表于《美国政治科学评论》（American Political Science Review），第116卷第3期，第896–910页。2022年1月26日在线首发（第896页）。</w:t>
      </w:r>
    </w:p>
    <w:p w14:paraId="74FD9C55">
      <w:pPr>
        <w:rPr>
          <w:rFonts w:hint="default" w:ascii="Times New Roman Regular" w:hAnsi="Times New Roman Regular" w:cs="Times New Roman Regular" w:eastAsiaTheme="minorEastAsia"/>
        </w:rPr>
      </w:pPr>
    </w:p>
    <w:p w14:paraId="0A3A86BE">
      <w:pPr>
        <w:rPr>
          <w:rFonts w:hint="default" w:ascii="Times New Roman Regular" w:hAnsi="Times New Roman Regular" w:cs="Times New Roman Regular" w:eastAsiaTheme="minorEastAsia"/>
          <w:b w:val="0"/>
          <w:i w:val="0"/>
          <w:highlight w:val="yellow"/>
        </w:rPr>
      </w:pPr>
      <w:r>
        <w:rPr>
          <w:rFonts w:hint="default" w:ascii="Times New Roman Regular" w:hAnsi="Times New Roman Regular" w:cs="Times New Roman Regular" w:eastAsiaTheme="minorEastAsia"/>
          <w:b w:val="0"/>
          <w:i w:val="0"/>
          <w:highlight w:val="yellow"/>
        </w:rPr>
        <w:t>DV: What is the main dependent variable? / 因变量：主要因变量是什么？</w:t>
      </w:r>
    </w:p>
    <w:p w14:paraId="576EE8D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main dependent variable is Support for reform, which measures a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attitude toward the Wang Anshi /wɑːŋ ɑːn ʃɪ/ Reform (also known as the New Policies, 新政) during the Northern Song Dynasty /sʊŋ/ (960–1127). This variable captures individual-level preferences for state building. Politicians who consistently supported the reform across policies and over time are coded as 1; those who consistently opposed are coded as 0; those with mixed attitudes receive an averaged score across all reform policies (p. 904). Of the 137 major politicians identified, 63 expressed an opinion: 34 (54%) consistently supported the reform, 24 (38%) consistently opposed it, and 5 had mixed views. The remaining 74 politicians did not explicitly express an attitude, mostly because they held ceremonial positions (p. 904). In the main analysis, the author uses listwise deletion for those who did not express an opinion, but in robustness checks he codes them as neutral (creating a trichotomous variable), restricts the sample to those in policy-relevant positions, or randomly assigns a value by coin toss—all producing similar results (pp. 904–905).主要因变量是对改革的支持度（Support for reform），用以衡量政治人物对北宋（Northern Song Dynasty /sʊŋ/，960–1127）王安石变法（Wang Anshi /wɑːŋ ɑːn ʃɪ/ Reform，又称新政）的态度。这个变量捕捉的是个体层面的国家建设偏好。在各项改革政策中始终支持变法的政治人物编码为1；始终反对的编码为0；态度不一致的则取各项政策态度的均值（第904页）。在识别出的137位主要政治人物中，63人表达了态度：34人（54%）始终支持变法，24人（38%）始终反对，5人态度混合。其余74人未明确表达态度，多数因其任职于礼仪性岗位（第904页）。主分析中作者对未表态者采用列表删除法（listwise deletion），但在稳健性检验中分别将他们编码为中立（构建三分类变量）、限定样本为政策相关职位者，或以抛硬币法随机赋值，结果均一致（第904–905页）。</w:t>
      </w:r>
    </w:p>
    <w:p w14:paraId="79797FFF">
      <w:pPr>
        <w:rPr>
          <w:rFonts w:hint="default" w:ascii="Times New Roman Regular" w:hAnsi="Times New Roman Regular" w:cs="Times New Roman Regular" w:eastAsiaTheme="minorEastAsia"/>
          <w:b w:val="0"/>
          <w:i w:val="0"/>
        </w:rPr>
      </w:pPr>
    </w:p>
    <w:p w14:paraId="09FE4836">
      <w:pPr>
        <w:rPr>
          <w:rFonts w:hint="default" w:ascii="Times New Roman Regular" w:hAnsi="Times New Roman Regular" w:cs="Times New Roman Regular" w:eastAsiaTheme="minorEastAsia"/>
          <w:b w:val="0"/>
          <w:i w:val="0"/>
          <w:highlight w:val="yellow"/>
        </w:rPr>
      </w:pPr>
      <w:r>
        <w:rPr>
          <w:rFonts w:hint="default" w:ascii="Times New Roman Regular" w:hAnsi="Times New Roman Regular" w:cs="Times New Roman Regular" w:eastAsiaTheme="minorEastAsia"/>
          <w:b w:val="0"/>
          <w:i w:val="0"/>
          <w:highlight w:val="yellow"/>
        </w:rPr>
        <w:t>IV: What is the main independent variable? / 自变量：主要自变量是什么？</w:t>
      </w:r>
    </w:p>
    <w:p w14:paraId="36F6A97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main independent variable is Local concentration of kin, an index measuring the geographic concentration of each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kinship network. This index is constructed using the </w:t>
      </w:r>
      <w:r>
        <w:rPr>
          <w:rFonts w:hint="default" w:ascii="Times New Roman Regular" w:hAnsi="Times New Roman Regular" w:cs="Times New Roman Regular"/>
          <w:b w:val="0"/>
          <w:i w:val="0"/>
          <w:lang w:val="en-US"/>
        </w:rPr>
        <w:t>“market potential”</w:t>
      </w:r>
      <w:r>
        <w:rPr>
          <w:rFonts w:hint="default" w:ascii="Times New Roman Regular" w:hAnsi="Times New Roman Regular" w:cs="Times New Roman Regular" w:eastAsiaTheme="minorEastAsia"/>
          <w:b w:val="0"/>
          <w:i w:val="0"/>
        </w:rPr>
        <w:t xml:space="preserve"> approach from economic geography (Harris 1954). For politician i, the index is defined as the sum over all kin members k of (1 + distance from i to k)</w:t>
      </w:r>
      <w:r>
        <w:rPr>
          <w:rFonts w:hint="default" w:ascii="Times New Roman Regular" w:hAnsi="Times New Roman Regular" w:cs="Times New Roman Regular"/>
          <w:b w:val="0"/>
          <w:i w:val="0"/>
          <w:lang w:val="en-US"/>
        </w:rPr>
        <w:t>^(-1)</w:t>
      </w:r>
      <w:r>
        <w:rPr>
          <w:rFonts w:hint="default" w:ascii="Times New Roman Regular" w:hAnsi="Times New Roman Regular" w:cs="Times New Roman Regular" w:eastAsiaTheme="minorEastAsia"/>
          <w:b w:val="0"/>
          <w:i w:val="0"/>
        </w:rPr>
        <w:t xml:space="preserve"> (p. 902). Higher values indicate a more geographically concentrated (i.e., localized) kinship network; lower values indicate a more dispersed network. The kinship network for each politician includes his nuclear family and all in-laws connected through the marriages of his sons and daughters. The author maps these networks primarily from tomb epitaphs preserved in The Complete Prose of Song (全宋文), supplemented by the China Biographical Database (CBDB). Each kin member</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hometown is geocoded using the China Historical Geographic Information System (CHGIS) to obtain latitude-longitude coordinates (pp. 901–902). The index avoids relying on administrative boundaries, which are arbitrary and time-variant; robustness checks using a weighted Herfindahl index based on administrative units yield similar results (p. 902).主要自变量是亲属的地方集中度（Local concentration of kin），一个衡量每位政治人物宗族网络地理集中程度的指数。该指数借鉴了经济地理学中的</w:t>
      </w:r>
      <w:r>
        <w:rPr>
          <w:rFonts w:hint="default" w:ascii="Times New Roman Regular" w:hAnsi="Times New Roman Regular" w:cs="Times New Roman Regular"/>
          <w:b w:val="0"/>
          <w:i w:val="0"/>
          <w:lang w:val="en-US"/>
        </w:rPr>
        <w:t>“市场潜力”</w:t>
      </w:r>
      <w:r>
        <w:rPr>
          <w:rFonts w:hint="default" w:ascii="Times New Roman Regular" w:hAnsi="Times New Roman Regular" w:cs="Times New Roman Regular" w:eastAsiaTheme="minorEastAsia"/>
          <w:b w:val="0"/>
          <w:i w:val="0"/>
        </w:rPr>
        <w:t>方法（Harris 1954）。对于政治人物i，指数定义为对其所有亲属k求和：(1 + i到k的距离)⁻¹（第902页）。数值越高，表示宗族网络在地理上越集中（即越本地化）；数值越低则越分散。每位政治人物的宗族网络包括其核心家庭以及通过其子女婚姻所建立的所有姻亲关系。作者主要利用保存于《全宋文》中的墓志铭来绘制这些网络，辅以中国历代人物传记资料库（CBDB）。每位亲属的籍贯通过中国历史地理信息系统（CHGIS）获取经纬度坐标进行地理编码（第901–902页）。该指数不依赖行政边界——行政边界是任意的且随时间变化；使用基于行政单元的加权赫芬达尔指数（Herfindahl index）进行稳健性检验，结果相似（第902页）。</w:t>
      </w:r>
    </w:p>
    <w:p w14:paraId="304BDD2A">
      <w:pPr>
        <w:rPr>
          <w:rFonts w:hint="default" w:ascii="Times New Roman Regular" w:hAnsi="Times New Roman Regular" w:cs="Times New Roman Regular" w:eastAsiaTheme="minorEastAsia"/>
          <w:b w:val="0"/>
          <w:i w:val="0"/>
        </w:rPr>
      </w:pPr>
    </w:p>
    <w:p w14:paraId="01BB1F15">
      <w:pPr>
        <w:rPr>
          <w:rFonts w:hint="default" w:ascii="Times New Roman Regular" w:hAnsi="Times New Roman Regular" w:cs="Times New Roman Regular" w:eastAsiaTheme="minorEastAsia"/>
          <w:b w:val="0"/>
          <w:i w:val="0"/>
          <w:highlight w:val="yellow"/>
        </w:rPr>
      </w:pPr>
      <w:r>
        <w:rPr>
          <w:rFonts w:hint="default" w:ascii="Times New Roman Regular" w:hAnsi="Times New Roman Regular" w:cs="Times New Roman Regular" w:eastAsiaTheme="minorEastAsia"/>
          <w:b w:val="0"/>
          <w:i w:val="0"/>
          <w:highlight w:val="yellow"/>
        </w:rPr>
        <w:t xml:space="preserve">Stateness: How is the </w:t>
      </w:r>
      <w:r>
        <w:rPr>
          <w:rFonts w:hint="default" w:ascii="Times New Roman Regular" w:hAnsi="Times New Roman Regular" w:cs="Times New Roman Regular"/>
          <w:b w:val="0"/>
          <w:i w:val="0"/>
          <w:highlight w:val="yellow"/>
          <w:lang w:val="en-US"/>
        </w:rPr>
        <w:t>“state”</w:t>
      </w:r>
      <w:r>
        <w:rPr>
          <w:rFonts w:hint="default" w:ascii="Times New Roman Regular" w:hAnsi="Times New Roman Regular" w:cs="Times New Roman Regular" w:eastAsiaTheme="minorEastAsia"/>
          <w:b w:val="0"/>
          <w:i w:val="0"/>
          <w:highlight w:val="yellow"/>
        </w:rPr>
        <w:t xml:space="preserve"> and/or </w:t>
      </w:r>
      <w:r>
        <w:rPr>
          <w:rFonts w:hint="default" w:ascii="Times New Roman Regular" w:hAnsi="Times New Roman Regular" w:cs="Times New Roman Regular"/>
          <w:b w:val="0"/>
          <w:i w:val="0"/>
          <w:highlight w:val="yellow"/>
          <w:lang w:val="en-US"/>
        </w:rPr>
        <w:t>“state building”</w:t>
      </w:r>
      <w:r>
        <w:rPr>
          <w:rFonts w:hint="default" w:ascii="Times New Roman Regular" w:hAnsi="Times New Roman Regular" w:cs="Times New Roman Regular" w:eastAsiaTheme="minorEastAsia"/>
          <w:b w:val="0"/>
          <w:i w:val="0"/>
          <w:highlight w:val="yellow"/>
        </w:rPr>
        <w:t xml:space="preserve"> conceptualized and measured? / </w:t>
      </w:r>
      <w:r>
        <w:rPr>
          <w:rFonts w:hint="default" w:ascii="Times New Roman Regular" w:hAnsi="Times New Roman Regular" w:cs="Times New Roman Regular"/>
          <w:b w:val="0"/>
          <w:i w:val="0"/>
          <w:highlight w:val="yellow"/>
          <w:lang w:val="en-US"/>
        </w:rPr>
        <w:t>“国家”</w:t>
      </w:r>
      <w:r>
        <w:rPr>
          <w:rFonts w:hint="default" w:ascii="Times New Roman Regular" w:hAnsi="Times New Roman Regular" w:cs="Times New Roman Regular" w:eastAsiaTheme="minorEastAsia"/>
          <w:b w:val="0"/>
          <w:i w:val="0"/>
          <w:highlight w:val="yellow"/>
        </w:rPr>
        <w:t>与</w:t>
      </w:r>
      <w:r>
        <w:rPr>
          <w:rFonts w:hint="default" w:ascii="Times New Roman Regular" w:hAnsi="Times New Roman Regular" w:cs="Times New Roman Regular"/>
          <w:b w:val="0"/>
          <w:i w:val="0"/>
          <w:highlight w:val="yellow"/>
          <w:lang w:val="en-US"/>
        </w:rPr>
        <w:t>“国家建设”</w:t>
      </w:r>
      <w:r>
        <w:rPr>
          <w:rFonts w:hint="default" w:ascii="Times New Roman Regular" w:hAnsi="Times New Roman Regular" w:cs="Times New Roman Regular" w:eastAsiaTheme="minorEastAsia"/>
          <w:b w:val="0"/>
          <w:i w:val="0"/>
          <w:highlight w:val="yellow"/>
        </w:rPr>
        <w:t>如何概念化与测量？</w:t>
      </w:r>
    </w:p>
    <w:p w14:paraId="51411108">
      <w:pPr>
        <w:rPr>
          <w:rFonts w:hint="default" w:ascii="Times New Roman Regular" w:hAnsi="Times New Roman Regular" w:cs="Times New Roman Regular" w:eastAsiaTheme="minorEastAsia"/>
          <w:b w:val="0"/>
          <w:i w:val="0"/>
          <w:lang w:val="en-US"/>
        </w:rPr>
      </w:pPr>
      <w:r>
        <w:rPr>
          <w:rFonts w:hint="default" w:ascii="Times New Roman Regular" w:hAnsi="Times New Roman Regular" w:cs="Times New Roman Regular" w:eastAsiaTheme="minorEastAsia"/>
          <w:b w:val="0"/>
          <w:i w:val="0"/>
        </w:rPr>
        <w:t>English:</w:t>
      </w:r>
      <w:r>
        <w:rPr>
          <w:rFonts w:hint="default" w:ascii="Times New Roman Regular" w:hAnsi="Times New Roman Regular" w:cs="Times New Roman Regular"/>
          <w:b w:val="0"/>
          <w:i w:val="0"/>
          <w:lang w:val="en-US"/>
        </w:rPr>
        <w:t xml:space="preserve"> </w:t>
      </w:r>
    </w:p>
    <w:p w14:paraId="4E8F4C7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Wang conceptualizes state building not through a Weberian definition of monopolized violence or through a measure of fiscal capacity per se, but through a specific historical reform episode that expanded the scope and strength of central state power. The Wang Anshi Reform (1069–1085) was designed to </w:t>
      </w:r>
      <w:r>
        <w:rPr>
          <w:rFonts w:hint="default" w:ascii="Times New Roman Regular" w:hAnsi="Times New Roman Regular" w:cs="Times New Roman Regular"/>
          <w:b w:val="0"/>
          <w:i w:val="0"/>
          <w:lang w:val="en-US"/>
        </w:rPr>
        <w:t>“enrich the nation and strengthen its military power”</w:t>
      </w:r>
      <w:r>
        <w:rPr>
          <w:rFonts w:hint="default" w:ascii="Times New Roman Regular" w:hAnsi="Times New Roman Regular" w:cs="Times New Roman Regular" w:eastAsiaTheme="minorEastAsia"/>
          <w:b w:val="0"/>
          <w:i w:val="0"/>
        </w:rPr>
        <w:t xml:space="preserve"> (p. 899, citing Liang 1908). In concrete terms, state building in this context is measured by the package of New Policies that sought to increase the state</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fiscal extraction, military capacity, and regulatory control over local society. Four major policies define the content of state building here: (1) Cadastral Surveys and Equitable Tax (方田均税法), which equalized tax burdens and uncovered 34.7 million additional acres of previously untaxed land—54% of the national total (p. 899); (2) Military Conscription (保甲法), which replaced private militias with a state-organized grassroots military system (baojia /baʊ dʒiɑː/) enrolling 6.9 million men by 1076 (p. 899); (3) Rural Credit (青苗法), which created a state-run loan system to break the private credit monopoly of local landlords (p. 899); and (4) Labor Service (募役法), which replaced a system of corvée labor with a universal tax based on assessed wealth (pp. 899–900). Taken together, these policies represent a comprehensive expansion of the central state</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fiscal, military, and administrative capacities at the expense of local elite</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private-order institutions. Government revenue reached 17.5% of the Song economy in the late eleventh century—unparalleled elsewhere in the world at the time (p. 900).</w:t>
      </w:r>
    </w:p>
    <w:p w14:paraId="735AC817">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This conceptualization aligns with a broad fiscal-military understanding of state building found in the literature from Tilly (1992) through Stasavage (2020) and Dincecco (2017): state building is the process by which central authorities expand their capacity to extract resources, organize military force, and extend administrative control over territory. Wang</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contribution is to show that the political demand for this kind of state building varies among elites who face the same external threat, depending on the structure of their social networks.王裕华对国家建设的概念化，既非韦伯式暴力垄断定义，也非单纯的财政能力度量，而是通过一个具体的历史改革事件来呈现中央国家权力范围与力度的扩展。王安石变法（1069–1085）旨在</w:t>
      </w:r>
      <w:r>
        <w:rPr>
          <w:rFonts w:hint="default" w:ascii="Times New Roman Regular" w:hAnsi="Times New Roman Regular" w:cs="Times New Roman Regular"/>
          <w:b w:val="0"/>
          <w:i w:val="0"/>
          <w:lang w:val="en-US"/>
        </w:rPr>
        <w:t>“富国强兵”</w:t>
      </w:r>
      <w:r>
        <w:rPr>
          <w:rFonts w:hint="default" w:ascii="Times New Roman Regular" w:hAnsi="Times New Roman Regular" w:cs="Times New Roman Regular" w:eastAsiaTheme="minorEastAsia"/>
          <w:b w:val="0"/>
          <w:i w:val="0"/>
        </w:rPr>
        <w:t>（第899页，引自梁启超1908年著作）。具体而言，这里的国家建设通过一系列旨在增强国家财政汲取、军事能力和对地方社会管控的新法来衡量。四项主要政策界定了国家建设的内容：（1）方田均税法，均衡税负并发现了3470万亩此前未纳税的土地——占全国总量的54%（第899页）；（2）保甲法（baojia /baʊ dʒiɑː/），以国家组织的基层军事体系取代私人武装，至1076年已编入690万人（第899页）；（3）青苗法，建立国家农村信贷体系以打破地方地主的私人信贷垄断（第899页）；（4）募役法，以基于估产的普遍赋税取代差役制度（第899–900页）。总体而言，这些政策代表了中央国家在财政、军事和行政能力上的全面扩张，而代价是地方精英私人秩序制度的削弱。北宋晚期政府收入达到宋朝经济总量的17.5%——在当时世界上是无可匹敌的（第900页）。</w:t>
      </w:r>
    </w:p>
    <w:p w14:paraId="2FE8524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这一概念化与从蒂利（Tilly 1992）到斯塔萨维奇（Stasavage 2020）和丁切科（Dincecco 2017）的文献中关于国家建设的广义财政-军事理解一致：国家建设是中央权威扩大其资源汲取能力、组织军事力量和在领土上延伸行政控制的过程。王裕华的贡献在于指出，在面临同样外部威胁的精英中，对这种国家建设的政治需求因其社会网络结构的不同而存在差异。</w:t>
      </w:r>
    </w:p>
    <w:p w14:paraId="5071AEC0">
      <w:pPr>
        <w:rPr>
          <w:rFonts w:hint="default" w:ascii="Times New Roman Regular" w:hAnsi="Times New Roman Regular" w:cs="Times New Roman Regular" w:eastAsiaTheme="minorEastAsia"/>
          <w:b w:val="0"/>
          <w:i w:val="0"/>
        </w:rPr>
      </w:pPr>
    </w:p>
    <w:p w14:paraId="4AB90D8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Argument: What is the core argument? / 核心论点是什么？</w:t>
      </w:r>
    </w:p>
    <w:p w14:paraId="21CB594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core argument directly challenges a long tradition in social science—from Weber ([1915] 1951) through Migdal (1988), Fukuyama (2011), Acemoglu and Robinson (2019), to Henrich (2020)—which holds that kinship-based institutions fundamentally undermine state building because they compete with the state to provide rules, security, and justice (pp. 896–897). Wang argues instead that it is the type, rather than the existence, of kinship-based institutions that matters for state building (p. 896).</w:t>
      </w:r>
    </w:p>
    <w:p w14:paraId="1EA3C89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Specifically, Wang argues that geographically dispersed kinship networks cross-cut local cleavages and align the incentives of self-interested elites in favor of building a strong central state, because a strong state generates scale economies in providing protection and justice throughout a large territory (p. 896). By contrast, geographically concentrated kinship networks reinforce regional cleavages and give elites incentives to oppose state building in favor of private-order institutions that serve local interests at lower cost.</w:t>
      </w:r>
    </w:p>
    <w:p w14:paraId="1F395EA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logic runs as follows. Elites are agents of their kinship groups; their goal is to influence policy so that their kin receive the best services (defense, insurance, justice) at the lowest cost. Two governance structures compete to provide these services: public-order institutions (the state) and private-order institutions (kinship organizations) (p. 898). Elites embedded in dispersed networks face two considerations. First, an economic logic of scale: it is more efficient for the central state to cover the many distant localities where a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kin reside than for each kinship group to provide its own security and justice independently. Second, a social logic of cross-cutting cleavages (drawing on Lipset and Rokkan 1967): dispersed networks connect multiple localities, incentivizing elites to aggregate interests at the national level rather than champion parochial local interests (p. 898). Elites with dispersed networks thus function like Olson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(1982) </w:t>
      </w:r>
      <w:r>
        <w:rPr>
          <w:rFonts w:hint="default" w:ascii="Times New Roman Regular" w:hAnsi="Times New Roman Regular" w:cs="Times New Roman Regular"/>
          <w:b w:val="0"/>
          <w:i w:val="0"/>
          <w:lang w:val="en-US"/>
        </w:rPr>
        <w:t>“encompassing”</w:t>
      </w:r>
      <w:r>
        <w:rPr>
          <w:rFonts w:hint="default" w:ascii="Times New Roman Regular" w:hAnsi="Times New Roman Regular" w:cs="Times New Roman Regular" w:eastAsiaTheme="minorEastAsia"/>
          <w:b w:val="0"/>
          <w:i w:val="0"/>
        </w:rPr>
        <w:t xml:space="preserve"> interest groups, while those with concentrated networks function like </w:t>
      </w:r>
      <w:r>
        <w:rPr>
          <w:rFonts w:hint="default" w:ascii="Times New Roman Regular" w:hAnsi="Times New Roman Regular" w:cs="Times New Roman Regular"/>
          <w:b w:val="0"/>
          <w:i w:val="0"/>
          <w:lang w:val="en-US"/>
        </w:rPr>
        <w:t>“narrow”</w:t>
      </w:r>
      <w:r>
        <w:rPr>
          <w:rFonts w:hint="default" w:ascii="Times New Roman Regular" w:hAnsi="Times New Roman Regular" w:cs="Times New Roman Regular" w:eastAsiaTheme="minorEastAsia"/>
          <w:b w:val="0"/>
          <w:i w:val="0"/>
        </w:rPr>
        <w:t xml:space="preserve"> interest groups (p. 898).</w:t>
      </w:r>
    </w:p>
    <w:p w14:paraId="578CFED7">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testable hypothesis follows: a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support for state building increases with the geographic size of his kinship network, ceteris paribus (p. 899).核心论点直接挑战了社会科学中一个长期传统——从韦伯（Weber [1915] 1951）到米格达尔（Migdal 1988）、福山（Fukuyama 2011）、阿西莫格鲁与罗宾逊（Acemoglu and Robinson 2019），再到亨利希（Henrich 2020）——该传统认为基于宗族的制度从根本上削弱国家建设，因为宗族与国家竞争提供规则、安全和正义（第896–897页）。王裕华反驳说，对国家建设而言，重要的不是宗族制度是否存在，而是宗族制度的类型（第896页）。</w:t>
      </w:r>
    </w:p>
    <w:p w14:paraId="77CA1FB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具体而言，王裕华论证：地理上分散的宗族网络能够跨越地方分界线（cross-cut local cleavages），使自利精英的激励与建设强大中央国家相一致，因为强大的国家在广大领土上提供保护和正义方面具有规模经济优势（第896页）。相反，地理上集中的宗族网络则强化地区分界线，使精英有动机反对国家建设，转而依赖以较低成本服务地方利益的私人秩序制度。</w:t>
      </w:r>
    </w:p>
    <w:p w14:paraId="7711A4F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逻辑如下。精英是其宗族群体的代理人；其目标是影响政策，使其亲属以最低成本获得最好的服务（防御、保险、司法）。两种治理结构竞争性地提供这些服务：公共秩序制度（国家）和私人秩序制度（宗族组织）（第898页）。嵌入分散网络的精英面临两方面考量。第一是规模经济的经济逻辑：由中央国家覆盖政治人物亲属所在的众多分散地区，比每个宗族群体各自独立提供安全和司法更为高效。第二是跨切分界线的社会逻辑（援引Lipset and Rokkan 1967）：分散的网络连接多个地方，激励精英在全国层面汇聚利益，而非维护狭隘的地方利益（第898页）。拥有分散网络的精英如同奥尔森（Olson 1982）所说的</w:t>
      </w:r>
      <w:r>
        <w:rPr>
          <w:rFonts w:hint="default" w:ascii="Times New Roman Regular" w:hAnsi="Times New Roman Regular" w:cs="Times New Roman Regular"/>
          <w:b w:val="0"/>
          <w:i w:val="0"/>
          <w:lang w:val="en-US"/>
        </w:rPr>
        <w:t>“涵盖性”</w:t>
      </w:r>
      <w:r>
        <w:rPr>
          <w:rFonts w:hint="default" w:ascii="Times New Roman Regular" w:hAnsi="Times New Roman Regular" w:cs="Times New Roman Regular" w:eastAsiaTheme="minorEastAsia"/>
          <w:b w:val="0"/>
          <w:i w:val="0"/>
        </w:rPr>
        <w:t>（encompassing）利益集团，而拥有集中网络的精英则如同</w:t>
      </w:r>
      <w:r>
        <w:rPr>
          <w:rFonts w:hint="default" w:ascii="Times New Roman Regular" w:hAnsi="Times New Roman Regular" w:cs="Times New Roman Regular"/>
          <w:b w:val="0"/>
          <w:i w:val="0"/>
          <w:lang w:val="en-US"/>
        </w:rPr>
        <w:t>“狭隘”</w:t>
      </w:r>
      <w:r>
        <w:rPr>
          <w:rFonts w:hint="default" w:ascii="Times New Roman Regular" w:hAnsi="Times New Roman Regular" w:cs="Times New Roman Regular" w:eastAsiaTheme="minorEastAsia"/>
          <w:b w:val="0"/>
          <w:i w:val="0"/>
        </w:rPr>
        <w:t>（narrow）利益集团（第898页）。</w:t>
      </w:r>
    </w:p>
    <w:p w14:paraId="154768B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由此得出可检验假设：在其他条件相同的情况下，政治人物对国家建设的支持随其宗族网络地理规模的增大而增强（第899页）。</w:t>
      </w:r>
    </w:p>
    <w:p w14:paraId="2057493A">
      <w:pPr>
        <w:rPr>
          <w:rFonts w:hint="default" w:ascii="Times New Roman Regular" w:hAnsi="Times New Roman Regular" w:cs="Times New Roman Regular" w:eastAsiaTheme="minorEastAsia"/>
          <w:b w:val="0"/>
          <w:i w:val="0"/>
        </w:rPr>
      </w:pPr>
    </w:p>
    <w:p w14:paraId="342555B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Mechanisms: What mechanisms are proposed? / 提出了哪些机制？</w:t>
      </w:r>
    </w:p>
    <w:p w14:paraId="5B5B233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Wang proposes several interrelated mechanisms through which the geographic structure of kinship networks shapes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state-building preferences.</w:t>
      </w:r>
    </w:p>
    <w:p w14:paraId="5CE4C9B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Mechanism 1: Economies of scale in public goods provision. A strong central state can provide protection, justice, and insurance more cheaply across a large territory than multiple private-order kinship organizations operating independently in separate localities. The fixed costs of state infrastructure (roads, arsenals, communication networks, etc.) increase less than proportionally to geographic span, and public services that are nonrival and nonexcludable benefit from these decreasing marginal costs. Furthermore, central institutions can facilitate specialization of labor and capital, increasing efficiency (p. 898, fn. 5). For a politician whose relatives are spread across the country, the state is the only institution that can efficiently provide protection and justice to all of them simultaneously. For a politician whose kin are concentrated nearby, the marginal cost of funding a local kinship organization to service that area is low relative to the taxes required to fund the central state.</w:t>
      </w:r>
    </w:p>
    <w:p w14:paraId="0FB1067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Mechanism 2: Cross-cutting versus reinforcing cleavages. This mechanism draws on the classic Lipset and Rokkan (1967) framework. Concentrated kinship networks reinforce regional cleavages: each locally embedded kin group cares about local interests and opposes paying taxes to the central state because those taxes fund services for other regions as well. But when a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kinship network spans multiple regions, these regional cleavages are cross-cut. The politician must aggregate the interests of multiple localities and groups and scale them up to the national level. This prevents the politician from becoming the champion of any single locality</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parochial interests (p. 898).</w:t>
      </w:r>
    </w:p>
    <w:p w14:paraId="4470EFA4">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Mechanism 3: Forward linkages (Hirschman 1958). The kinship networks that politicians inherit or build create </w:t>
      </w:r>
      <w:r>
        <w:rPr>
          <w:rFonts w:hint="default" w:ascii="Times New Roman Regular" w:hAnsi="Times New Roman Regular" w:cs="Times New Roman Regular"/>
          <w:b w:val="0"/>
          <w:i w:val="0"/>
          <w:lang w:val="en-US"/>
        </w:rPr>
        <w:t>“forward linkages”</w:t>
      </w:r>
      <w:r>
        <w:rPr>
          <w:rFonts w:hint="default" w:ascii="Times New Roman Regular" w:hAnsi="Times New Roman Regular" w:cs="Times New Roman Regular" w:eastAsiaTheme="minorEastAsia"/>
          <w:b w:val="0"/>
          <w:i w:val="0"/>
        </w:rPr>
        <w:t xml:space="preserve"> that lock politicians into state-building preferences even after the initial impetus to create the networks has passed. Kinship networks were a form of patronage sharing and risk mitigation established before the reform; once in place, they shaped how politicians weighed their family</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future interests vis-à-vis state interests. Politicians at time t calculated how their kin would benefit from policies at time t + 1, coinciding with their children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generation (pp. 897, 901).</w:t>
      </w:r>
    </w:p>
    <w:p w14:paraId="7CE4A61D">
      <w:pPr>
        <w:keepNext w:val="0"/>
        <w:keepLines w:val="0"/>
        <w:widowControl w:val="0"/>
        <w:suppressLineNumbers w:val="0"/>
        <w:spacing w:before="0" w:beforeAutospacing="0" w:after="0" w:afterAutospacing="0"/>
        <w:ind w:left="0" w:right="0"/>
        <w:jc w:val="both"/>
        <w:rPr>
          <w:rFonts w:hint="default" w:ascii="Times New Roman Regular" w:hAnsi="Times New Roman Regular" w:eastAsia="宋体" w:cs="Times New Roman Regular"/>
          <w:b w:val="0"/>
          <w:i w:val="0"/>
          <w:kern w:val="2"/>
          <w:sz w:val="21"/>
          <w:szCs w:val="21"/>
        </w:rPr>
      </w:pPr>
      <w:r>
        <w:rPr>
          <w:rFonts w:hint="default" w:ascii="Times New Roman Regular" w:hAnsi="Times New Roman Regular" w:cs="Times New Roman Regular" w:eastAsiaTheme="minorEastAsia"/>
          <w:b w:val="0"/>
          <w:i w:val="0"/>
        </w:rPr>
        <w:t xml:space="preserve">Mechanism 4: </w:t>
      </w:r>
      <w:r>
        <w:rPr>
          <w:rFonts w:hint="default" w:ascii="Times New Roman Regular" w:hAnsi="Times New Roman Regular" w:eastAsia="宋体" w:cs="Times New Roman Regular"/>
          <w:b w:val="0"/>
          <w:i w:val="0"/>
          <w:kern w:val="2"/>
          <w:sz w:val="21"/>
          <w:szCs w:val="21"/>
          <w:lang w:val="en-US" w:eastAsia="zh-CN" w:bidi="ar"/>
        </w:rPr>
        <w:t>Credible commitment through the state. Wang argues that dispersed kinship networks make a “Hobbesian deal” with the ruler more attractive: elites pay taxes and support a stronger central state in exchange for centralized protection. He then proposes two related commitment logics. First, dispersed networks strengthen elites’ bargaining power vis-à-vis the ruler. Because these elites are connected across regions, they can mobilize social forces on a broader territorial scale. Facing such a nationally connected elite, the ruler has stronger incentives to commit to using the state to provide public goods rather than merely to prey on society. Second, the state also works as a commitment device between elites and their own kin. By backing state building, elites can more credibly promise protection to kin across many localities, because a centralized state is harder than local kinship institutions to manipulate in ways that selectively exclude some distant family members.</w:t>
      </w:r>
    </w:p>
    <w:p w14:paraId="31091BFB">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王裕华提出了几个相互关联的机制，解释宗族网络的地理结构如何塑造政治人物的国家建设偏好。</w:t>
      </w:r>
    </w:p>
    <w:p w14:paraId="5FFCF57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机制一：公共品供给的规模经济。 一个强大的中央国家在广大领土上提供保护、司法和保险，其成本低于多个分散在不同地方独立运作的私人宗族组织。国家基础设施（道路、军火库、通信网络等）的固定成本增长低于地理范围的等比例增长，而非竞争性和非排他性的公共服务受益于这种递减的边际成本。此外，中央制度可以促进劳动和资本的专业化分工，提高效率（第898页，注5）。对于亲属遍布全国的政治人物而言，国家是唯一能够高效地同时为所有亲属提供保护和司法的制度。对于亲属集中在附近的政治人物而言，资助一个地方宗族组织服务该区域的边际成本相对于缴纳中央国家税收来说很低。</w:t>
      </w:r>
    </w:p>
    <w:p w14:paraId="6954CEE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机制二：跨切分界线与强化分界线。 此机制援引经典的利普塞特与罗坎（Lipset and Rokkan 1967）框架。集中的宗族网络强化了地区分界线：每个扎根本地的宗族群体关注地方利益，反对向中央国家纳税——因为这些税收也会为其他地区提供服务。但当一个政治人物的宗族网络跨越多个地区时，这些地区分界线就被跨切了。政治人物必须汇聚多个地方和群体的利益，将其提升到全国层面。这阻止了政治人物成为任何单一地方狭隘利益的代言人（第898页）。</w:t>
      </w:r>
    </w:p>
    <w:p w14:paraId="74FC265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机制三：前向联系（赫希曼，Hirschman 1958）。 政治人物继承或建立的宗族网络创造了</w:t>
      </w:r>
      <w:r>
        <w:rPr>
          <w:rFonts w:hint="default" w:ascii="Times New Roman Regular" w:hAnsi="Times New Roman Regular" w:cs="Times New Roman Regular"/>
          <w:b w:val="0"/>
          <w:i w:val="0"/>
          <w:lang w:val="en-US"/>
        </w:rPr>
        <w:t>“前向联系”</w:t>
      </w:r>
      <w:r>
        <w:rPr>
          <w:rFonts w:hint="default" w:ascii="Times New Roman Regular" w:hAnsi="Times New Roman Regular" w:cs="Times New Roman Regular" w:eastAsiaTheme="minorEastAsia"/>
          <w:b w:val="0"/>
          <w:i w:val="0"/>
        </w:rPr>
        <w:t>，使政治人物被</w:t>
      </w:r>
      <w:r>
        <w:rPr>
          <w:rFonts w:hint="default" w:ascii="Times New Roman Regular" w:hAnsi="Times New Roman Regular" w:cs="Times New Roman Regular"/>
          <w:b w:val="0"/>
          <w:i w:val="0"/>
          <w:lang w:val="en-US"/>
        </w:rPr>
        <w:t>“锁定”</w:t>
      </w:r>
      <w:r>
        <w:rPr>
          <w:rFonts w:hint="default" w:ascii="Times New Roman Regular" w:hAnsi="Times New Roman Regular" w:cs="Times New Roman Regular" w:eastAsiaTheme="minorEastAsia"/>
          <w:b w:val="0"/>
          <w:i w:val="0"/>
        </w:rPr>
        <w:t>在国家建设偏好之中，即使建立这些网络的最初动力已经消退。宗族网络是在变法之前建立的一种庇护分享和风险缓解形式；一旦建立，它们便塑造了政治人物如何权衡其家族未来利益与国家利益。处于时间t的政治人物会计算其亲属如何从t+1时期的政策中获益，这与其子女一代相吻合（第897、901页）。</w:t>
      </w:r>
    </w:p>
    <w:p w14:paraId="7F94481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机制四：通过国家实现可置信承诺。 王裕华认为，地理上分散的亲属网络会让一种“霍布斯式交易”更有吸引力：精英缴税、支持更强的中央国家，以换取集中化的保护。随后，他提出了两个彼此相关的承诺逻辑。第一，分散网络会增强精英相对于统治者的议价能力。因为这些精英拥有跨地区联结，他们可以在更广阔的空间范围内动员社会力量。面对这种全国性联结的精英，统治者更有激励承诺将国家用于提供公共品，而不仅仅是掠夺社会。第二，国家本身也充当精英与其亲属之间的承诺装置。通过支持国家建设，精英可以更可信地向分散在多个地方的亲属承诺保护，因为相较于地方性宗族组织，一个中央国家更不容易被操纵为只选择性地照顾某些近处成员、排除某些远处成员。</w:t>
      </w:r>
    </w:p>
    <w:p w14:paraId="6BEA336D">
      <w:pPr>
        <w:rPr>
          <w:rFonts w:hint="default" w:ascii="Times New Roman Regular" w:hAnsi="Times New Roman Regular" w:cs="Times New Roman Regular" w:eastAsiaTheme="minorEastAsia"/>
          <w:b w:val="0"/>
          <w:i w:val="0"/>
        </w:rPr>
      </w:pPr>
    </w:p>
    <w:p w14:paraId="30AC3D03">
      <w:pPr>
        <w:rPr>
          <w:rFonts w:hint="default" w:ascii="Times New Roman Regular" w:hAnsi="Times New Roman Regular" w:cs="Times New Roman Regular" w:eastAsiaTheme="minorEastAsia"/>
          <w:b w:val="0"/>
          <w:i w:val="0"/>
          <w:highlight w:val="yellow"/>
        </w:rPr>
      </w:pPr>
      <w:r>
        <w:rPr>
          <w:rFonts w:hint="default" w:ascii="Times New Roman Regular" w:hAnsi="Times New Roman Regular" w:cs="Times New Roman Regular" w:eastAsiaTheme="minorEastAsia"/>
          <w:b w:val="0"/>
          <w:i w:val="0"/>
          <w:highlight w:val="yellow"/>
        </w:rPr>
        <w:t>Data: What data is used? / 使用了什么数据？</w:t>
      </w:r>
    </w:p>
    <w:p w14:paraId="13B9B58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Sample construction. The author identifies 137 major politicians who held positions at the vice-ministerial level or above in the national government during the reign of Emperor Shenzong /ʃɛnˈdzʊŋ/ (1067–1085), using Li</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(2003) list of Shenzong officials. These politicians include chief councilors, central secretariats, leaders of various ministries, and the emperor</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main advisors. They were all male, Han Chinese, from landowning elite families, averaging 51 years old in 1067, with careers starting around 1047—20 years before Shenzong came to power (pp. 900–901). The main analysis uses 40 politicians for whom full information on all variables is available (p. 905).</w:t>
      </w:r>
    </w:p>
    <w:p w14:paraId="002D8C3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Dependent variable measurement. The outcome variable is coded from three primary sources: (1) The History of Song (宋史, compiled by Toghtō /tɒxˈtoʊ/ in the Yuan Dynasty), (2) The Extended Continuation to Comprehensive Mirror in Aid of Governance (续资治通鉴长编, compiled by Li Tao /liː taʊ/ in the Southern Song), both based on official court records, and (3) The Complete Prose of Song (全宋文, compiled by modern-era scholars Zeng Zaozhuang /dzəŋ dzaʊˈdʒwɑːŋ/ and Liu Lin /ljuː lɪn/ in the twenty-first century), which preserves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original writings such as memorials to the emperor (p. 904). Using three sources, including original texts, helps triangulate information and mitigate potential biases of contemporaneous historians.</w:t>
      </w:r>
    </w:p>
    <w:p w14:paraId="0DC1B6A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Independent variable measurement. Kinship networks are mapped using tomb epitaphs (墓志铭), which are square limestone slabs inscribed with lengthy eulogistic biographies of the deceased, preserving information about wives, sons, daughters, sons-in-law, and their families. The author</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research team identified these epitaphs in The Complete Prose of Song, manually extracted kin information, and used a snowball approach supplemented by CBDB (2018) to construct networks for 68 of the 137 politicians. Networks were limited to three generations (parent</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ego</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and children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generation) due to cost constraints. Geographic information was geocoded using CHGIS (2018) (pp. 901–902).</w:t>
      </w:r>
    </w:p>
    <w:p w14:paraId="501DF91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Control variables (8 alternative explanations addressed, p. 905–907):</w:t>
      </w:r>
    </w:p>
    <w:p w14:paraId="3A2DE0C2">
      <w:pPr>
        <w:rPr>
          <w:rFonts w:hint="default" w:ascii="Times New Roman Regular" w:hAnsi="Times New Roman Regular" w:cs="Times New Roman Regular" w:eastAsiaTheme="minorEastAsia"/>
          <w:b w:val="0"/>
          <w:i w:val="0"/>
        </w:rPr>
      </w:pPr>
    </w:p>
    <w:p w14:paraId="5F69CE87">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Prefecture fixed effects (μⱼ): Controls for hometown geography, history, culture, and cropping patterns.</w:t>
      </w:r>
    </w:p>
    <w:p w14:paraId="1409FBF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Betweenness centrality: Measures each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influence in the overall kinship marriage network of the 137 politicians (using Padgett and Ansell 1993).</w:t>
      </w:r>
    </w:p>
    <w:p w14:paraId="5EEF6CA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N of kin and N of children: Controls for the possibility that network size rather than geographic distribution matters, and for differential documentation quality.</w:t>
      </w:r>
    </w:p>
    <w:p w14:paraId="77AEA6D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Factional tie with reform leader: An indicator for whether the politician had an examiner–examinee relationship, passed the exam in the same year, or belonged to the same philosophical school as a reform leader (Wang Anshi /wɑːŋ ɑːn ʃɪ/, Lü Huiqing /lyː hweɪˈtʃɪŋ/, or Cai Que /tsaɪ tɕɥɛ/).</w:t>
      </w:r>
    </w:p>
    <w:p w14:paraId="726755F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average rank: Controls for power dynamics and incentives to signal loyalty.</w:t>
      </w:r>
    </w:p>
    <w:p w14:paraId="7BCC655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Kin centroid exposure to external wars: Market-potential index measuring proximity of kin network centroid to all external war battles (1016–1065).</w:t>
      </w:r>
    </w:p>
    <w:p w14:paraId="2E3AC8F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Kin centroid exposure to mass rebellions: Same approach for domestic rebellions.</w:t>
      </w:r>
    </w:p>
    <w:p w14:paraId="37E5FE2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Ruggedness Index: Average terrain ruggedness across grid cells covered by the kinship network (from Nunn and Puga 2012).</w:t>
      </w:r>
    </w:p>
    <w:p w14:paraId="721B5BD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Father exam: Whether the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father entered office by exam.</w:t>
      </w:r>
    </w:p>
    <w:p w14:paraId="144BED2B">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Father migration: Distance from the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father</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final residence to the grandfather</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hometown, which serves as a predictor of network dispersion.</w:t>
      </w:r>
    </w:p>
    <w:p w14:paraId="4781FA1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Geographic coverage: Northern Song Dynasty territory (roughly present-day central and eastern China). Time period: The reign of Emperor Shenzong (1067–1085), with kinship networks and threat exposure data extending back to earlier decades. Unit of analysis: Individual politician.样本构建。 作者从李志良（Li Zhiliang /liː ʒɪˈliɑːŋ/ 2003）的宋代京朝官名单中识别出137位在神宗（Shenzong /ʃɛnˈdzʊŋ/）朝（1067–1085）担任副部级及以上中央官职的主要政治人物。这些政治人物包括宰相、中书省官员、各部领袖和皇帝的主要顾问。他们全部为男性汉族人士，来自拥有土地的精英家庭，1067年时平均51岁，平均入仕时间约为1047年——比神宗即位早20年（第900–901页）。主分析使用所有变量信息完整的40位政治人物（第905页）。</w:t>
      </w:r>
    </w:p>
    <w:p w14:paraId="2976D77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因变量测量。 因变量编码来自三个主要原始资料：（1）《宋史》（元代脱脱 Toghtō /tɒxˈtoʊ/ 编纂）；（2）《续资治通鉴长编》（南宋李焘 Li Tao /liː taʊ/ 编纂），两者均基于官方朝廷记录；（3）《全宋文》（现代学者曾枣庄 Zeng Zaozhuang /dzəŋ dzaʊˈdʒwɑːŋ/ 和刘琳 Liu Lin /ljuː lɪn/ 于二十一世纪编纂），保存了政治人物的原始著述如上奏皇帝的奏章（第904页）。使用三个来源（包括原始文本）有助于交叉验证信息，减轻当代史家的潜在偏见。</w:t>
      </w:r>
    </w:p>
    <w:p w14:paraId="7E3CA38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自变量测量。 宗族网络通过墓志铭绘制。墓志铭是方形石灰石板，上面镌刻有死者的长篇传记，保存了关于妻子、儿子、女儿、女婿及其家庭的信息。作者的研究团队在《全宋文》中找到这些墓志铭，手动提取亲属信息，并采用滚雪球方法辅以CBDB（2018）为137位政治人物中的68位构建了网络。由于成本限制，网络仅涵盖三代（父辈、本人辈、子女辈）。地理信息使用CHGIS（2018）进行地理编码（第901–902页）。</w:t>
      </w:r>
    </w:p>
    <w:p w14:paraId="45CD6A6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控制变量（针对8种替代解释，第905–907页）：</w:t>
      </w:r>
    </w:p>
    <w:p w14:paraId="22A6BCFB">
      <w:pPr>
        <w:rPr>
          <w:rFonts w:hint="default" w:ascii="Times New Roman Regular" w:hAnsi="Times New Roman Regular" w:cs="Times New Roman Regular" w:eastAsiaTheme="minorEastAsia"/>
          <w:b w:val="0"/>
          <w:i w:val="0"/>
        </w:rPr>
      </w:pPr>
    </w:p>
    <w:p w14:paraId="08462E67">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籍贯所在府固定效应：控制地理、历史、文化和种植模式。</w:t>
      </w:r>
    </w:p>
    <w:p w14:paraId="4A79F8A4">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中介中心性（Betweenness centrality）：衡量政治人物在137位官员整体婚姻网络中的影响力。</w:t>
      </w:r>
    </w:p>
    <w:p w14:paraId="6CAD2EE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亲属数量和子女数量：控制可能是网络规模而非地理分布起作用的替代假设，同时控制记录质量差异。</w:t>
      </w:r>
    </w:p>
    <w:p w14:paraId="690F05EB">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与变法领袖的派系关系：政治人物是否与变法领袖（王安石、吕惠卿 Lü Huiqing /lyː hweɪˈtʃɪŋ/、蔡确 Cai Que /tsaɪ tɕɥɛ/）存在考官-考生关系、同年进士关系或同一学派关系。</w:t>
      </w:r>
    </w:p>
    <w:p w14:paraId="0235910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政治人物平均品级：控制权力格局和信号忠诚的激励。</w:t>
      </w:r>
    </w:p>
    <w:p w14:paraId="2F4D99E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亲属暴露于外部战争：市场潜力指数，衡量亲属网络质心到1016–1065年间所有对外战争战役的接近程度。</w:t>
      </w:r>
    </w:p>
    <w:p w14:paraId="141C689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亲属暴露于大规模叛乱：相同方法衡量对国内叛乱的暴露。</w:t>
      </w:r>
    </w:p>
    <w:p w14:paraId="612C05B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地形崎岖指数：宗族网络覆盖的网格单元的平均地形崎岖度（来自Nunn and Puga 2012）。</w:t>
      </w:r>
    </w:p>
    <w:p w14:paraId="75A22FB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父亲是否科举入仕。</w:t>
      </w:r>
    </w:p>
    <w:p w14:paraId="0A723F2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父亲迁移距离：政治人物父亲最终居住地到祖父籍贯的距离，用作网络分散程度的预测变量。</w:t>
      </w:r>
    </w:p>
    <w:p w14:paraId="779865A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地理覆盖： 北宋领土（大致为今天的中国中部和东部）。时间跨度： 神宗朝（1067–1085），但宗族网络和威胁暴露数据向前追溯至更早的几十年。分析单元： 单个政治人物。</w:t>
      </w:r>
    </w:p>
    <w:p w14:paraId="2FE207CA">
      <w:pPr>
        <w:rPr>
          <w:rFonts w:hint="default" w:ascii="Times New Roman Regular" w:hAnsi="Times New Roman Regular" w:cs="Times New Roman Regular" w:eastAsiaTheme="minorEastAsia"/>
          <w:b w:val="0"/>
          <w:i w:val="0"/>
        </w:rPr>
      </w:pPr>
    </w:p>
    <w:p w14:paraId="4BAE7E39">
      <w:pPr>
        <w:rPr>
          <w:rFonts w:hint="default" w:ascii="Times New Roman Regular" w:hAnsi="Times New Roman Regular" w:cs="Times New Roman Regular" w:eastAsiaTheme="minorEastAsia"/>
          <w:b w:val="0"/>
          <w:i w:val="0"/>
          <w:highlight w:val="yellow"/>
        </w:rPr>
      </w:pPr>
      <w:r>
        <w:rPr>
          <w:rFonts w:hint="default" w:ascii="Times New Roman Regular" w:hAnsi="Times New Roman Regular" w:cs="Times New Roman Regular" w:eastAsiaTheme="minorEastAsia"/>
          <w:b w:val="0"/>
          <w:i w:val="0"/>
          <w:highlight w:val="yellow"/>
        </w:rPr>
        <w:t>Methods: What methods are employed? / 使用了什么方法？</w:t>
      </w:r>
    </w:p>
    <w:p w14:paraId="1B4B723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primary method is Ordinary Least Squares (OLS) regression with prefecture fixed effects and robust standard errors clustered at the prefectural level (p. 905). All variables are standardized to facilitate interpretation of coefficient magnitudes. The benchmark model is estimated across four specifications: (1) bivariate, (2) with prefecture fixed effects, (3) with all control variables, and (4) with only covariates selected by LASSO post-double-selection (Belloni, Chernozhukov, and Hansen 2014) (p. 905). The standardized coefficient on Local concentration of kin ranges from −0.250 to −0.433, all statistically significant at the 0.10 level or better (p. 907).</w:t>
      </w:r>
    </w:p>
    <w:p w14:paraId="0466F2D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Robustness checks are extensive (Appendix): alternative functional forms for the independent variable (inverse hyperbolic sine, square root); alternative kinship measures (weighted Herfindahl index based on administrative units; matrilineal discount; relational distance discount); alternative dependent variable coding (trichotomous, restricted sample, random assignment to those with unknown attitudes); alternative centrality measures (degree centrality, Bonacich power); dropping one politician at a time (jackknife); multiple imputation for missing data; flexible controls for number of children; province fixed effects instead of prefecture fixed effects; and using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own marriage networks as an alternative measure or instrument.</w:t>
      </w:r>
    </w:p>
    <w:p w14:paraId="7A6162A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Sensitivity analysis: The author conducts the Altonji, Elder, and Taber (2005) test for selection on unobservables. The ratios range from 13.650 to 15.328, far exceeding the benchmark value of 3, suggesting that unobservable factors would need to be at least 13 times as influential as the observable controls to fully explain away the result (p. 908).</w:t>
      </w:r>
    </w:p>
    <w:p w14:paraId="12F2787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Key assumptions for validity:</w:t>
      </w:r>
    </w:p>
    <w:p w14:paraId="18A97ADB">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(1) Conditional independence / selection on observables: After controlling for prefecture fixed effects and the listed covariates, remaining unobserved factors are uncorrelated with both Local concentration of kin and Support for reform. The sensitivity analysis addresses this but cannot eliminate the concern entirely.</w:t>
      </w:r>
    </w:p>
    <w:p w14:paraId="7B26B039">
      <w:pPr>
        <w:rPr>
          <w:rFonts w:hint="default" w:ascii="Times New Roman Regular" w:hAnsi="Times New Roman Regular" w:cs="Times New Roman Regular" w:eastAsiaTheme="minorEastAsia"/>
          <w:b w:val="0"/>
          <w:i w:val="0"/>
          <w:lang w:val="en-US"/>
        </w:rPr>
      </w:pPr>
      <w:r>
        <w:rPr>
          <w:rFonts w:hint="default" w:ascii="Times New Roman Regular" w:hAnsi="Times New Roman Regular" w:cs="Times New Roman Regular" w:eastAsiaTheme="minorEastAsia"/>
          <w:b w:val="0"/>
          <w:i w:val="0"/>
        </w:rPr>
        <w:t>(2) No reverse causality: The kinship networks must have been formed before the reform started. The author argues this is plausible because marriages were arranged before the reform, often in the parent</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generation, and because engagements occurred when children were very young or even before birth (p. 901). Nevertheless, strategic matchmaking anticipating future reform battles remains a possibility.</w:t>
      </w:r>
      <w:r>
        <w:rPr>
          <w:rFonts w:hint="default" w:ascii="Times New Roman Regular" w:hAnsi="Times New Roman Regular" w:cs="Times New Roman Regular"/>
          <w:b w:val="0"/>
          <w:i w:val="0"/>
          <w:lang w:val="en-US"/>
        </w:rPr>
        <w:t xml:space="preserve"> ’</w:t>
      </w:r>
    </w:p>
    <w:p w14:paraId="011544AB">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(3) SUTVA (Stable Unit Treatment Value Assumption): Each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outcome is unaffected by other</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kinship networks. Given that politicians interacted in factional politics, this is a strong assumption. The author controls for factional ties but cannot rule out interference effects.</w:t>
      </w:r>
    </w:p>
    <w:p w14:paraId="38530BE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(4) Measurement validity: The tomb epitaphs capture actual kinship networks rather than a selective or biased subset. Missing data (69 politicians lack kinship information) could introduce selection bias. The author addresses this through multiple imputation and by comparing the estimating sample with the excluded sample (pp. 901–902, 905).</w:t>
      </w:r>
      <w:r>
        <w:rPr>
          <w:rFonts w:hint="eastAsia" w:ascii="Times New Roman Regular" w:hAnsi="Times New Roman Regular" w:cs="Times New Roman Regular"/>
          <w:b w:val="0"/>
          <w:i w:val="0"/>
          <w:lang w:val="en-US" w:eastAsia="zh-CN"/>
        </w:rPr>
        <w:t xml:space="preserve"> </w:t>
      </w:r>
      <w:r>
        <w:rPr>
          <w:rFonts w:hint="default" w:ascii="Times New Roman Regular" w:hAnsi="Times New Roman Regular" w:cs="Times New Roman Regular" w:eastAsiaTheme="minorEastAsia"/>
          <w:b w:val="0"/>
          <w:i w:val="0"/>
        </w:rPr>
        <w:t>主要方法是普通最小二乘法（OLS）回归，加入籍贯府固定效应和在府一级聚类的稳健标准误（第905页）。所有变量均标准化以便于解读系数大小。基准模型有四个设定：（1）双变量；（2）加入府固定效应；（3）加入全部控制变量；（4）仅保留LASSO事后双重选择法（Belloni, Chernozhukov, Hansen 2014）选出的协变量（第905页）。亲属地方集中度的标准化系数介于−0.250至−0.433之间，均在0.10或更低显著性水平上统计显著（第907页）。</w:t>
      </w:r>
    </w:p>
    <w:p w14:paraId="5326F2B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稳健性检验非常广泛（附录）： 自变量的替代函数形式（反双曲正弦、平方根）；替代亲属度量（基于行政单元的加权赫芬达尔指数；母系折扣；关系距离折扣）；因变量的替代编码（三分类、限定样本、随机赋值）；替代中心性度量（度中心性、Bonacich权力）；逐一删除政治人物（刀切法）；多重插补缺失数据；对子女数量的灵活控制；省级固定效应替代府级固定效应；使用政治人物自身婚姻网络作为替代度量或工具变量。</w:t>
      </w:r>
    </w:p>
    <w:p w14:paraId="4902287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敏感性分析： 作者使用Altonji, Elder, and Taber（2005）检验不可观测变量的选择效应。比率介于13.650至15.328之间，远超基准值3，表明不可观测因素需要至少13倍于可观测控制变量的影响力才能完全解释掉本文的发现（第908页）。</w:t>
      </w:r>
    </w:p>
    <w:p w14:paraId="19C6948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方法有效性的关键假设：</w:t>
      </w:r>
    </w:p>
    <w:p w14:paraId="766E3FD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（1）条件独立性/基于可观测变量的选择：在控制了府固定效应和所列协变量后，剩余的未观测因素与亲属地方集中度和改革支持度均不相关。敏感性分析处理了这一问题，但无法完全消除疑虑。</w:t>
      </w:r>
    </w:p>
    <w:p w14:paraId="6423460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2）无反向因果：宗族网络必须在变法启动之前就已形成。作者论证这是合理的，因为婚姻在变法之前即已缔结，往往是在父辈时代安排的，订婚甚至发生在孩子年幼或出生之前（第901页）。尽管如此，预见到未来改革斗争而进行的战略性联姻仍是一种可能。</w:t>
      </w:r>
    </w:p>
    <w:p w14:paraId="2680D71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（3）SUTVA（稳定单元处理值假设）：每位政治人物的结果不受其他人宗族网络的影响。鉴于政治人物在派系政治中相互影响，这是一个较强的假设。作者控制了派系关系但无法排除干扰效应。</w:t>
      </w:r>
    </w:p>
    <w:p w14:paraId="5E0BD05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4）测量效度：墓志铭捕捉的是实际的宗族网络而非有选择性或偏差性的子集。69位政治人物缺失宗族信息可能引入选择偏差。作者通过多重插补和比较估计样本与被排除样本来应对这一问题（第901–902、905页）。</w:t>
      </w:r>
    </w:p>
    <w:p w14:paraId="0B751CAC">
      <w:pPr>
        <w:rPr>
          <w:rFonts w:hint="default" w:ascii="Times New Roman Regular" w:hAnsi="Times New Roman Regular" w:cs="Times New Roman Regular" w:eastAsiaTheme="minorEastAsia"/>
          <w:b w:val="0"/>
          <w:i w:val="0"/>
        </w:rPr>
      </w:pPr>
    </w:p>
    <w:p w14:paraId="092A48A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Contribution: What is the main contribution? / 主要贡献是什么？</w:t>
      </w:r>
    </w:p>
    <w:p w14:paraId="15A7B0E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Professional scholars would recognize several contributions.</w:t>
      </w:r>
    </w:p>
    <w:p w14:paraId="43EC49B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First, a new theoretical argument that revises the state–kinship relationship. The dominant view in social science, from Weber through Fukuyama and Henrich, treats kinship as an obstacle to state building. Wang provides a theoretically grounded framework showing that the geographic structure of kinship networks—not their mere existence—determines whether they support or undermine state building. This is a refinement rather than a rejection: the distinction between dispersed and concentrated networks, mapped onto Olson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encompassing vs. narrow interest groups and Lipset-Rokkan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cross-cutting vs. reinforcing cleavages, is analytically precise and generates testable predictions (pp. 896–898).</w:t>
      </w:r>
    </w:p>
    <w:p w14:paraId="510D2BF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Second, original micro-level data on elite state-building preferences. Systematic individual-level data on how specific politicians position themselves vis-à-vis state-building reforms in premodern periods are exceedingly rare. Wang</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dataset—combining tomb epitaphs, biographical databases, historical chronicles, and original writings—provides an unusual window into elite political behavior a thousand years ago (pp. 896, 901–904).</w:t>
      </w:r>
    </w:p>
    <w:p w14:paraId="5504CAF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Third, a non-European counterpoint to the Eurocentric state-building literature. The dominant tradition of state-building scholarship (Tilly 1992; Ertman 1997; Stasavage 2020) draws overwhelmingly on European cases. China, as one of the earliest bureaucratic states in world history, offers a crucial alternative. Wang demonstrates that the Chinese state achieved fiscal extraction levels (17.5% of GDP) that England did not reach until the eighteenth century—while maintaining strong kinship institutions (p. 908). This challenges the assumed incompatibility between kinship and state building that underlies much of the European-derived theorizing.</w:t>
      </w:r>
    </w:p>
    <w:p w14:paraId="5E46F2C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Fourth, methodological innovation in historical political economy. The use of tomb epitaphs as archeological sources to reconstruct social networks and map them geographically is novel. The combination of geocoded kinship data with archival political allegiance data, applied to a clearly defined state-building episode, provides a model for how historical political science can move beyond aggregate-level analyses to study individual-level political behavior in premodern contexts.</w:t>
      </w:r>
    </w:p>
    <w:p w14:paraId="3173840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Fifth, bringing elite social structure into the state-building literature. Most prior work either assumes elites will unite when facing external threats (Tilly 1992; Slater 2010) or emphasizes elite competition (Blaydes and Chaney 2013; Garfias 2018). Wang shows that elite social relations—specifically the geography of kinship networks—generate variation in state-building preferences even among elites who face the same threat. This opens a new analytical dimension for the elite-centered approach to state building.</w:t>
      </w:r>
    </w:p>
    <w:p w14:paraId="3BB84488">
      <w:pPr>
        <w:rPr>
          <w:rFonts w:hint="default" w:ascii="Times New Roman Regular" w:hAnsi="Times New Roman Regular" w:cs="Times New Roman Regular" w:eastAsiaTheme="minorEastAsia"/>
          <w:b w:val="0"/>
          <w:i w:val="0"/>
          <w:lang w:val="en-US"/>
        </w:rPr>
      </w:pPr>
      <w:r>
        <w:rPr>
          <w:rFonts w:hint="default" w:ascii="Times New Roman Regular" w:hAnsi="Times New Roman Regular" w:cs="Times New Roman Regular" w:eastAsiaTheme="minorEastAsia"/>
          <w:b w:val="0"/>
          <w:i w:val="0"/>
        </w:rPr>
        <w:t>中文：</w:t>
      </w:r>
      <w:r>
        <w:rPr>
          <w:rFonts w:hint="default" w:ascii="Times New Roman Regular" w:hAnsi="Times New Roman Regular" w:cs="Times New Roman Regular"/>
          <w:b w:val="0"/>
          <w:i w:val="0"/>
          <w:lang w:val="en-US"/>
        </w:rPr>
        <w:t xml:space="preserve"> </w:t>
      </w:r>
    </w:p>
    <w:p w14:paraId="4C6F23A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专业学者会认可以下几方面贡献。</w:t>
      </w:r>
    </w:p>
    <w:p w14:paraId="3A98C417">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第一，修正了国家-宗族关系的新理论论述。从韦伯到福山和亨利希，社会科学的主流观点将宗族视为国家建设的障碍。王裕华提供了一个有理论基础的框架，表明宗族网络的地理结构——而非其是否存在——决定了它们是支持还是削弱国家建设。这是一种精细化而非否定：分散网络与集中网络之间的区分，对应到奥尔森的涵盖性与狭隘利益集团以及利普塞特-罗坎的跨切与强化分界线框架，在分析上精确且能生成可检验的预测（第896–898页）。</w:t>
      </w:r>
    </w:p>
    <w:p w14:paraId="227DAA2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第二，关于精英国家建设偏好的原创性微观数据。系统性的个体层面数据——记录特定政治人物如何对待前现代国家建设改革——极为稀缺。王裕华的数据集——结合墓志铭、传记数据库、历史编年史和原始著作——提供了一千年前精英政治行为的罕见窗口（第896、901–904页）。</w:t>
      </w:r>
    </w:p>
    <w:p w14:paraId="2C4E4EB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第三，为欧洲中心主义的国家建设文献提供非欧洲对照案例。国家建设研究的主流传统（Tilly 1992; Ertman 1997; Stasavage 2020）绝大部分取材于欧洲案例。中国作为世界历史上最早的官僚国家之一，提供了关键的替代案例。王裕华表明，中国国家在维持强大宗族制度的同时，实现了英国直到十八世纪才达到的财政汲取水平（GDP的17.5%）（第908页）。这挑战了许多源自欧洲经验的理论化中假定的宗族与国家建设之间的不兼容。</w:t>
      </w:r>
    </w:p>
    <w:p w14:paraId="67EA951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第四，历史政治经济学的方法论创新。使用墓志铭作为考古学来源重建社会网络并进行地理测绘是新颖的。将地理编码的亲属数据与档案记载的政治立场数据相结合，应用于一个清晰界定的国家建设事件，为历史政治学如何从总量分析转向前现代情境中个体层面政治行为研究提供了范本。</w:t>
      </w:r>
    </w:p>
    <w:p w14:paraId="410A45F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第五，将精英社会结构引入国家建设文献。此前的研究要么假设精英面临外部威胁时会团结一致（Tilly 1992; Slater 2010），要么强调精英竞争（Blaydes and Chaney 2013; Garfias 2018）。王裕华表明，精英的社会关系——特别是宗族网络的地理结构——即使在面临相同威胁的精英中也会产生国家建设偏好的差异。这为国家建设的精英中心研究路径开辟了新的分析维度。</w:t>
      </w:r>
    </w:p>
    <w:p w14:paraId="38C1651C">
      <w:pPr>
        <w:rPr>
          <w:rFonts w:hint="default" w:ascii="Times New Roman Regular" w:hAnsi="Times New Roman Regular" w:cs="Times New Roman Regular" w:eastAsiaTheme="minorEastAsia"/>
          <w:b w:val="0"/>
          <w:i w:val="0"/>
        </w:rPr>
      </w:pPr>
    </w:p>
    <w:p w14:paraId="0F5C155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Suggestions: What are the limitations? / 建议：局限性是什么？</w:t>
      </w:r>
    </w:p>
    <w:p w14:paraId="172E33D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Professional scholars would identify several significant limitations and suggest improvements.</w:t>
      </w:r>
    </w:p>
    <w:p w14:paraId="74C69F39">
      <w:pPr>
        <w:rPr>
          <w:rFonts w:hint="default" w:ascii="Times New Roman Regular" w:hAnsi="Times New Roman Regular" w:cs="Times New Roman Regular" w:eastAsiaTheme="minorEastAsia"/>
          <w:b w:val="0"/>
          <w:i w:val="0"/>
          <w:color w:val="00B0F0"/>
        </w:rPr>
      </w:pPr>
      <w:r>
        <w:rPr>
          <w:rFonts w:hint="default" w:ascii="Times New Roman Regular" w:hAnsi="Times New Roman Regular" w:cs="Times New Roman Regular" w:eastAsiaTheme="minorEastAsia"/>
          <w:b w:val="0"/>
          <w:i w:val="0"/>
        </w:rPr>
        <w:t>(</w:t>
      </w:r>
      <w:r>
        <w:rPr>
          <w:rFonts w:hint="default" w:ascii="Times New Roman Regular" w:hAnsi="Times New Roman Regular" w:cs="Times New Roman Regular" w:eastAsiaTheme="minorEastAsia"/>
          <w:b w:val="0"/>
          <w:i w:val="0"/>
          <w:color w:val="00B0F0"/>
        </w:rPr>
        <w:t>1) Small sample size and generalizability. The main analysis is based on only 40 politicians (out of 137 identified, out of the entire political class of the Northern Song). With 40 observations, the statistical power to detect effects is limited, and the inclusion of prefecture fixed effects and 10+ control variables in some specifications consumes many degrees of freedom. It is unclear how robust the coefficients truly are with so few observations and so many parameters. Scholars would suggest future work that either expands the sample (e.g., to provincial-level officials or to multiple dynasties) or uses methods better suited to small samples (such as Bayesian estimation or exact permutation tests).</w:t>
      </w:r>
    </w:p>
    <w:p w14:paraId="6D2A296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(2) Causal identification remains tentative. Despite the extensive robustness checks and the Altonji-Elder-Taber sensitivity analysis, the design is fundamentally observational and cross-sectional. The author cannot rule out that some unobserved characteristic—such as a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cosmopolitan worldview, education quality, or family</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long-term strategic orientation—jointly causes both a dispersed kinship network and pro-reform preferences. Father migration is used as a predictor of network dispersion, and the author also uses the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own marriage network as an instrument in one robustness check (Appendix Table A1-12), but formal instrumental variable analysis is limited. Scholars would suggest seeking a plausible instrument or a quasi-experimental setting—for example, exploiting exogenous variation in father</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posting locations driven by bureaucratic rotation rules.</w:t>
      </w:r>
    </w:p>
    <w:p w14:paraId="3338689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(3) Measurement of the dependent variable. The coding of </w:t>
      </w:r>
      <w:r>
        <w:rPr>
          <w:rFonts w:hint="default" w:ascii="Times New Roman Regular" w:hAnsi="Times New Roman Regular" w:cs="Times New Roman Regular"/>
          <w:b w:val="0"/>
          <w:i w:val="0"/>
          <w:lang w:val="en-US"/>
        </w:rPr>
        <w:t>“Support for reform”</w:t>
      </w:r>
      <w:r>
        <w:rPr>
          <w:rFonts w:hint="default" w:ascii="Times New Roman Regular" w:hAnsi="Times New Roman Regular" w:cs="Times New Roman Regular" w:eastAsiaTheme="minorEastAsia"/>
          <w:b w:val="0"/>
          <w:i w:val="0"/>
        </w:rPr>
        <w:t xml:space="preserve"> conflates diverse reform policies into a single binary or near-binary measure. It is plausible that a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stance on land surveys (which directly affected landowning elites) was driven by different considerations than his stance on military conscription (which affected household labor supply). The five politicians with mixed attitudes are simply averaged, which obscures potentially informative heterogeneity. Scholars would recommend disaggregating support by specific policy to test whether the kinship-network mechanism operates more strongly for some policies (e.g., those with clearer geographic distributional implications) than others.</w:t>
      </w:r>
    </w:p>
    <w:p w14:paraId="654FFEEB">
      <w:pPr>
        <w:rPr>
          <w:rFonts w:hint="default" w:ascii="Times New Roman Regular" w:hAnsi="Times New Roman Regular" w:cs="Times New Roman Regular" w:eastAsiaTheme="minorEastAsia"/>
          <w:b w:val="0"/>
          <w:i w:val="0"/>
          <w:color w:val="00B0F0"/>
        </w:rPr>
      </w:pPr>
      <w:r>
        <w:rPr>
          <w:rFonts w:hint="default" w:ascii="Times New Roman Regular" w:hAnsi="Times New Roman Regular" w:cs="Times New Roman Regular" w:eastAsiaTheme="minorEastAsia"/>
          <w:b w:val="0"/>
          <w:i w:val="0"/>
          <w:color w:val="00B0F0"/>
        </w:rPr>
        <w:t>(4) Selection into the historical record. The availability of tomb epitaphs is not random. Prominent, well-connected, and culturally active politicians are more likely to have their epitaphs preserved and included in The Complete Prose of Song. This creates a potential selection problem: the 68 politicians with reconstructed networks may differ systematically from the 69 who lack epitaphs. If, for example, politicians with larger and more dispersed networks were more likely to commission literary epitaphs (because they had more culturally prominent in-laws who could write them), the sample would be biased toward finding the hypothesized relationship. The author</w:t>
      </w:r>
      <w:r>
        <w:rPr>
          <w:rFonts w:hint="default" w:ascii="Times New Roman Regular" w:hAnsi="Times New Roman Regular" w:cs="Times New Roman Regular"/>
          <w:b w:val="0"/>
          <w:i w:val="0"/>
          <w:color w:val="00B0F0"/>
          <w:lang w:val="en-US"/>
        </w:rPr>
        <w:t>’s</w:t>
      </w:r>
      <w:r>
        <w:rPr>
          <w:rFonts w:hint="default" w:ascii="Times New Roman Regular" w:hAnsi="Times New Roman Regular" w:cs="Times New Roman Regular" w:eastAsiaTheme="minorEastAsia"/>
          <w:b w:val="0"/>
          <w:i w:val="0"/>
          <w:color w:val="00B0F0"/>
        </w:rPr>
        <w:t xml:space="preserve"> comparison of the estimating and excluded samples (Appendix Table A1-3) shows that most variables are balanced but some are not, which partially addresses but does not eliminate this concern.</w:t>
      </w:r>
    </w:p>
    <w:p w14:paraId="5EAB5979">
      <w:pPr>
        <w:rPr>
          <w:rFonts w:hint="default" w:ascii="Times New Roman Regular" w:hAnsi="Times New Roman Regular" w:cs="Times New Roman Regular" w:eastAsiaTheme="minorEastAsia"/>
          <w:b w:val="0"/>
          <w:i w:val="0"/>
          <w:color w:val="00B0F0"/>
        </w:rPr>
      </w:pPr>
      <w:r>
        <w:rPr>
          <w:rFonts w:hint="default" w:ascii="Times New Roman Regular" w:hAnsi="Times New Roman Regular" w:cs="Times New Roman Regular" w:eastAsiaTheme="minorEastAsia"/>
          <w:b w:val="0"/>
          <w:i w:val="0"/>
          <w:color w:val="00B0F0"/>
        </w:rPr>
        <w:t>(5) Forward linkage mechanism is assumed rather than tested. The paper asserts that kinship networks create forward linkages that lock politicians into particular preferences, but this mechanism is not directly tested. We observe a correlation between network geography and reform support, but we do not observe the intervening process by which politicians deliberated over how state-building outcomes would affect their dispersed kin. Qualitative evidence from the period (e.g., Wang Anshi</w:t>
      </w:r>
      <w:r>
        <w:rPr>
          <w:rFonts w:hint="default" w:ascii="Times New Roman Regular" w:hAnsi="Times New Roman Regular" w:cs="Times New Roman Regular"/>
          <w:b w:val="0"/>
          <w:i w:val="0"/>
          <w:color w:val="00B0F0"/>
          <w:lang w:val="en-US"/>
        </w:rPr>
        <w:t>’s</w:t>
      </w:r>
      <w:r>
        <w:rPr>
          <w:rFonts w:hint="default" w:ascii="Times New Roman Regular" w:hAnsi="Times New Roman Regular" w:cs="Times New Roman Regular" w:eastAsiaTheme="minorEastAsia"/>
          <w:b w:val="0"/>
          <w:i w:val="0"/>
          <w:color w:val="00B0F0"/>
        </w:rPr>
        <w:t xml:space="preserve"> letter on p. 900 and the opposition</w:t>
      </w:r>
      <w:r>
        <w:rPr>
          <w:rFonts w:hint="default" w:ascii="Times New Roman Regular" w:hAnsi="Times New Roman Regular" w:cs="Times New Roman Regular"/>
          <w:b w:val="0"/>
          <w:i w:val="0"/>
          <w:color w:val="00B0F0"/>
          <w:lang w:val="en-US"/>
        </w:rPr>
        <w:t>’s</w:t>
      </w:r>
      <w:r>
        <w:rPr>
          <w:rFonts w:hint="default" w:ascii="Times New Roman Regular" w:hAnsi="Times New Roman Regular" w:cs="Times New Roman Regular" w:eastAsiaTheme="minorEastAsia"/>
          <w:b w:val="0"/>
          <w:i w:val="0"/>
          <w:color w:val="00B0F0"/>
        </w:rPr>
        <w:t xml:space="preserve"> arguments on pp. 900) is suggestive but not systematically analyzed. Process tracing or structured qualitative comparison of a few well-documented cases could strengthen the mechanistic argument.</w:t>
      </w:r>
    </w:p>
    <w:p w14:paraId="31B8CC1B">
      <w:pPr>
        <w:rPr>
          <w:rFonts w:hint="default" w:ascii="Times New Roman Regular" w:hAnsi="Times New Roman Regular" w:cs="Times New Roman Regular" w:eastAsiaTheme="minorEastAsia"/>
          <w:b w:val="0"/>
          <w:i w:val="0"/>
          <w:color w:val="00B0F0"/>
        </w:rPr>
      </w:pPr>
      <w:r>
        <w:rPr>
          <w:rFonts w:hint="default" w:ascii="Times New Roman Regular" w:hAnsi="Times New Roman Regular" w:cs="Times New Roman Regular" w:eastAsiaTheme="minorEastAsia"/>
          <w:b w:val="0"/>
          <w:i w:val="0"/>
          <w:color w:val="00B0F0"/>
        </w:rPr>
        <w:t>(6) The role of the emperor is undertheorized. The emperor (Shenzong) initiated the reform and kept both camps in power to play them against each other. This strategic behavior by the ruler shapes the very observability of the outcome variable: politicians expressed their preferences precisely because the emperor allowed open debate. If the emperor had simply purged the opposition, we would observe no variation in the dependent variable. This raises the question of how the findings would generalize to settings without such institutional openness. Additionally, the emperor</w:t>
      </w:r>
      <w:r>
        <w:rPr>
          <w:rFonts w:hint="default" w:ascii="Times New Roman Regular" w:hAnsi="Times New Roman Regular" w:cs="Times New Roman Regular"/>
          <w:b w:val="0"/>
          <w:i w:val="0"/>
          <w:color w:val="00B0F0"/>
          <w:lang w:val="en-US"/>
        </w:rPr>
        <w:t>’s</w:t>
      </w:r>
      <w:r>
        <w:rPr>
          <w:rFonts w:hint="default" w:ascii="Times New Roman Regular" w:hAnsi="Times New Roman Regular" w:cs="Times New Roman Regular" w:eastAsiaTheme="minorEastAsia"/>
          <w:b w:val="0"/>
          <w:i w:val="0"/>
          <w:color w:val="00B0F0"/>
        </w:rPr>
        <w:t xml:space="preserve"> own calculation about which elites to empower and which to marginalize could itself have been influenced by the geography of elite networks, introducing a potential endogeneity between the ruler</w:t>
      </w:r>
      <w:r>
        <w:rPr>
          <w:rFonts w:hint="default" w:ascii="Times New Roman Regular" w:hAnsi="Times New Roman Regular" w:cs="Times New Roman Regular"/>
          <w:b w:val="0"/>
          <w:i w:val="0"/>
          <w:color w:val="00B0F0"/>
          <w:lang w:val="en-US"/>
        </w:rPr>
        <w:t>’s</w:t>
      </w:r>
      <w:r>
        <w:rPr>
          <w:rFonts w:hint="default" w:ascii="Times New Roman Regular" w:hAnsi="Times New Roman Regular" w:cs="Times New Roman Regular" w:eastAsiaTheme="minorEastAsia"/>
          <w:b w:val="0"/>
          <w:i w:val="0"/>
          <w:color w:val="00B0F0"/>
        </w:rPr>
        <w:t xml:space="preserve"> strategy and the elite</w:t>
      </w:r>
      <w:r>
        <w:rPr>
          <w:rFonts w:hint="default" w:ascii="Times New Roman Regular" w:hAnsi="Times New Roman Regular" w:cs="Times New Roman Regular"/>
          <w:b w:val="0"/>
          <w:i w:val="0"/>
          <w:color w:val="00B0F0"/>
          <w:lang w:val="en-US"/>
        </w:rPr>
        <w:t>s’</w:t>
      </w:r>
      <w:r>
        <w:rPr>
          <w:rFonts w:hint="default" w:ascii="Times New Roman Regular" w:hAnsi="Times New Roman Regular" w:cs="Times New Roman Regular" w:eastAsiaTheme="minorEastAsia"/>
          <w:b w:val="0"/>
          <w:i w:val="0"/>
          <w:color w:val="00B0F0"/>
        </w:rPr>
        <w:t xml:space="preserve"> revealed preferences.</w:t>
      </w:r>
    </w:p>
    <w:p w14:paraId="136CF0F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(7) Alternative mechanisms are not fully discriminated. The paper proposes multiple overlapping mechanisms (scale economies, cross-cutting cleavages, forward linkages, credible commitment) but does not design tests to discriminate among them. It is possible that all four mechanisms operate simultaneously, but it is also possible that only one (e.g., the straightforward economic logic of scale) drives the result while the others are epiphenomenal. Scholars would encourage designing tests that exploit observable implications unique to each mechanism.专业学者会指出以下几项重大局限并提出改进建议。</w:t>
      </w:r>
    </w:p>
    <w:p w14:paraId="0BCAC14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（1）小样本与可推广性。 主分析仅基于40位政治人物（占识别出的137位的不到三分之一，而整个北宋的政治阶层远不止这些）。在40个观察值的情况下，检测效应的统计功效有限，且在某些设定中加入府固定效应和10个以上控制变量消耗了大量自由度。在如此少的观察值和如此多的参数下，系数的稳健性究竟如何并不清楚。学者会建议未来研究扩大样本（如纳入省级官员或跨朝代数据）或使用更适合小样本的方法（如贝叶斯估计或精确置换检验）。</w:t>
      </w:r>
    </w:p>
    <w:p w14:paraId="539065C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（2）因果识别仍然是初步的。 尽管有广泛的稳健性检验和Altonji-Elder-Taber敏感性分析，该设计本质上是观察性的、横截面的。作者无法排除某些未观测到的特征——如政治人物的世界主义视野、教育质量或家族的长期战略取向——同时导致了分散的宗族网络和支持改革的偏好。父亲迁移被用作网络分散程度的预测变量，作者还在一项稳健性检验中使用了政治人物自身婚姻网络作为工具变量（附录表A1-12），但正式的工具变量分析有限。学者会建议寻找合理的工具变量或准实验情境——例如利用官僚轮换制度导致的父辈任职地点的外生变异。</w:t>
      </w:r>
    </w:p>
    <w:p w14:paraId="3D75A63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（3）因变量的测量。 </w:t>
      </w:r>
      <w:r>
        <w:rPr>
          <w:rFonts w:hint="default" w:ascii="Times New Roman Regular" w:hAnsi="Times New Roman Regular" w:cs="Times New Roman Regular"/>
          <w:b w:val="0"/>
          <w:i w:val="0"/>
          <w:lang w:val="en-US"/>
        </w:rPr>
        <w:t>“改革支持度”</w:t>
      </w:r>
      <w:r>
        <w:rPr>
          <w:rFonts w:hint="default" w:ascii="Times New Roman Regular" w:hAnsi="Times New Roman Regular" w:cs="Times New Roman Regular" w:eastAsiaTheme="minorEastAsia"/>
          <w:b w:val="0"/>
          <w:i w:val="0"/>
        </w:rPr>
        <w:t>的编码将多种性质不同的改革政策混合为一个二元或近似二元的度量。政治人物对土地清查（直接影响地主精英）的立场可能受不同于保甲法（影响家户劳动力供给）的考量驱动。5位态度混合的政治人物被简单平均，掩盖了潜在有价值的异质性。学者会建议按具体政策拆分支持度，以检验宗族网络机制是否对某些政策（如具有更清晰地理分配含义的政策）比其他政策更强。</w:t>
      </w:r>
    </w:p>
    <w:p w14:paraId="0B98A41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（4）进入历史记录的选择偏差。 墓志铭的保存并非随机。显赫、人脉广泛、文化活跃的政治人物更可能拥有保存下来并被收入《全宋文》的墓志铭。这造成了潜在的选择问题：有重建网络信息的68位政治人物可能与缺失墓志铭的69位系统性地不同。例如，如果拥有更大、更分散网络的政治人物更可能委托文学墓志铭（因为他们有更多文化上显赫的姻亲可以撰写），则样本可能偏向于发现假设的关系。作者对估计样本和排除样本的比较（附录表A1-3）显示大多数变量是平衡的但有些不是，这部分但并非完全消除了这一疑虑。</w:t>
      </w:r>
    </w:p>
    <w:p w14:paraId="1D17781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（5）前向联系机制是假设而非检验。 论文断言宗族网络创造了锁定政治人物特定偏好的前向联系，但这一机制并未被直接检验。我们观察到网络地理与改革支持之间的相关性，但未观察到政治人物就国家建设结果将如何影响其分散亲属进行权衡的中间过程。来自该时期的定性证据（如王安石的信函，第900页；反对派的论述，第900页）具有暗示性但未被系统分析。过程追踪或对几个文献记录充分的案例进行结构化定性比较，可以加强机制论证。</w:t>
      </w:r>
    </w:p>
    <w:p w14:paraId="3876FBB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（6）皇帝的角色理论化不足。 神宗皇帝发起了变法，并让两个阵营同时留在朝中以相互制衡。统治者的这种策略行为塑造了因变量本身的可观测性：政治人物之所以表达偏好，恰恰是因为皇帝允许公开辩论。如果皇帝直接清洗了反对派，因变量就不会有变异。这引出一个问题：在缺乏这种制度开放性的情境下，本文发现是否可推广。此外，皇帝自己关于赋权哪些精英、边缘化哪些精英的计算本身可能受到精英网络地理结构的影响，在统治者策略与精英显示偏好之间引入潜在内生性。</w:t>
      </w:r>
    </w:p>
    <w:p w14:paraId="61F517E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（7）替代机制之间未能充分区分。 论文提出了多个重叠的机制（规模经济、跨切分界线、前向联系、可置信承诺），但未设计检验来区分它们。所有四种机制可能同时运作，但也可能只有一种（如直接的规模经济逻辑）驱动了结果，其余是附带现象。学者会鼓励设计利用每种机制独特可观测含义的检验。</w:t>
      </w:r>
    </w:p>
    <w:p w14:paraId="4C78AD85">
      <w:pPr>
        <w:rPr>
          <w:rFonts w:hint="default" w:ascii="Times New Roman Regular" w:hAnsi="Times New Roman Regular" w:cs="Times New Roman Regular" w:eastAsiaTheme="minorEastAsia"/>
          <w:b w:val="0"/>
          <w:i w:val="0"/>
        </w:rPr>
      </w:pPr>
    </w:p>
    <w:p w14:paraId="70694C7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作者确实部分考虑了</w:t>
      </w:r>
      <w:r>
        <w:rPr>
          <w:rFonts w:hint="default" w:ascii="Times New Roman Regular" w:hAnsi="Times New Roman Regular" w:cs="Times New Roman Regular"/>
          <w:b w:val="0"/>
          <w:i w:val="0"/>
          <w:lang w:val="en-US"/>
        </w:rPr>
        <w:t>“门生故吏”</w:t>
      </w:r>
      <w:r>
        <w:rPr>
          <w:rFonts w:hint="default" w:ascii="Times New Roman Regular" w:hAnsi="Times New Roman Regular" w:cs="Times New Roman Regular" w:eastAsiaTheme="minorEastAsia"/>
          <w:b w:val="0"/>
          <w:i w:val="0"/>
        </w:rPr>
        <w:t>网络，但处理得不够充分。在控制变量中，他构建了Factional tie with reform leader这一指标，包含三种关系：（1）考官-考生关系（examiner-examinee），（2）同年进士关系，（3）同一学派关系（第907页）。这其中（1）就是</w:t>
      </w:r>
      <w:r>
        <w:rPr>
          <w:rFonts w:hint="default" w:ascii="Times New Roman Regular" w:hAnsi="Times New Roman Regular" w:cs="Times New Roman Regular"/>
          <w:b w:val="0"/>
          <w:i w:val="0"/>
          <w:lang w:val="en-US"/>
        </w:rPr>
        <w:t>“座主-门生”</w:t>
      </w:r>
      <w:r>
        <w:rPr>
          <w:rFonts w:hint="default" w:ascii="Times New Roman Regular" w:hAnsi="Times New Roman Regular" w:cs="Times New Roman Regular" w:eastAsiaTheme="minorEastAsia"/>
          <w:b w:val="0"/>
          <w:i w:val="0"/>
        </w:rPr>
        <w:t>关系的一种形式化表达。但你的直觉指向了一个更深的问题。在宋代政治中，</w:t>
      </w:r>
      <w:r>
        <w:rPr>
          <w:rFonts w:hint="default" w:ascii="Times New Roman Regular" w:hAnsi="Times New Roman Regular" w:cs="Times New Roman Regular"/>
          <w:b w:val="0"/>
          <w:i w:val="0"/>
          <w:lang w:val="en-US"/>
        </w:rPr>
        <w:t>“门生故吏”</w:t>
      </w:r>
      <w:r>
        <w:rPr>
          <w:rFonts w:hint="default" w:ascii="Times New Roman Regular" w:hAnsi="Times New Roman Regular" w:cs="Times New Roman Regular" w:eastAsiaTheme="minorEastAsia"/>
          <w:b w:val="0"/>
          <w:i w:val="0"/>
        </w:rPr>
        <w:t>关系（patron-client ties through examination, appointment, and recommendation）的政治意义往往不亚于、甚至超过血缘和姻亲关系。余英时在《朱熹的历史世界》中系统论证过，北宋中后期的政治派系（如洛党、蜀党、朔党）的凝聚力主要来自师生、同年、荐举关系，而非宗族婚姻。刘子健（James T.C. Liu）在《Reform in Sung China》中也强调，王安石变法时期的政治对立，核心组织纽带是</w:t>
      </w:r>
      <w:r>
        <w:rPr>
          <w:rFonts w:hint="default" w:ascii="Times New Roman Regular" w:hAnsi="Times New Roman Regular" w:cs="Times New Roman Regular"/>
          <w:b w:val="0"/>
          <w:i w:val="0"/>
          <w:lang w:val="en-US"/>
        </w:rPr>
        <w:t>“学术师承+政治荐举”</w:t>
      </w:r>
      <w:r>
        <w:rPr>
          <w:rFonts w:hint="default" w:ascii="Times New Roman Regular" w:hAnsi="Times New Roman Regular" w:cs="Times New Roman Regular" w:eastAsiaTheme="minorEastAsia"/>
          <w:b w:val="0"/>
          <w:i w:val="0"/>
        </w:rPr>
        <w:t>的网络，而非姻亲网络。王裕华把</w:t>
      </w:r>
      <w:r>
        <w:rPr>
          <w:rFonts w:hint="default" w:ascii="Times New Roman Regular" w:hAnsi="Times New Roman Regular" w:cs="Times New Roman Regular"/>
          <w:b w:val="0"/>
          <w:i w:val="0"/>
          <w:lang w:val="en-US"/>
        </w:rPr>
        <w:t>“门生故吏”</w:t>
      </w:r>
      <w:r>
        <w:rPr>
          <w:rFonts w:hint="default" w:ascii="Times New Roman Regular" w:hAnsi="Times New Roman Regular" w:cs="Times New Roman Regular" w:eastAsiaTheme="minorEastAsia"/>
          <w:b w:val="0"/>
          <w:i w:val="0"/>
        </w:rPr>
        <w:t>关系仅仅作为一个二元控制变量来处理，而把姻亲网络的地理结构作为核心自变量，这里有一个理论选择上的问题：他需要论证为什么姻亲网络的地理结构比门生-座主网络更能决定政治人物的改革立场。但论文中对此并没有给出充分的理由。论文的理论框架假设政治人物是</w:t>
      </w:r>
      <w:r>
        <w:rPr>
          <w:rFonts w:hint="default" w:ascii="Times New Roman Regular" w:hAnsi="Times New Roman Regular" w:cs="Times New Roman Regular"/>
          <w:b w:val="0"/>
          <w:i w:val="0"/>
          <w:lang w:val="en-US"/>
        </w:rPr>
        <w:t>“宗族群体的代理人”</w:t>
      </w:r>
      <w:r>
        <w:rPr>
          <w:rFonts w:hint="default" w:ascii="Times New Roman Regular" w:hAnsi="Times New Roman Regular" w:cs="Times New Roman Regular" w:eastAsiaTheme="minorEastAsia"/>
          <w:b w:val="0"/>
          <w:i w:val="0"/>
        </w:rPr>
        <w:t>（agents of their kinship groups, p. 898），其目标是为亲属争取最优的公共服务。但如果政治人物同样是（甚至更是）门生-座主派系的代理人，那么其政治立场可能更多地由派系忠诚和学术立场决定，而非由宗族网络的地理分布决定。这是一个可以对论文构成实质性挑战的遗漏。一个可能的改进是：将</w:t>
      </w:r>
      <w:r>
        <w:rPr>
          <w:rFonts w:hint="default" w:ascii="Times New Roman Regular" w:hAnsi="Times New Roman Regular" w:cs="Times New Roman Regular"/>
          <w:b w:val="0"/>
          <w:i w:val="0"/>
          <w:lang w:val="en-US"/>
        </w:rPr>
        <w:t>“门生故吏”</w:t>
      </w:r>
      <w:r>
        <w:rPr>
          <w:rFonts w:hint="default" w:ascii="Times New Roman Regular" w:hAnsi="Times New Roman Regular" w:cs="Times New Roman Regular" w:eastAsiaTheme="minorEastAsia"/>
          <w:b w:val="0"/>
          <w:i w:val="0"/>
        </w:rPr>
        <w:t>网络也构建为一个地理分布指数（就像姻亲网络那样），然后比较两种网络的解释力，或者检验两者是否交互影响。</w:t>
      </w:r>
    </w:p>
    <w:p w14:paraId="516A39A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The author did consider the </w:t>
      </w:r>
      <w:r>
        <w:rPr>
          <w:rFonts w:hint="default" w:ascii="Times New Roman Regular" w:hAnsi="Times New Roman Regular" w:cs="Times New Roman Regular"/>
          <w:b w:val="0"/>
          <w:i w:val="0"/>
          <w:lang w:val="en-US"/>
        </w:rPr>
        <w:t>“</w:t>
      </w:r>
      <w:r>
        <w:rPr>
          <w:rFonts w:hint="default" w:ascii="Times New Roman Regular" w:hAnsi="Times New Roman Regular" w:cs="Times New Roman Regular"/>
          <w:b w:val="0"/>
          <w:i w:val="0"/>
          <w:color w:val="0000FF"/>
          <w:lang w:val="en-US"/>
        </w:rPr>
        <w:t>patron-client ties through examination, appointment, and recommendation”</w:t>
      </w:r>
      <w:r>
        <w:rPr>
          <w:rFonts w:hint="default" w:ascii="Times New Roman Regular" w:hAnsi="Times New Roman Regular" w:cs="Times New Roman Regular" w:eastAsiaTheme="minorEastAsia"/>
          <w:b w:val="0"/>
          <w:i w:val="0"/>
          <w:color w:val="0000FF"/>
        </w:rPr>
        <w:t xml:space="preserve"> network</w:t>
      </w:r>
      <w:r>
        <w:rPr>
          <w:rFonts w:hint="default" w:ascii="Times New Roman Regular" w:hAnsi="Times New Roman Regular" w:cs="Times New Roman Regular" w:eastAsiaTheme="minorEastAsia"/>
          <w:b w:val="0"/>
          <w:i w:val="0"/>
        </w:rPr>
        <w:t xml:space="preserve"> to some extent, but not thoroughly. In the control variables, he constructed the indicator </w:t>
      </w:r>
      <w:r>
        <w:rPr>
          <w:rFonts w:hint="default" w:ascii="Times New Roman Regular" w:hAnsi="Times New Roman Regular" w:cs="Times New Roman Regular"/>
          <w:b w:val="0"/>
          <w:i w:val="0"/>
          <w:lang w:val="en-US"/>
        </w:rPr>
        <w:t>“factional tie with reform leader”</w:t>
      </w:r>
      <w:r>
        <w:rPr>
          <w:rFonts w:hint="default" w:ascii="Times New Roman Regular" w:hAnsi="Times New Roman Regular" w:cs="Times New Roman Regular" w:eastAsiaTheme="minorEastAsia"/>
          <w:b w:val="0"/>
          <w:i w:val="0"/>
        </w:rPr>
        <w:t xml:space="preserve">, which includes three relationships: (1) examiner-examinee relationship, (2) fellow graduates of the same year, and (3) relationship of the same school of thought (p. 907). Among these, (1) is a formalized expression of the </w:t>
      </w:r>
      <w:r>
        <w:rPr>
          <w:rFonts w:hint="default" w:ascii="Times New Roman Regular" w:hAnsi="Times New Roman Regular" w:cs="Times New Roman Regular"/>
          <w:b w:val="0"/>
          <w:i w:val="0"/>
          <w:lang w:val="en-US"/>
        </w:rPr>
        <w:t>“master-disciple”</w:t>
      </w:r>
      <w:r>
        <w:rPr>
          <w:rFonts w:hint="default" w:ascii="Times New Roman Regular" w:hAnsi="Times New Roman Regular" w:cs="Times New Roman Regular" w:eastAsiaTheme="minorEastAsia"/>
          <w:b w:val="0"/>
          <w:i w:val="0"/>
        </w:rPr>
        <w:t xml:space="preserve"> relationship. But your intuition points to a deeper issue. In Song Dynasty politics, the political significance of </w:t>
      </w:r>
      <w:r>
        <w:rPr>
          <w:rFonts w:hint="default" w:ascii="Times New Roman Regular" w:hAnsi="Times New Roman Regular" w:cs="Times New Roman Regular"/>
          <w:b w:val="0"/>
          <w:i w:val="0"/>
          <w:lang w:val="en-US"/>
        </w:rPr>
        <w:t>“patron-client ties through examination, appointment, and recommendation”</w:t>
      </w:r>
      <w:r>
        <w:rPr>
          <w:rFonts w:hint="default" w:ascii="Times New Roman Regular" w:hAnsi="Times New Roman Regular" w:cs="Times New Roman Regular" w:eastAsiaTheme="minorEastAsia"/>
          <w:b w:val="0"/>
          <w:i w:val="0"/>
        </w:rPr>
        <w:t xml:space="preserve"> was often no less than, or even greater than, blood ties and marriage ties. Yu Yingshi systematically argued in </w:t>
      </w:r>
      <w:r>
        <w:rPr>
          <w:rFonts w:hint="default" w:ascii="Times New Roman Regular" w:hAnsi="Times New Roman Regular" w:cs="Times New Roman Regular"/>
          <w:b w:val="0"/>
          <w:i w:val="0"/>
          <w:lang w:val="en-US"/>
        </w:rPr>
        <w:t>“The Historical World of Zhu Xi”</w:t>
      </w:r>
      <w:r>
        <w:rPr>
          <w:rFonts w:hint="default" w:ascii="Times New Roman Regular" w:hAnsi="Times New Roman Regular" w:cs="Times New Roman Regular" w:eastAsiaTheme="minorEastAsia"/>
          <w:b w:val="0"/>
          <w:i w:val="0"/>
        </w:rPr>
        <w:t xml:space="preserve"> that the cohesion of political factions (such as the Luoyang Party, the Shu Party, and the Shuo Party) in the mid-to-late Northern Song Dynasty mainly came from teacher-student, fellow graduates of the same year, and recommendation relationships, rather than clan and marriage relationships. James T.C. Liu also emphasizes that the core organizational bond of political conflict during Wang Anshi</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reforms was a network of </w:t>
      </w:r>
      <w:r>
        <w:rPr>
          <w:rFonts w:hint="default" w:ascii="Times New Roman Regular" w:hAnsi="Times New Roman Regular" w:cs="Times New Roman Regular"/>
          <w:b w:val="0"/>
          <w:i w:val="0"/>
          <w:lang w:val="en-US"/>
        </w:rPr>
        <w:t>“academic mentorship + political recommendation,”</w:t>
      </w:r>
      <w:r>
        <w:rPr>
          <w:rFonts w:hint="default" w:ascii="Times New Roman Regular" w:hAnsi="Times New Roman Regular" w:cs="Times New Roman Regular" w:eastAsiaTheme="minorEastAsia"/>
          <w:b w:val="0"/>
          <w:i w:val="0"/>
        </w:rPr>
        <w:t xml:space="preserve"> rather than a network of kinship. Wang Yuhua treats the relationship between </w:t>
      </w:r>
      <w:r>
        <w:rPr>
          <w:rFonts w:hint="default" w:ascii="Times New Roman Regular" w:hAnsi="Times New Roman Regular" w:cs="Times New Roman Regular"/>
          <w:b w:val="0"/>
          <w:i w:val="0"/>
          <w:lang w:val="en-US"/>
        </w:rPr>
        <w:t>“disciples and former officials”</w:t>
      </w:r>
      <w:r>
        <w:rPr>
          <w:rFonts w:hint="default" w:ascii="Times New Roman Regular" w:hAnsi="Times New Roman Regular" w:cs="Times New Roman Regular" w:eastAsiaTheme="minorEastAsia"/>
          <w:b w:val="0"/>
          <w:i w:val="0"/>
        </w:rPr>
        <w:t xml:space="preserve"> merely as a binary control variable, while using the geographical structure of the kinship network as the core independent variable. This presents a theoretical problem: he needs to demonstrate why the geographical structure of the kinship network is more influencing a politician</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reform stance than the disciple-master network. However, the paper does not provide sufficient justification for this. The paper</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theoretical framework assumes that politicians are </w:t>
      </w:r>
      <w:r>
        <w:rPr>
          <w:rFonts w:hint="default" w:ascii="Times New Roman Regular" w:hAnsi="Times New Roman Regular" w:cs="Times New Roman Regular"/>
          <w:b w:val="0"/>
          <w:i w:val="0"/>
          <w:lang w:val="en-US"/>
        </w:rPr>
        <w:t>“agents of their kinship groups”</w:t>
      </w:r>
      <w:r>
        <w:rPr>
          <w:rFonts w:hint="default" w:ascii="Times New Roman Regular" w:hAnsi="Times New Roman Regular" w:cs="Times New Roman Regular" w:eastAsiaTheme="minorEastAsia"/>
          <w:b w:val="0"/>
          <w:i w:val="0"/>
        </w:rPr>
        <w:t xml:space="preserve"> (p. 898), whose goal is to secure the best public services for their relatives. But if politicians are also (or even more so) agents of disciple-master factions, then their political stance may be determined more by factional loyalty and academic stance than by the geographical distribution of the kinship network. This is an oversight that could pose a substantial challenge to the paper. One possible improvement is to construct the </w:t>
      </w:r>
      <w:r>
        <w:rPr>
          <w:rFonts w:hint="default" w:ascii="Times New Roman Regular" w:hAnsi="Times New Roman Regular" w:cs="Times New Roman Regular"/>
          <w:b w:val="0"/>
          <w:i w:val="0"/>
          <w:lang w:val="en-US"/>
        </w:rPr>
        <w:t>“</w:t>
      </w:r>
      <w:r>
        <w:rPr>
          <w:rFonts w:hint="default" w:ascii="Times New Roman Regular" w:hAnsi="Times New Roman Regular" w:cs="Times New Roman Regular"/>
          <w:b w:val="0"/>
          <w:i w:val="0"/>
          <w:color w:val="0000FF"/>
          <w:lang w:val="en-US"/>
        </w:rPr>
        <w:t>disciples and former associates</w:t>
      </w:r>
      <w:r>
        <w:rPr>
          <w:rFonts w:hint="default" w:ascii="Times New Roman Regular" w:hAnsi="Times New Roman Regular" w:cs="Times New Roman Regular"/>
          <w:b w:val="0"/>
          <w:i w:val="0"/>
          <w:lang w:val="en-US"/>
        </w:rPr>
        <w:t>”</w:t>
      </w:r>
      <w:r>
        <w:rPr>
          <w:rFonts w:hint="default" w:ascii="Times New Roman Regular" w:hAnsi="Times New Roman Regular" w:cs="Times New Roman Regular" w:eastAsiaTheme="minorEastAsia"/>
          <w:b w:val="0"/>
          <w:i w:val="0"/>
        </w:rPr>
        <w:t xml:space="preserve"> network as a geographical distribution index (like the in-law network), and then compare the explanatory power of the two networks, or examine whether they interact.</w:t>
      </w:r>
    </w:p>
    <w:p w14:paraId="07E2A007">
      <w:pPr>
        <w:rPr>
          <w:rFonts w:hint="default" w:ascii="Times New Roman Regular" w:hAnsi="Times New Roman Regular" w:cs="Times New Roman Regular" w:eastAsiaTheme="minorEastAsia"/>
          <w:b w:val="0"/>
          <w:i w:val="0"/>
        </w:rPr>
      </w:pPr>
    </w:p>
    <w:p w14:paraId="1751D2F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中国传统政治的话语，对于政策，不是按照加不加强中央集权来的。王安石的本意，其他反对/支持者为什么反对/支持，真的和对于中央集权是否强大的感知、判断、观念，以及强中央集权对自身的作用的体会，有关系吗？或者说，当时的士大夫真的在想</w:t>
      </w:r>
      <w:r>
        <w:rPr>
          <w:rFonts w:hint="default" w:ascii="Times New Roman Regular" w:hAnsi="Times New Roman Regular" w:cs="Times New Roman Regular"/>
          <w:b w:val="0"/>
          <w:i w:val="0"/>
          <w:lang w:val="en-US"/>
        </w:rPr>
        <w:t>“中央集权强不强”</w:t>
      </w:r>
      <w:r>
        <w:rPr>
          <w:rFonts w:hint="default" w:ascii="Times New Roman Regular" w:hAnsi="Times New Roman Regular" w:cs="Times New Roman Regular" w:eastAsiaTheme="minorEastAsia"/>
          <w:b w:val="0"/>
          <w:i w:val="0"/>
        </w:rPr>
        <w:t>吗？</w:t>
      </w:r>
    </w:p>
    <w:p w14:paraId="0C4630D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这是将现代政治科学概念（state building, state capacity）投射到前现代政治行为者身上的合法性问题。</w:t>
      </w:r>
    </w:p>
    <w:p w14:paraId="675D56C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王安石自己的论述框架并不是</w:t>
      </w:r>
      <w:r>
        <w:rPr>
          <w:rFonts w:hint="default" w:ascii="Times New Roman Regular" w:hAnsi="Times New Roman Regular" w:cs="Times New Roman Regular"/>
          <w:b w:val="0"/>
          <w:i w:val="0"/>
          <w:lang w:val="en-US"/>
        </w:rPr>
        <w:t>“加强中央集权”</w:t>
      </w:r>
      <w:r>
        <w:rPr>
          <w:rFonts w:hint="default" w:ascii="Times New Roman Regular" w:hAnsi="Times New Roman Regular" w:cs="Times New Roman Regular" w:eastAsiaTheme="minorEastAsia"/>
          <w:b w:val="0"/>
          <w:i w:val="0"/>
        </w:rPr>
        <w:t>。他的核心话语是儒家经世济民的传统。他在《上仁宗皇帝言事书》中的论述，出发点是</w:t>
      </w:r>
      <w:r>
        <w:rPr>
          <w:rFonts w:hint="default" w:ascii="Times New Roman Regular" w:hAnsi="Times New Roman Regular" w:cs="Times New Roman Regular"/>
          <w:b w:val="0"/>
          <w:i w:val="0"/>
          <w:lang w:val="en-US"/>
        </w:rPr>
        <w:t>“因天下之力以生天下之财，取天下之财以供天下之费”</w:t>
      </w:r>
      <w:r>
        <w:rPr>
          <w:rFonts w:hint="default" w:ascii="Times New Roman Regular" w:hAnsi="Times New Roman Regular" w:cs="Times New Roman Regular" w:eastAsiaTheme="minorEastAsia"/>
          <w:b w:val="0"/>
          <w:i w:val="0"/>
        </w:rPr>
        <w:t>——这是一种治理效能的论述，不是一种</w:t>
      </w:r>
      <w:r>
        <w:rPr>
          <w:rFonts w:hint="default" w:ascii="Times New Roman Regular" w:hAnsi="Times New Roman Regular" w:cs="Times New Roman Regular"/>
          <w:b w:val="0"/>
          <w:i w:val="0"/>
          <w:lang w:val="en-US"/>
        </w:rPr>
        <w:t>“国家vs.社会”</w:t>
      </w:r>
      <w:r>
        <w:rPr>
          <w:rFonts w:hint="default" w:ascii="Times New Roman Regular" w:hAnsi="Times New Roman Regular" w:cs="Times New Roman Regular" w:eastAsiaTheme="minorEastAsia"/>
          <w:b w:val="0"/>
          <w:i w:val="0"/>
        </w:rPr>
        <w:t>的论述。他在给运判马的信中说</w:t>
      </w:r>
      <w:r>
        <w:rPr>
          <w:rFonts w:hint="default" w:ascii="Times New Roman Regular" w:hAnsi="Times New Roman Regular" w:cs="Times New Roman Regular"/>
          <w:b w:val="0"/>
          <w:i w:val="0"/>
          <w:lang w:val="en-US"/>
        </w:rPr>
        <w:t>“欲增己家之资者，必依其所居之国”</w:t>
      </w:r>
      <w:r>
        <w:rPr>
          <w:rFonts w:hint="default" w:ascii="Times New Roman Regular" w:hAnsi="Times New Roman Regular" w:cs="Times New Roman Regular" w:eastAsiaTheme="minorEastAsia"/>
          <w:b w:val="0"/>
          <w:i w:val="0"/>
        </w:rPr>
        <w:t>（第900页），这在字面上确实是把家族利益和国家利益挂钩，但这是一种儒家</w:t>
      </w:r>
      <w:r>
        <w:rPr>
          <w:rFonts w:hint="default" w:ascii="Times New Roman Regular" w:hAnsi="Times New Roman Regular" w:cs="Times New Roman Regular"/>
          <w:b w:val="0"/>
          <w:i w:val="0"/>
          <w:lang w:val="en-US"/>
        </w:rPr>
        <w:t>“家-国同构”</w:t>
      </w:r>
      <w:r>
        <w:rPr>
          <w:rFonts w:hint="default" w:ascii="Times New Roman Regular" w:hAnsi="Times New Roman Regular" w:cs="Times New Roman Regular" w:eastAsiaTheme="minorEastAsia"/>
          <w:b w:val="0"/>
          <w:i w:val="0"/>
        </w:rPr>
        <w:t>的修辞传统，未必意味着他在进行</w:t>
      </w:r>
      <w:r>
        <w:rPr>
          <w:rFonts w:hint="default" w:ascii="Times New Roman Regular" w:hAnsi="Times New Roman Regular" w:cs="Times New Roman Regular"/>
          <w:b w:val="0"/>
          <w:i w:val="0"/>
          <w:lang w:val="en-US"/>
        </w:rPr>
        <w:t>“中央集权有利于我家族利益分散化保障”</w:t>
      </w:r>
      <w:r>
        <w:rPr>
          <w:rFonts w:hint="default" w:ascii="Times New Roman Regular" w:hAnsi="Times New Roman Regular" w:cs="Times New Roman Regular" w:eastAsiaTheme="minorEastAsia"/>
          <w:b w:val="0"/>
          <w:i w:val="0"/>
        </w:rPr>
        <w:t>这样的理性计算。</w:t>
      </w:r>
    </w:p>
    <w:p w14:paraId="099BA19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反对者的话语就更复杂了。司马光反对的核心论述是</w:t>
      </w:r>
      <w:r>
        <w:rPr>
          <w:rFonts w:hint="default" w:ascii="Times New Roman Regular" w:hAnsi="Times New Roman Regular" w:cs="Times New Roman Regular"/>
          <w:b w:val="0"/>
          <w:i w:val="0"/>
          <w:lang w:val="en-US"/>
        </w:rPr>
        <w:t>“天下之出入钱物有定数，若在官则不在民”</w:t>
      </w:r>
      <w:r>
        <w:rPr>
          <w:rFonts w:hint="default" w:ascii="Times New Roman Regular" w:hAnsi="Times New Roman Regular" w:cs="Times New Roman Regular" w:eastAsiaTheme="minorEastAsia"/>
          <w:b w:val="0"/>
          <w:i w:val="0"/>
        </w:rPr>
        <w:t>——这是一种零和博弈的财政哲学，关注的是国家汲取对民间财富的挤压，而非</w:t>
      </w:r>
      <w:r>
        <w:rPr>
          <w:rFonts w:hint="default" w:ascii="Times New Roman Regular" w:hAnsi="Times New Roman Regular" w:cs="Times New Roman Regular"/>
          <w:b w:val="0"/>
          <w:i w:val="0"/>
          <w:lang w:val="en-US"/>
        </w:rPr>
        <w:t>“我家族的私人秩序制度会被中央替代”</w:t>
      </w:r>
      <w:r>
        <w:rPr>
          <w:rFonts w:hint="default" w:ascii="Times New Roman Regular" w:hAnsi="Times New Roman Regular" w:cs="Times New Roman Regular" w:eastAsiaTheme="minorEastAsia"/>
          <w:b w:val="0"/>
          <w:i w:val="0"/>
        </w:rPr>
        <w:t>。邓润甫反对保甲法的理由是：用保甲取代私人武装</w:t>
      </w:r>
      <w:r>
        <w:rPr>
          <w:rFonts w:hint="default" w:ascii="Times New Roman Regular" w:hAnsi="Times New Roman Regular" w:cs="Times New Roman Regular"/>
          <w:b w:val="0"/>
          <w:i w:val="0"/>
          <w:lang w:val="en-US"/>
        </w:rPr>
        <w:t>“毁掉了建立在人际关系基础上的天然防御和监视网络”</w:t>
      </w:r>
      <w:r>
        <w:rPr>
          <w:rFonts w:hint="default" w:ascii="Times New Roman Regular" w:hAnsi="Times New Roman Regular" w:cs="Times New Roman Regular" w:eastAsiaTheme="minorEastAsia"/>
          <w:b w:val="0"/>
          <w:i w:val="0"/>
        </w:rPr>
        <w:t>（第900页）——这看起来确实涉及</w:t>
      </w:r>
      <w:r>
        <w:rPr>
          <w:rFonts w:hint="default" w:ascii="Times New Roman Regular" w:hAnsi="Times New Roman Regular" w:cs="Times New Roman Regular"/>
          <w:b w:val="0"/>
          <w:i w:val="0"/>
          <w:lang w:val="en-US"/>
        </w:rPr>
        <w:t>“公共秩序vs.私人秩序”</w:t>
      </w:r>
      <w:r>
        <w:rPr>
          <w:rFonts w:hint="default" w:ascii="Times New Roman Regular" w:hAnsi="Times New Roman Regular" w:cs="Times New Roman Regular" w:eastAsiaTheme="minorEastAsia"/>
          <w:b w:val="0"/>
          <w:i w:val="0"/>
        </w:rPr>
        <w:t>的替代问题，但他的措辞是</w:t>
      </w:r>
      <w:r>
        <w:rPr>
          <w:rFonts w:hint="default" w:ascii="Times New Roman Regular" w:hAnsi="Times New Roman Regular" w:cs="Times New Roman Regular"/>
          <w:b w:val="0"/>
          <w:i w:val="0"/>
          <w:lang w:val="en-US"/>
        </w:rPr>
        <w:t>“personal relationships”</w:t>
      </w:r>
      <w:r>
        <w:rPr>
          <w:rFonts w:hint="default" w:ascii="Times New Roman Regular" w:hAnsi="Times New Roman Regular" w:cs="Times New Roman Regular" w:eastAsiaTheme="minorEastAsia"/>
          <w:b w:val="0"/>
          <w:i w:val="0"/>
        </w:rPr>
        <w:t>和</w:t>
      </w:r>
      <w:r>
        <w:rPr>
          <w:rFonts w:hint="default" w:ascii="Times New Roman Regular" w:hAnsi="Times New Roman Regular" w:cs="Times New Roman Regular"/>
          <w:b w:val="0"/>
          <w:i w:val="0"/>
          <w:lang w:val="en-US"/>
        </w:rPr>
        <w:t>“natural defense”</w:t>
      </w:r>
      <w:r>
        <w:rPr>
          <w:rFonts w:hint="default" w:ascii="Times New Roman Regular" w:hAnsi="Times New Roman Regular" w:cs="Times New Roman Regular" w:eastAsiaTheme="minorEastAsia"/>
          <w:b w:val="0"/>
          <w:i w:val="0"/>
        </w:rPr>
        <w:t>，是一种社区主义的道德论述，而非</w:t>
      </w:r>
      <w:r>
        <w:rPr>
          <w:rFonts w:hint="default" w:ascii="Times New Roman Regular" w:hAnsi="Times New Roman Regular" w:cs="Times New Roman Regular"/>
          <w:b w:val="0"/>
          <w:i w:val="0"/>
          <w:lang w:val="en-US"/>
        </w:rPr>
        <w:t>“我的宗族网络需要私人秩序制度来服务”</w:t>
      </w:r>
      <w:r>
        <w:rPr>
          <w:rFonts w:hint="default" w:ascii="Times New Roman Regular" w:hAnsi="Times New Roman Regular" w:cs="Times New Roman Regular" w:eastAsiaTheme="minorEastAsia"/>
          <w:b w:val="0"/>
          <w:i w:val="0"/>
        </w:rPr>
        <w:t>的利益计算。范镇反对常备军的理由是</w:t>
      </w:r>
      <w:r>
        <w:rPr>
          <w:rFonts w:hint="default" w:ascii="Times New Roman Regular" w:hAnsi="Times New Roman Regular" w:cs="Times New Roman Regular"/>
          <w:b w:val="0"/>
          <w:i w:val="0"/>
          <w:lang w:val="en-US"/>
        </w:rPr>
        <w:t>“涉及更重的赋税和更大的劳役负担”</w:t>
      </w:r>
      <w:r>
        <w:rPr>
          <w:rFonts w:hint="default" w:ascii="Times New Roman Regular" w:hAnsi="Times New Roman Regular" w:cs="Times New Roman Regular" w:eastAsiaTheme="minorEastAsia"/>
          <w:b w:val="0"/>
          <w:i w:val="0"/>
        </w:rPr>
        <w:t>，而主张民兵制度因为</w:t>
      </w:r>
      <w:r>
        <w:rPr>
          <w:rFonts w:hint="default" w:ascii="Times New Roman Regular" w:hAnsi="Times New Roman Regular" w:cs="Times New Roman Regular"/>
          <w:b w:val="0"/>
          <w:i w:val="0"/>
          <w:lang w:val="en-US"/>
        </w:rPr>
        <w:t>“赋税较轻，民心忠诚”</w:t>
      </w:r>
      <w:r>
        <w:rPr>
          <w:rFonts w:hint="default" w:ascii="Times New Roman Regular" w:hAnsi="Times New Roman Regular" w:cs="Times New Roman Regular" w:eastAsiaTheme="minorEastAsia"/>
          <w:b w:val="0"/>
          <w:i w:val="0"/>
        </w:rPr>
        <w:t>（第900页）——这是从民生角度出发的论述。</w:t>
      </w:r>
    </w:p>
    <w:p w14:paraId="3C14EF0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这里的根本问题是：论文的理论模型假设政治人物在做一种利益计算（dispersed kin → scale economies of state → support reform），但历史行为者的自我理解和话语表达并不支持这种计算的存在。 这就引出了社会科学中一个经典方法论难题：revealed preference（显示偏好）与stated preference（陈述偏好）之间的关系。</w:t>
      </w:r>
    </w:p>
    <w:p w14:paraId="0918B73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王裕华的论文采取的是典型的</w:t>
      </w:r>
      <w:r>
        <w:rPr>
          <w:rFonts w:hint="default" w:ascii="Times New Roman Regular" w:hAnsi="Times New Roman Regular" w:cs="Times New Roman Regular"/>
          <w:b w:val="0"/>
          <w:i w:val="0"/>
          <w:lang w:val="en-US"/>
        </w:rPr>
        <w:t>“理性选择+显示偏好”</w:t>
      </w:r>
      <w:r>
        <w:rPr>
          <w:rFonts w:hint="default" w:ascii="Times New Roman Regular" w:hAnsi="Times New Roman Regular" w:cs="Times New Roman Regular" w:eastAsiaTheme="minorEastAsia"/>
          <w:b w:val="0"/>
          <w:i w:val="0"/>
        </w:rPr>
        <w:t>路径：不管政治人物说了什么，他们的行为（支持/反对改革）与其宗族网络的地理结构相关，因此宗族网络的地理结构是解释其行为的</w:t>
      </w:r>
      <w:r>
        <w:rPr>
          <w:rFonts w:hint="default" w:ascii="Times New Roman Regular" w:hAnsi="Times New Roman Regular" w:cs="Times New Roman Regular"/>
          <w:b w:val="0"/>
          <w:i w:val="0"/>
          <w:lang w:val="en-US"/>
        </w:rPr>
        <w:t>“真实”</w:t>
      </w:r>
      <w:r>
        <w:rPr>
          <w:rFonts w:hint="default" w:ascii="Times New Roman Regular" w:hAnsi="Times New Roman Regular" w:cs="Times New Roman Regular" w:eastAsiaTheme="minorEastAsia"/>
          <w:b w:val="0"/>
          <w:i w:val="0"/>
        </w:rPr>
        <w:t>原因。这种方法论立场在经济学和政治科学中是主流的——我们不需要行为者自己意识到机制的存在，机制就可以运作（正如消费者不需要理解效用理论也会做出效用最大化的选择）。</w:t>
      </w:r>
    </w:p>
    <w:p w14:paraId="10E25B5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但这种方法论立场在面对历史研究时有两个弱点。第一，当样本只有40人时，</w:t>
      </w:r>
      <w:r>
        <w:rPr>
          <w:rFonts w:hint="default" w:ascii="Times New Roman Regular" w:hAnsi="Times New Roman Regular" w:cs="Times New Roman Regular"/>
          <w:b w:val="0"/>
          <w:i w:val="0"/>
          <w:lang w:val="en-US"/>
        </w:rPr>
        <w:t>“系统性相关”</w:t>
      </w:r>
      <w:r>
        <w:rPr>
          <w:rFonts w:hint="default" w:ascii="Times New Roman Regular" w:hAnsi="Times New Roman Regular" w:cs="Times New Roman Regular" w:eastAsiaTheme="minorEastAsia"/>
          <w:b w:val="0"/>
          <w:i w:val="0"/>
        </w:rPr>
        <w:t>这个统计发现的可信度本来就有限，如果我们连机制运作的微观证据都缺乏（即没有任何一位政治人物在私人记录中表达过</w:t>
      </w:r>
      <w:r>
        <w:rPr>
          <w:rFonts w:hint="default" w:ascii="Times New Roman Regular" w:hAnsi="Times New Roman Regular" w:cs="Times New Roman Regular"/>
          <w:b w:val="0"/>
          <w:i w:val="0"/>
          <w:lang w:val="en-US"/>
        </w:rPr>
        <w:t>“我家族分散在各地所以我需要一个强大的中央国家来保护他们”</w:t>
      </w:r>
      <w:r>
        <w:rPr>
          <w:rFonts w:hint="default" w:ascii="Times New Roman Regular" w:hAnsi="Times New Roman Regular" w:cs="Times New Roman Regular" w:eastAsiaTheme="minorEastAsia"/>
          <w:b w:val="0"/>
          <w:i w:val="0"/>
        </w:rPr>
        <w:t>这样的想法），那么相关性被遗漏变量驱动的可能性就更大。第二，如果政治话语中的论述框架（民生、道德、财政哲学）本身就是政治立场形成的重要原因——即观念（ideas）本身具有因果力量——那么将其视为</w:t>
      </w:r>
      <w:r>
        <w:rPr>
          <w:rFonts w:hint="default" w:ascii="Times New Roman Regular" w:hAnsi="Times New Roman Regular" w:cs="Times New Roman Regular"/>
          <w:b w:val="0"/>
          <w:i w:val="0"/>
          <w:lang w:val="en-US"/>
        </w:rPr>
        <w:t>“真实利益”</w:t>
      </w:r>
      <w:r>
        <w:rPr>
          <w:rFonts w:hint="default" w:ascii="Times New Roman Regular" w:hAnsi="Times New Roman Regular" w:cs="Times New Roman Regular" w:eastAsiaTheme="minorEastAsia"/>
          <w:b w:val="0"/>
          <w:i w:val="0"/>
        </w:rPr>
        <w:t>之上的</w:t>
      </w:r>
      <w:r>
        <w:rPr>
          <w:rFonts w:hint="default" w:ascii="Times New Roman Regular" w:hAnsi="Times New Roman Regular" w:cs="Times New Roman Regular"/>
          <w:b w:val="0"/>
          <w:i w:val="0"/>
          <w:lang w:val="en-US"/>
        </w:rPr>
        <w:t>“面纱”</w:t>
      </w:r>
      <w:r>
        <w:rPr>
          <w:rFonts w:hint="default" w:ascii="Times New Roman Regular" w:hAnsi="Times New Roman Regular" w:cs="Times New Roman Regular" w:eastAsiaTheme="minorEastAsia"/>
          <w:b w:val="0"/>
          <w:i w:val="0"/>
        </w:rPr>
        <w:t>就有可能遗漏了真正的因果机制。</w:t>
      </w:r>
    </w:p>
    <w:p w14:paraId="7FEAB792">
      <w:pPr>
        <w:rPr>
          <w:rFonts w:hint="default" w:ascii="Times New Roman Regular" w:hAnsi="Times New Roman Regular" w:cs="Times New Roman Regular" w:eastAsiaTheme="minorEastAsia"/>
          <w:b w:val="0"/>
          <w:i w:val="0"/>
          <w:lang w:val="en-US"/>
        </w:rPr>
      </w:pPr>
      <w:r>
        <w:rPr>
          <w:rFonts w:hint="default" w:ascii="Times New Roman Regular" w:hAnsi="Times New Roman Regular" w:cs="Times New Roman Regular" w:eastAsiaTheme="minorEastAsia"/>
          <w:b w:val="0"/>
          <w:i w:val="0"/>
        </w:rPr>
        <w:t>In traditional Chinese political discourse, policy was not based on whether or not to strengthen central authority. Did Wang Anshi</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original intention, and why others opposed/supported him, truly relate to their perceptions, judgments, and ideas about the strength of central authority, or their experience of the effects of strong central authority on themselves? Or, to put it another way, were the scholar-officials of the time genuinely concerned with </w:t>
      </w:r>
      <w:r>
        <w:rPr>
          <w:rFonts w:hint="default" w:ascii="Times New Roman Regular" w:hAnsi="Times New Roman Regular" w:cs="Times New Roman Regular"/>
          <w:b w:val="0"/>
          <w:i w:val="0"/>
          <w:lang w:val="en-US"/>
        </w:rPr>
        <w:t>“how strong is central authority?”</w:t>
      </w:r>
    </w:p>
    <w:p w14:paraId="4309574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This raises the question of legitimacy in projecting modern political science concepts (state building, state capacity) onto pre-modern political actors.</w:t>
      </w:r>
    </w:p>
    <w:p w14:paraId="4E8E5D7D">
      <w:pPr>
        <w:rPr>
          <w:rFonts w:hint="default" w:ascii="Times New Roman Regular" w:hAnsi="Times New Roman Regular" w:cs="Times New Roman Regular" w:eastAsiaTheme="minorEastAsia"/>
          <w:b w:val="0"/>
          <w:i w:val="0"/>
          <w:lang w:val="en-US"/>
        </w:rPr>
      </w:pPr>
      <w:r>
        <w:rPr>
          <w:rFonts w:hint="default" w:ascii="Times New Roman Regular" w:hAnsi="Times New Roman Regular" w:cs="Times New Roman Regular" w:eastAsiaTheme="minorEastAsia"/>
          <w:b w:val="0"/>
          <w:i w:val="0"/>
        </w:rPr>
        <w:t>Wang Anshi</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own framework was not about </w:t>
      </w:r>
      <w:r>
        <w:rPr>
          <w:rFonts w:hint="default" w:ascii="Times New Roman Regular" w:hAnsi="Times New Roman Regular" w:cs="Times New Roman Regular"/>
          <w:b w:val="0"/>
          <w:i w:val="0"/>
          <w:lang w:val="en-US"/>
        </w:rPr>
        <w:t>“strengthening central authority.”</w:t>
      </w:r>
      <w:r>
        <w:rPr>
          <w:rFonts w:hint="default" w:ascii="Times New Roman Regular" w:hAnsi="Times New Roman Regular" w:cs="Times New Roman Regular" w:eastAsiaTheme="minorEastAsia"/>
          <w:b w:val="0"/>
          <w:i w:val="0"/>
        </w:rPr>
        <w:t xml:space="preserve"> His core discourse was rooted in the Confucian tradition of governing the country and benefiting the people. His argument in his </w:t>
      </w:r>
      <w:r>
        <w:rPr>
          <w:rFonts w:hint="default" w:ascii="Times New Roman Regular" w:hAnsi="Times New Roman Regular" w:cs="Times New Roman Regular"/>
          <w:b w:val="0"/>
          <w:i w:val="0"/>
          <w:lang w:val="en-US"/>
        </w:rPr>
        <w:t>“Memorial to Emperor Renzong”</w:t>
      </w:r>
      <w:r>
        <w:rPr>
          <w:rFonts w:hint="default" w:ascii="Times New Roman Regular" w:hAnsi="Times New Roman Regular" w:cs="Times New Roman Regular" w:eastAsiaTheme="minorEastAsia"/>
          <w:b w:val="0"/>
          <w:i w:val="0"/>
        </w:rPr>
        <w:t xml:space="preserve"> stemmed from the premise of </w:t>
      </w:r>
      <w:r>
        <w:rPr>
          <w:rFonts w:hint="default" w:ascii="Times New Roman Regular" w:hAnsi="Times New Roman Regular" w:cs="Times New Roman Regular"/>
          <w:b w:val="0"/>
          <w:i w:val="0"/>
          <w:lang w:val="en-US"/>
        </w:rPr>
        <w:t>“using the power of the nation to generate the nation’s wealth, and taking the nation’s wealth to supply the nation’s expenses”</w:t>
      </w:r>
      <w:r>
        <w:rPr>
          <w:rFonts w:hint="default" w:ascii="Times New Roman Regular" w:hAnsi="Times New Roman Regular" w:cs="Times New Roman Regular" w:eastAsiaTheme="minorEastAsia"/>
          <w:b w:val="0"/>
          <w:i w:val="0"/>
        </w:rPr>
        <w:t xml:space="preserve">—a discourse on governance effectiveness, not a </w:t>
      </w:r>
      <w:r>
        <w:rPr>
          <w:rFonts w:hint="default" w:ascii="Times New Roman Regular" w:hAnsi="Times New Roman Regular" w:cs="Times New Roman Regular"/>
          <w:b w:val="0"/>
          <w:i w:val="0"/>
          <w:lang w:val="en-US"/>
        </w:rPr>
        <w:t>“state vs. society”</w:t>
      </w:r>
      <w:r>
        <w:rPr>
          <w:rFonts w:hint="default" w:ascii="Times New Roman Regular" w:hAnsi="Times New Roman Regular" w:cs="Times New Roman Regular" w:eastAsiaTheme="minorEastAsia"/>
          <w:b w:val="0"/>
          <w:i w:val="0"/>
        </w:rPr>
        <w:t xml:space="preserve"> argument. In a letter to the transport commissioner Ma, he wrote, </w:t>
      </w:r>
      <w:r>
        <w:rPr>
          <w:rFonts w:hint="default" w:ascii="Times New Roman Regular" w:hAnsi="Times New Roman Regular" w:cs="Times New Roman Regular"/>
          <w:b w:val="0"/>
          <w:i w:val="0"/>
          <w:lang w:val="en-US"/>
        </w:rPr>
        <w:t>“Those who wish to increase their family’s wealth must rely on the country they reside in”</w:t>
      </w:r>
      <w:r>
        <w:rPr>
          <w:rFonts w:hint="default" w:ascii="Times New Roman Regular" w:hAnsi="Times New Roman Regular" w:cs="Times New Roman Regular" w:eastAsiaTheme="minorEastAsia"/>
          <w:b w:val="0"/>
          <w:i w:val="0"/>
        </w:rPr>
        <w:t xml:space="preserve"> (p. 900). While this literally links family interests with national interests, it reflects the Confucian rhetorical tradition of </w:t>
      </w:r>
      <w:r>
        <w:rPr>
          <w:rFonts w:hint="default" w:ascii="Times New Roman Regular" w:hAnsi="Times New Roman Regular" w:cs="Times New Roman Regular"/>
          <w:b w:val="0"/>
          <w:i w:val="0"/>
          <w:lang w:val="en-US"/>
        </w:rPr>
        <w:t>“family-state isomorphism,”</w:t>
      </w:r>
      <w:r>
        <w:rPr>
          <w:rFonts w:hint="default" w:ascii="Times New Roman Regular" w:hAnsi="Times New Roman Regular" w:cs="Times New Roman Regular" w:eastAsiaTheme="minorEastAsia"/>
          <w:b w:val="0"/>
          <w:i w:val="0"/>
        </w:rPr>
        <w:t xml:space="preserve"> and doesn</w:t>
      </w:r>
      <w:r>
        <w:rPr>
          <w:rFonts w:hint="eastAsia" w:ascii="Times New Roman Regular" w:hAnsi="Times New Roman Regular" w:cs="Times New Roman Regular"/>
          <w:b w:val="0"/>
          <w:i w:val="0"/>
          <w:lang w:eastAsia="zh-CN"/>
        </w:rPr>
        <w:t>’</w:t>
      </w:r>
      <w:r>
        <w:rPr>
          <w:rFonts w:hint="default" w:ascii="Times New Roman Regular" w:hAnsi="Times New Roman Regular" w:cs="Times New Roman Regular" w:eastAsiaTheme="minorEastAsia"/>
          <w:b w:val="0"/>
          <w:i w:val="0"/>
        </w:rPr>
        <w:t xml:space="preserve">t necessarily imply a rational calculation that </w:t>
      </w:r>
      <w:r>
        <w:rPr>
          <w:rFonts w:hint="default" w:ascii="Times New Roman Regular" w:hAnsi="Times New Roman Regular" w:cs="Times New Roman Regular"/>
          <w:b w:val="0"/>
          <w:i w:val="0"/>
          <w:lang w:val="en-US"/>
        </w:rPr>
        <w:t>“centralized power is beneficial to the decentralized protection of my family’s interests.”</w:t>
      </w:r>
    </w:p>
    <w:p w14:paraId="75F2B27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arguments of his opponents are even more complex. Sima Guang</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core argument is that </w:t>
      </w:r>
      <w:r>
        <w:rPr>
          <w:rFonts w:hint="default" w:ascii="Times New Roman Regular" w:hAnsi="Times New Roman Regular" w:cs="Times New Roman Regular"/>
          <w:b w:val="0"/>
          <w:i w:val="0"/>
          <w:lang w:val="en-US"/>
        </w:rPr>
        <w:t>“the income and expenditure of money and goods in the world are regulated; if it is in the hands of officials, it is not in the hands of the people”</w:t>
      </w:r>
      <w:r>
        <w:rPr>
          <w:rFonts w:hint="default" w:ascii="Times New Roman Regular" w:hAnsi="Times New Roman Regular" w:cs="Times New Roman Regular" w:eastAsiaTheme="minorEastAsia"/>
          <w:b w:val="0"/>
          <w:i w:val="0"/>
        </w:rPr>
        <w:t>—this is a zero-sum fiscal philosophy, focusing on the state</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squeeze on private wealth, rather than </w:t>
      </w:r>
      <w:r>
        <w:rPr>
          <w:rFonts w:hint="default" w:ascii="Times New Roman Regular" w:hAnsi="Times New Roman Regular" w:cs="Times New Roman Regular"/>
          <w:b w:val="0"/>
          <w:i w:val="0"/>
          <w:lang w:val="en-US"/>
        </w:rPr>
        <w:t>“my family’s private order system will be replaced by the central government.”</w:t>
      </w:r>
      <w:r>
        <w:rPr>
          <w:rFonts w:hint="default" w:ascii="Times New Roman Regular" w:hAnsi="Times New Roman Regular" w:cs="Times New Roman Regular" w:eastAsiaTheme="minorEastAsia"/>
          <w:b w:val="0"/>
          <w:i w:val="0"/>
        </w:rPr>
        <w:t xml:space="preserve"> Deng Runfu opposed the Baojia system because replacing private armed forces with the Baojia system </w:t>
      </w:r>
      <w:r>
        <w:rPr>
          <w:rFonts w:hint="default" w:ascii="Times New Roman Regular" w:hAnsi="Times New Roman Regular" w:cs="Times New Roman Regular"/>
          <w:b w:val="0"/>
          <w:i w:val="0"/>
          <w:lang w:val="en-US"/>
        </w:rPr>
        <w:t>“destroyed the natural defense and surveillance network built on interpersonal relationships”</w:t>
      </w:r>
      <w:r>
        <w:rPr>
          <w:rFonts w:hint="default" w:ascii="Times New Roman Regular" w:hAnsi="Times New Roman Regular" w:cs="Times New Roman Regular" w:eastAsiaTheme="minorEastAsia"/>
          <w:b w:val="0"/>
          <w:i w:val="0"/>
        </w:rPr>
        <w:t xml:space="preserve"> (p. 900). This does seem to involve a substitution problem of </w:t>
      </w:r>
      <w:r>
        <w:rPr>
          <w:rFonts w:hint="default" w:ascii="Times New Roman Regular" w:hAnsi="Times New Roman Regular" w:cs="Times New Roman Regular"/>
          <w:b w:val="0"/>
          <w:i w:val="0"/>
          <w:lang w:val="en-US"/>
        </w:rPr>
        <w:t>“public order vs. private order,”</w:t>
      </w:r>
      <w:r>
        <w:rPr>
          <w:rFonts w:hint="default" w:ascii="Times New Roman Regular" w:hAnsi="Times New Roman Regular" w:cs="Times New Roman Regular" w:eastAsiaTheme="minorEastAsia"/>
          <w:b w:val="0"/>
          <w:i w:val="0"/>
        </w:rPr>
        <w:t xml:space="preserve"> but his wording—</w:t>
      </w:r>
      <w:r>
        <w:rPr>
          <w:rFonts w:hint="default" w:ascii="Times New Roman Regular" w:hAnsi="Times New Roman Regular" w:cs="Times New Roman Regular"/>
          <w:b w:val="0"/>
          <w:i w:val="0"/>
          <w:lang w:val="en-US"/>
        </w:rPr>
        <w:t>“personal relationships”</w:t>
      </w:r>
      <w:r>
        <w:rPr>
          <w:rFonts w:hint="default" w:ascii="Times New Roman Regular" w:hAnsi="Times New Roman Regular" w:cs="Times New Roman Regular" w:eastAsiaTheme="minorEastAsia"/>
          <w:b w:val="0"/>
          <w:i w:val="0"/>
        </w:rPr>
        <w:t xml:space="preserve"> and </w:t>
      </w:r>
      <w:r>
        <w:rPr>
          <w:rFonts w:hint="default" w:ascii="Times New Roman Regular" w:hAnsi="Times New Roman Regular" w:cs="Times New Roman Regular"/>
          <w:b w:val="0"/>
          <w:i w:val="0"/>
          <w:lang w:val="en-US"/>
        </w:rPr>
        <w:t>“natural defense”</w:t>
      </w:r>
      <w:r>
        <w:rPr>
          <w:rFonts w:hint="default" w:ascii="Times New Roman Regular" w:hAnsi="Times New Roman Regular" w:cs="Times New Roman Regular" w:eastAsiaTheme="minorEastAsia"/>
          <w:b w:val="0"/>
          <w:i w:val="0"/>
        </w:rPr>
        <w:t xml:space="preserve">—is a communitarian moral discourse, not a calculation of self-interest based on </w:t>
      </w:r>
      <w:r>
        <w:rPr>
          <w:rFonts w:hint="default" w:ascii="Times New Roman Regular" w:hAnsi="Times New Roman Regular" w:cs="Times New Roman Regular"/>
          <w:b w:val="0"/>
          <w:i w:val="0"/>
          <w:lang w:val="en-US"/>
        </w:rPr>
        <w:t>“my clan network needs a private order system to serve it.”</w:t>
      </w:r>
      <w:r>
        <w:rPr>
          <w:rFonts w:hint="default" w:ascii="Times New Roman Regular" w:hAnsi="Times New Roman Regular" w:cs="Times New Roman Regular" w:eastAsiaTheme="minorEastAsia"/>
          <w:b w:val="0"/>
          <w:i w:val="0"/>
        </w:rPr>
        <w:t xml:space="preserve"> Fan Zhen opposed standing armies because they </w:t>
      </w:r>
      <w:r>
        <w:rPr>
          <w:rFonts w:hint="default" w:ascii="Times New Roman Regular" w:hAnsi="Times New Roman Regular" w:cs="Times New Roman Regular"/>
          <w:b w:val="0"/>
          <w:i w:val="0"/>
          <w:lang w:val="en-US"/>
        </w:rPr>
        <w:t>“involved heavier taxes and greater labor burdens,”</w:t>
      </w:r>
      <w:r>
        <w:rPr>
          <w:rFonts w:hint="default" w:ascii="Times New Roman Regular" w:hAnsi="Times New Roman Regular" w:cs="Times New Roman Regular" w:eastAsiaTheme="minorEastAsia"/>
          <w:b w:val="0"/>
          <w:i w:val="0"/>
        </w:rPr>
        <w:t xml:space="preserve"> while advocating for a militia system because </w:t>
      </w:r>
      <w:r>
        <w:rPr>
          <w:rFonts w:hint="default" w:ascii="Times New Roman Regular" w:hAnsi="Times New Roman Regular" w:cs="Times New Roman Regular"/>
          <w:b w:val="0"/>
          <w:i w:val="0"/>
          <w:lang w:val="en-US"/>
        </w:rPr>
        <w:t>“taxes were lighter and the people were more loyal”</w:t>
      </w:r>
      <w:r>
        <w:rPr>
          <w:rFonts w:hint="default" w:ascii="Times New Roman Regular" w:hAnsi="Times New Roman Regular" w:cs="Times New Roman Regular" w:eastAsiaTheme="minorEastAsia"/>
          <w:b w:val="0"/>
          <w:i w:val="0"/>
        </w:rPr>
        <w:t xml:space="preserve"> (p. 900)—a discourse from the perspective of people</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livelihood.</w:t>
      </w:r>
    </w:p>
    <w:p w14:paraId="690EB607">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fundamental problem here is that the theoretical model of the paper assumes that politicians are making a calculation of self-interest (dispersed kin → scale economies of state → support reform), but the self-understanding and discourse of historical actors do not support the existence of such a calculation. This leads to a classic methodological dilemma in social science: the relationship between revealed preference and stated preference.</w:t>
      </w:r>
    </w:p>
    <w:p w14:paraId="7FB2334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Wang Yuhua</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paper adopts a typical </w:t>
      </w:r>
      <w:r>
        <w:rPr>
          <w:rFonts w:hint="default" w:ascii="Times New Roman Regular" w:hAnsi="Times New Roman Regular" w:cs="Times New Roman Regular"/>
          <w:b w:val="0"/>
          <w:i w:val="0"/>
          <w:lang w:val="en-US"/>
        </w:rPr>
        <w:t>“rational choice + revealed preference”</w:t>
      </w:r>
      <w:r>
        <w:rPr>
          <w:rFonts w:hint="default" w:ascii="Times New Roman Regular" w:hAnsi="Times New Roman Regular" w:cs="Times New Roman Regular" w:eastAsiaTheme="minorEastAsia"/>
          <w:b w:val="0"/>
          <w:i w:val="0"/>
        </w:rPr>
        <w:t xml:space="preserve"> approach: regardless of what politicians say, their behavior (supporting/opposing reform) is related to the geographical structure of their clan networks; therefore, the geographical structure of clan networks is the </w:t>
      </w:r>
      <w:r>
        <w:rPr>
          <w:rFonts w:hint="default" w:ascii="Times New Roman Regular" w:hAnsi="Times New Roman Regular" w:cs="Times New Roman Regular"/>
          <w:b w:val="0"/>
          <w:i w:val="0"/>
          <w:lang w:val="en-US"/>
        </w:rPr>
        <w:t>“real”</w:t>
      </w:r>
      <w:r>
        <w:rPr>
          <w:rFonts w:hint="default" w:ascii="Times New Roman Regular" w:hAnsi="Times New Roman Regular" w:cs="Times New Roman Regular" w:eastAsiaTheme="minorEastAsia"/>
          <w:b w:val="0"/>
          <w:i w:val="0"/>
        </w:rPr>
        <w:t xml:space="preserve"> reason explaining their behavior. This methodological stance is mainstream in economics and political science—we don</w:t>
      </w:r>
      <w:r>
        <w:rPr>
          <w:rFonts w:hint="eastAsia" w:ascii="Times New Roman Regular" w:hAnsi="Times New Roman Regular" w:cs="Times New Roman Regular"/>
          <w:b w:val="0"/>
          <w:i w:val="0"/>
          <w:lang w:eastAsia="zh-CN"/>
        </w:rPr>
        <w:t>’</w:t>
      </w:r>
      <w:r>
        <w:rPr>
          <w:rFonts w:hint="default" w:ascii="Times New Roman Regular" w:hAnsi="Times New Roman Regular" w:cs="Times New Roman Regular" w:eastAsiaTheme="minorEastAsia"/>
          <w:b w:val="0"/>
          <w:i w:val="0"/>
        </w:rPr>
        <w:t>t need actors to be aware of the mechanism</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existence for it to function (just as consumers don</w:t>
      </w:r>
      <w:r>
        <w:rPr>
          <w:rFonts w:hint="eastAsia" w:ascii="Times New Roman Regular" w:hAnsi="Times New Roman Regular" w:cs="Times New Roman Regular"/>
          <w:b w:val="0"/>
          <w:i w:val="0"/>
          <w:lang w:eastAsia="zh-CN"/>
        </w:rPr>
        <w:t>’</w:t>
      </w:r>
      <w:r>
        <w:rPr>
          <w:rFonts w:hint="default" w:ascii="Times New Roman Regular" w:hAnsi="Times New Roman Regular" w:cs="Times New Roman Regular" w:eastAsiaTheme="minorEastAsia"/>
          <w:b w:val="0"/>
          <w:i w:val="0"/>
        </w:rPr>
        <w:t>t need to understand utility theory to make utility-maximizing choices).</w:t>
      </w:r>
    </w:p>
    <w:p w14:paraId="5A060B7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However, this methodological stance has two weaknesses when facing historical research. First, when the sample size is only 40 people, the reliability of the statistical finding of </w:t>
      </w:r>
      <w:r>
        <w:rPr>
          <w:rFonts w:hint="default" w:ascii="Times New Roman Regular" w:hAnsi="Times New Roman Regular" w:cs="Times New Roman Regular"/>
          <w:b w:val="0"/>
          <w:i w:val="0"/>
          <w:lang w:val="en-US"/>
        </w:rPr>
        <w:t>“systematic correlation”</w:t>
      </w:r>
      <w:r>
        <w:rPr>
          <w:rFonts w:hint="default" w:ascii="Times New Roman Regular" w:hAnsi="Times New Roman Regular" w:cs="Times New Roman Regular" w:eastAsiaTheme="minorEastAsia"/>
          <w:b w:val="0"/>
          <w:i w:val="0"/>
        </w:rPr>
        <w:t xml:space="preserve"> is inherently limited. If we lack even micro-level evidence of the mechanism</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operation (i.e., no politician expressed in their private records the idea that </w:t>
      </w:r>
      <w:r>
        <w:rPr>
          <w:rFonts w:hint="default" w:ascii="Times New Roman Regular" w:hAnsi="Times New Roman Regular" w:cs="Times New Roman Regular"/>
          <w:b w:val="0"/>
          <w:i w:val="0"/>
          <w:lang w:val="en-US"/>
        </w:rPr>
        <w:t>“my family is scattered across various places, so I need a strong central state to protect them”</w:t>
      </w:r>
      <w:r>
        <w:rPr>
          <w:rFonts w:hint="default" w:ascii="Times New Roman Regular" w:hAnsi="Times New Roman Regular" w:cs="Times New Roman Regular" w:eastAsiaTheme="minorEastAsia"/>
          <w:b w:val="0"/>
          <w:i w:val="0"/>
        </w:rPr>
        <w:t xml:space="preserve">), then the correlation is more likely to be driven by omitted variables. Second, </w:t>
      </w:r>
      <w:r>
        <w:rPr>
          <w:rFonts w:hint="default" w:ascii="Times New Roman Regular" w:hAnsi="Times New Roman Regular" w:cs="Times New Roman Regular" w:eastAsiaTheme="minorEastAsia"/>
          <w:b w:val="0"/>
          <w:i w:val="0"/>
          <w:color w:val="0000FF"/>
        </w:rPr>
        <w:t>if the discourse framework in political discourse (people</w:t>
      </w:r>
      <w:r>
        <w:rPr>
          <w:rFonts w:hint="default" w:ascii="Times New Roman Regular" w:hAnsi="Times New Roman Regular" w:cs="Times New Roman Regular"/>
          <w:b w:val="0"/>
          <w:i w:val="0"/>
          <w:color w:val="0000FF"/>
          <w:lang w:val="en-US"/>
        </w:rPr>
        <w:t>’s</w:t>
      </w:r>
      <w:r>
        <w:rPr>
          <w:rFonts w:hint="default" w:ascii="Times New Roman Regular" w:hAnsi="Times New Roman Regular" w:cs="Times New Roman Regular" w:eastAsiaTheme="minorEastAsia"/>
          <w:b w:val="0"/>
          <w:i w:val="0"/>
          <w:color w:val="0000FF"/>
        </w:rPr>
        <w:t xml:space="preserve"> livelihood, morality, fiscal philosophy) is itself an important reason for the formation of political stances—that is, ideas themselves have causal power—then regarding them as a </w:t>
      </w:r>
      <w:r>
        <w:rPr>
          <w:rFonts w:hint="default" w:ascii="Times New Roman Regular" w:hAnsi="Times New Roman Regular" w:cs="Times New Roman Regular"/>
          <w:b w:val="0"/>
          <w:i w:val="0"/>
          <w:color w:val="0000FF"/>
          <w:lang w:val="en-US"/>
        </w:rPr>
        <w:t>“veil”</w:t>
      </w:r>
      <w:r>
        <w:rPr>
          <w:rFonts w:hint="default" w:ascii="Times New Roman Regular" w:hAnsi="Times New Roman Regular" w:cs="Times New Roman Regular" w:eastAsiaTheme="minorEastAsia"/>
          <w:b w:val="0"/>
          <w:i w:val="0"/>
          <w:color w:val="0000FF"/>
        </w:rPr>
        <w:t xml:space="preserve"> above </w:t>
      </w:r>
      <w:r>
        <w:rPr>
          <w:rFonts w:hint="default" w:ascii="Times New Roman Regular" w:hAnsi="Times New Roman Regular" w:cs="Times New Roman Regular"/>
          <w:b w:val="0"/>
          <w:i w:val="0"/>
          <w:color w:val="0000FF"/>
          <w:lang w:val="en-US"/>
        </w:rPr>
        <w:t>“real interests”</w:t>
      </w:r>
      <w:r>
        <w:rPr>
          <w:rFonts w:hint="default" w:ascii="Times New Roman Regular" w:hAnsi="Times New Roman Regular" w:cs="Times New Roman Regular" w:eastAsiaTheme="minorEastAsia"/>
          <w:b w:val="0"/>
          <w:i w:val="0"/>
          <w:color w:val="0000FF"/>
        </w:rPr>
        <w:t xml:space="preserve"> may overlook the real causal mechanism.</w:t>
      </w:r>
    </w:p>
    <w:p w14:paraId="4F71DAA1">
      <w:pPr>
        <w:rPr>
          <w:rFonts w:hint="default" w:ascii="Times New Roman Regular" w:hAnsi="Times New Roman Regular" w:cs="Times New Roman Regular" w:eastAsiaTheme="minorEastAsia"/>
          <w:b w:val="0"/>
          <w:i w:val="0"/>
        </w:rPr>
      </w:pPr>
    </w:p>
    <w:p w14:paraId="4E32815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Introduction</w:t>
      </w:r>
    </w:p>
    <w:p w14:paraId="7E4871F7">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引言</w:t>
      </w:r>
    </w:p>
    <w:p w14:paraId="5EE0F0D3">
      <w:pPr>
        <w:rPr>
          <w:rFonts w:hint="default" w:ascii="Times New Roman Regular" w:hAnsi="Times New Roman Regular" w:cs="Times New Roman Regular" w:eastAsiaTheme="minorEastAsia"/>
          <w:b w:val="0"/>
          <w:i w:val="0"/>
        </w:rPr>
      </w:pPr>
    </w:p>
    <w:p w14:paraId="617DECB4">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Yuhua Wang’s “Blood is Thicker Than Water: Elite Kinship Networks and State Building in Imperial China” (APSR, 2022) advances an elegant theoretical proposition: geographically dispersed kinship networks cross-cut local cleavages and align elite incentives in favor of state building, while concentrated networks reinforce parochialism and opposition to a strong central state. The paper marshals original data from tomb epitaphs and archival sources to test this hypothesis on 40 Northern Song politicians during the Wang Anshi Reform (1069–1085). The statistical correlation is robust across a wide range of specifications, and the sensitivity analysis suggests the results are unlikely to be driven entirely by unobservable confounders.</w:t>
      </w:r>
    </w:p>
    <w:p w14:paraId="09728E1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王裕华的《血浓于水：帝制中国的精英亲属网络与国家建设》（APSR，2022）提出了一个相当精巧的理论命题：地理上分散的亲属网络能够跨越地方性分界线，使精英的激励朝向国家建设；而地理上集中的亲属网络则会强化地方主义，并加深对强中央国家的反对。文章利用墓志铭和档案史料中的原创数据，在王安石变法（1069–1085）时期的 40 位北宋政治人物中检验这一假设。从广泛的一系列模型设定来看，这一统计相关关系是稳健的；敏感性分析也表明，这一结果不太可能完全由不可观测混杂因素所驱动。</w:t>
      </w:r>
    </w:p>
    <w:p w14:paraId="577319B8">
      <w:pPr>
        <w:rPr>
          <w:rFonts w:hint="default" w:ascii="Times New Roman Regular" w:hAnsi="Times New Roman Regular" w:cs="Times New Roman Regular" w:eastAsiaTheme="minorEastAsia"/>
          <w:b w:val="0"/>
          <w:i w:val="0"/>
        </w:rPr>
      </w:pPr>
    </w:p>
    <w:p w14:paraId="4C3E5E3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Yet the theoretical framework rests on a series of assumptions that, when examined against the historical record and the broader scholarship on Chinese kinship, prove more fragile than the paper acknowledges. This essay raises four interconnected critiques: (1) the omission of patron-client networks as a competing or confounding relational structure; (2) the problematic projection of modern state-building concepts onto a political discourse that operated in fundamentally different terms; (3) the mischaracterization of policy-level heterogeneity within the reform, particularly regarding the Green Sprouts Policy; and (4) a foundational challenge from Chinese kinship studies, which calls into question the paper’s conceptualization of kinship itself.</w:t>
      </w:r>
    </w:p>
    <w:p w14:paraId="7818A80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然而，这一理论框架建立在一系列假设之上；若将其置于历史材料与更广泛的中国亲属关系研究脉络中加以检视，这些假设实际上比论文所承认的要脆弱得多。本文提出四项彼此关联的批评：（1）忽略了庇护—依附网络，将其排除在可能的竞争性或混淆性关系结构之外；（2）将现代“国家建设”概念投射到一个以根本不同语言运作的政治话语世界中，这一点存在问题；（3）误判了改革内部不同政策的异质性，尤其是在青苗法问题上；以及（4）来自中国亲属关系研究的一项基础性挑战，它直接动摇了论文对“亲属关系”本身的概念化方式。</w:t>
      </w:r>
    </w:p>
    <w:p w14:paraId="0BB77B9E">
      <w:pPr>
        <w:rPr>
          <w:rFonts w:hint="default" w:ascii="Times New Roman Regular" w:hAnsi="Times New Roman Regular" w:cs="Times New Roman Regular" w:eastAsiaTheme="minorEastAsia"/>
          <w:b w:val="0"/>
          <w:i w:val="0"/>
        </w:rPr>
      </w:pPr>
    </w:p>
    <w:p w14:paraId="246BBA5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I. The Missing Network: Patron-Client Ties in Song Politics</w:t>
      </w:r>
    </w:p>
    <w:p w14:paraId="2E2AF37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一、被遗漏的网络：宋代政治中的庇护—依附关系</w:t>
      </w:r>
    </w:p>
    <w:p w14:paraId="427AE148">
      <w:pPr>
        <w:rPr>
          <w:rFonts w:hint="default" w:ascii="Times New Roman Regular" w:hAnsi="Times New Roman Regular" w:cs="Times New Roman Regular" w:eastAsiaTheme="minorEastAsia"/>
          <w:b w:val="0"/>
          <w:i w:val="0"/>
        </w:rPr>
      </w:pPr>
    </w:p>
    <w:p w14:paraId="24A3801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Wang’s theoretical model treats politicians as agents of their kinship groups, whose primary relational structure is the marriage-based network connecting their families across geography (p. 898). The paper does include a binary control variable for “factional tie with reform leader,” defined as an examiner-examinee relationship, same-year examination cohort, or shared philosophical school affiliation (p. 907). But this treatment fundamentally underestimates the political significance of patron-client networks (mensheng guli, 门生故吏) in Song political life.</w:t>
      </w:r>
    </w:p>
    <w:p w14:paraId="32899F6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王的理论模型将政治人物视为其亲属群体的代理人，而这些群体最主要的关系结构，是通过婚姻所形成、跨越不同地域连接诸家族的网络（第 898 页）。论文确实包含了一个二元控制变量，用来表示“与变法领袖的派系联系”，其定义包括考官—门生关系、同年进士关系或共同的思想学派归属（第 907 页）。但这种处理方式，从根本上低估了庇护—依附网络（mensheng guli，门生故吏）在宋代政治生活中的重要性。</w:t>
      </w:r>
    </w:p>
    <w:p w14:paraId="2CF088C3">
      <w:pPr>
        <w:rPr>
          <w:rFonts w:hint="default" w:ascii="Times New Roman Regular" w:hAnsi="Times New Roman Regular" w:cs="Times New Roman Regular" w:eastAsiaTheme="minorEastAsia"/>
          <w:b w:val="0"/>
          <w:i w:val="0"/>
        </w:rPr>
      </w:pPr>
    </w:p>
    <w:p w14:paraId="5B1250E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Historians of the Northern Song have long established that the primary organizational nexus of political factions during the reform era was not marriage alliance but rather teacher-student lineage, examination patronage, and recommendation chains. Yu Ying-shih, in Zhu Xi’s Historical World (2003), systematically demonstrates that the factional alignments of mid-to-late Northern Song politics—the Luo, Shu, and Shuo parties—cohered around intellectual mentorship and examination-cohort solidarity far more than around kinship ties. James T.C. Liu, in Reform in Sung China (1959)—a work that Wang himself cites extensively—similarly emphasizes that the political cleavage over the Wang Anshi Reform was organized primarily </w:t>
      </w:r>
      <w:r>
        <w:rPr>
          <w:rFonts w:hint="default" w:ascii="Times New Roman Regular" w:hAnsi="Times New Roman Regular" w:cs="Times New Roman Regular" w:eastAsiaTheme="minorEastAsia"/>
          <w:b w:val="0"/>
          <w:i w:val="0"/>
          <w:color w:val="0000FF"/>
        </w:rPr>
        <w:t>through networks of scholarly patronage and bureaucratic recommendation, not through affinal kinship</w:t>
      </w:r>
      <w:r>
        <w:rPr>
          <w:rFonts w:hint="default" w:ascii="Times New Roman Regular" w:hAnsi="Times New Roman Regular" w:cs="Times New Roman Regular" w:eastAsiaTheme="minorEastAsia"/>
          <w:b w:val="0"/>
          <w:i w:val="0"/>
        </w:rPr>
        <w:t>.</w:t>
      </w:r>
    </w:p>
    <w:p w14:paraId="0718EAFB">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北宋史研究早已表明，在变法时期，政治派系的主要组织纽带并不是婚姻联盟，而是师生传承、科举庇护关系以及荐举链条。余英时在《朱熹的历史世界》（2003）中系统论证了北宋中后期政治中的洛、蜀、朔诸党，其内部凝聚主要围绕思想上的师承关系与科举同年之间的团结，而远非主要围绕亲属联系。James T.C. Liu 在《Reform in Sung China》（1959）中——这也是王本人多次引用的一部著作——同样强调，围绕王安石变法的政治分裂，主要是通过学术庇护网络与官僚荐举网络组织起来的，而不是通过婚姻性亲属关系来组织的。</w:t>
      </w:r>
    </w:p>
    <w:p w14:paraId="25B2BAD9">
      <w:pPr>
        <w:rPr>
          <w:rFonts w:hint="default" w:ascii="Times New Roman Regular" w:hAnsi="Times New Roman Regular" w:cs="Times New Roman Regular" w:eastAsiaTheme="minorEastAsia"/>
          <w:b w:val="0"/>
          <w:i w:val="0"/>
        </w:rPr>
      </w:pPr>
    </w:p>
    <w:p w14:paraId="7E592CF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theoretical implication is consequential. If a politician’s reform stance was primarily determined by his position within a patron-client faction—his intellectual mentor’s views, his examination cohort’s collective orientation, his debt of loyalty to a superior who recommended him for office—then the observed correlation between kinship geography and reform support could be spurious. Patron-client ties and marriage ties were not independent in Song society: a politician embedded in a nationally prominent patron-client network would also tend to have geographically dispersed marriage ties, because his elevated political status gave his family access to prestigious but distant marriage partners (a pattern the paper itself documents on p. 903). The geographic dispersion of the kinship network could thus be an epiphenomenon of the politician’s position in a patronage hierarchy, rather than an independent cause of his political preferences.</w:t>
      </w:r>
    </w:p>
    <w:p w14:paraId="4461B15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一点在理论上的含义十分重大。如果一位政治人物对变法的立场，首先是由他在庇护—依附派系中的位置所决定——例如其思想导师的看法、其同年群体的集体倾向，或他对举荐自己入仕的上级所承担的忠诚义务——那么，亲属网络地理结构与改革支持之间所观察到的相关关系，就可能是虚假的。庇护关系与婚姻关系在宋代社会中并不是彼此独立的：一个嵌入全国性重要庇护网络中的政治人物，往往也更可能拥有地理上分散的婚姻联系，因为其上升的政治地位会使家族有机会与地位显赫但地处遥远的对象结亲（这一模式其实正是论文在第 903 页自己记录到的）。如此一来，亲属网络的地理分散性就可能只是该政治人物在庇护等级结构中位置的附带现象，而不是其政治偏好的独立原因。</w:t>
      </w:r>
    </w:p>
    <w:p w14:paraId="5B3A6134">
      <w:pPr>
        <w:rPr>
          <w:rFonts w:hint="default" w:ascii="Times New Roman Regular" w:hAnsi="Times New Roman Regular" w:cs="Times New Roman Regular" w:eastAsiaTheme="minorEastAsia"/>
          <w:b w:val="0"/>
          <w:i w:val="0"/>
        </w:rPr>
      </w:pPr>
    </w:p>
    <w:p w14:paraId="2431ED5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To address this, the paper would need to construct a geographic dispersion index for patron-client networks analogous to its kinship index, and then compare the explanatory power of both—or at least demonstrate that kinship geography predicts reform support after conditioning on the full structure of patron-client ties, not merely a binary indicator of factional affiliation.</w:t>
      </w:r>
    </w:p>
    <w:p w14:paraId="3E6A061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若要回应这一问题，论文就需要像构造亲属网络地理分散指数那样，为庇护—依附网络构造一个类似的地理分散指标，并比较两者的解释力；至少也应证明，在控制了庇护—依附关系的完整结构之后，而不只是控制一个关于派系归属的二元指标时，亲属网络地理结构依然能够预测对变法的支持。</w:t>
      </w:r>
    </w:p>
    <w:p w14:paraId="15F65445">
      <w:pPr>
        <w:rPr>
          <w:rFonts w:hint="default" w:ascii="Times New Roman Regular" w:hAnsi="Times New Roman Regular" w:cs="Times New Roman Regular" w:eastAsiaTheme="minorEastAsia"/>
          <w:b w:val="0"/>
          <w:i w:val="0"/>
        </w:rPr>
      </w:pPr>
    </w:p>
    <w:p w14:paraId="6206ECC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II. The Discourse Problem: Did Song Politicians Think in Terms of “State Building”?</w:t>
      </w:r>
    </w:p>
    <w:p w14:paraId="0E07E3F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二、话语问题：宋代政治人物是否真的以“国家建设”的方式思考？</w:t>
      </w:r>
    </w:p>
    <w:p w14:paraId="0C0555B4">
      <w:pPr>
        <w:rPr>
          <w:rFonts w:hint="default" w:ascii="Times New Roman Regular" w:hAnsi="Times New Roman Regular" w:cs="Times New Roman Regular" w:eastAsiaTheme="minorEastAsia"/>
          <w:b w:val="0"/>
          <w:i w:val="0"/>
        </w:rPr>
      </w:pPr>
    </w:p>
    <w:p w14:paraId="06D4B58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paper’s theoretical framework assumes that politicians engaged in a rational calculation about whether a strong central state or private kinship organizations would more efficiently provide protection and justice to their dispersed or concentrated kin (pp. 897–898). This assumption is never directly tested; instead, the paper relies on revealed preferences—observed support or opposition to the reform—to infer the underlying calculation.</w:t>
      </w:r>
    </w:p>
    <w:p w14:paraId="0598AD4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论文的理论框架假定，政治人物会进行一种理性计算：在为其分散或集中的亲属提供保护与正义方面，究竟是强大的中央国家，还是私人性的亲属组织，会更为有效（第 897–898 页）。但这一假设从未得到直接检验；相反，论文是通过“显露偏好”——即对改革的支持或反对这一可观察行为——来反推出这种潜在的计算过程。</w:t>
      </w:r>
    </w:p>
    <w:p w14:paraId="595A2063">
      <w:pPr>
        <w:rPr>
          <w:rFonts w:hint="default" w:ascii="Times New Roman Regular" w:hAnsi="Times New Roman Regular" w:cs="Times New Roman Regular" w:eastAsiaTheme="minorEastAsia"/>
          <w:b w:val="0"/>
          <w:i w:val="0"/>
        </w:rPr>
      </w:pPr>
    </w:p>
    <w:p w14:paraId="5C71CA8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But when we examine the actual political discourse of the reform era, as preserved in the very sources Wang uses to code his dependent variable, the fit between the theoretical model and the historical actors’ self-understanding is poor.</w:t>
      </w:r>
    </w:p>
    <w:p w14:paraId="67D74DB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但是，当我们回到变法时代真实的政治话语——而这些话语正是王用来编码其因变量的史料来源——就会发现，理论模型与历史行动者的自我理解之间，其实并不匹配。</w:t>
      </w:r>
    </w:p>
    <w:p w14:paraId="15E43CE4">
      <w:pPr>
        <w:rPr>
          <w:rFonts w:hint="default" w:ascii="Times New Roman Regular" w:hAnsi="Times New Roman Regular" w:cs="Times New Roman Regular" w:eastAsiaTheme="minorEastAsia"/>
          <w:b w:val="0"/>
          <w:i w:val="0"/>
        </w:rPr>
      </w:pPr>
    </w:p>
    <w:p w14:paraId="579DC7C4">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Wang Anshi himself framed his reform not in terms of expanding central state capacity vis-à-vis private kinship organizations, but in the </w:t>
      </w:r>
      <w:r>
        <w:rPr>
          <w:rFonts w:hint="default" w:ascii="Times New Roman Regular" w:hAnsi="Times New Roman Regular" w:cs="Times New Roman Regular" w:eastAsiaTheme="minorEastAsia"/>
          <w:b w:val="0"/>
          <w:i w:val="0"/>
          <w:color w:val="0000FF"/>
        </w:rPr>
        <w:t>Confucian language of governance efficacy and fiscal stewardship</w:t>
      </w:r>
      <w:r>
        <w:rPr>
          <w:rFonts w:hint="default" w:ascii="Times New Roman Regular" w:hAnsi="Times New Roman Regular" w:cs="Times New Roman Regular" w:eastAsiaTheme="minorEastAsia"/>
          <w:b w:val="0"/>
          <w:i w:val="0"/>
        </w:rPr>
        <w:t>. His foundational programmatic text, the Memorial to Emperor Renzong (Shang Renzong Huangdi Yanshi Shu), articulates the principle of “using the power of all-under-heaven to generate the wealth of all-under-heaven, and taking the wealth of all-under-heaven to supply the expenditures of all-under-heaven” (yin tianxia zhi li yi sheng tianxia zhi cai). His statement quoted in the paper—that an individual who wishes to increase his family’s resources must depend on the state (p. 900)—belongs to a Confucian rhetorical tradition of family-state homology (jia-guo tongti), not to a rational-choice calculus about scale economies in public goods provision.</w:t>
      </w:r>
    </w:p>
    <w:p w14:paraId="318344B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王安石本人并不是用“相对于私人亲属组织来扩张中央国家能力”这样的语言来界定其改革的；他使用的是儒家式的治理效能与财政经略语言。他的纲领性文本《上仁宗皇帝言事书》提出了“因天下之力以生天下之财，取天下之财以供天下之费”的原则。论文引用的那句王安石的话——即个人若想增加家族资源，就必须依赖国家（第 900 页）——属于儒家“家国同体”的修辞传统，而不是一种关于公共品供给规模经济的理性选择式计算。</w:t>
      </w:r>
    </w:p>
    <w:p w14:paraId="73067A37">
      <w:pPr>
        <w:rPr>
          <w:rFonts w:hint="default" w:ascii="Times New Roman Regular" w:hAnsi="Times New Roman Regular" w:cs="Times New Roman Regular" w:eastAsiaTheme="minorEastAsia"/>
          <w:b w:val="0"/>
          <w:i w:val="0"/>
        </w:rPr>
      </w:pPr>
    </w:p>
    <w:p w14:paraId="06AEE02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 xml:space="preserve">The opponents’ discourse is even more revealing. </w:t>
      </w:r>
      <w:r>
        <w:rPr>
          <w:rFonts w:hint="default" w:ascii="Times New Roman Regular" w:hAnsi="Times New Roman Regular" w:cs="Times New Roman Regular" w:eastAsiaTheme="minorEastAsia"/>
          <w:b w:val="0"/>
          <w:i w:val="0"/>
          <w:color w:val="0000FF"/>
        </w:rPr>
        <w:t>Sima Guang’s famous dictum that “the output of the world in money and goods is of a fixed and definite amount; if it is in the hands of the state then it is not in the hands of the people” (p. 900) is not an argument against state building per se. It is a zero-sum fiscal philosophy about the appropriate boundary between state extraction and popular welfare—a position closer to</w:t>
      </w:r>
      <w:r>
        <w:rPr>
          <w:rFonts w:hint="default" w:ascii="Times New Roman Regular" w:hAnsi="Times New Roman Regular" w:cs="Times New Roman Regular" w:eastAsiaTheme="minorEastAsia"/>
          <w:b w:val="0"/>
          <w:i w:val="0"/>
          <w:color w:val="0000FF"/>
          <w:highlight w:val="yellow"/>
        </w:rPr>
        <w:t xml:space="preserve"> classical liberal concerns about government overreach than to a defense of kinship-based private-order institutions</w:t>
      </w:r>
      <w:r>
        <w:rPr>
          <w:rFonts w:hint="default" w:ascii="Times New Roman Regular" w:hAnsi="Times New Roman Regular" w:cs="Times New Roman Regular" w:eastAsiaTheme="minorEastAsia"/>
          <w:b w:val="0"/>
          <w:i w:val="0"/>
          <w:color w:val="0000FF"/>
        </w:rPr>
        <w:t>.</w:t>
      </w:r>
      <w:r>
        <w:rPr>
          <w:rFonts w:hint="default" w:ascii="Times New Roman Regular" w:hAnsi="Times New Roman Regular" w:cs="Times New Roman Regular" w:eastAsiaTheme="minorEastAsia"/>
          <w:b w:val="0"/>
          <w:i w:val="0"/>
        </w:rPr>
        <w:t xml:space="preserve"> Fan Zhen’s argument against the standing army invokes lighter taxation and popular loyalty (p. 900)—these are arguments about good governance and popular livelihood (minsheng), not about preserving kinship organizations as alternative service providers. Deng Runpu’s complaint that replacing private militias with baojia guardsmen shattered “a natural defense and surveillance network built on personal relationships” (p. 900) comes closest to the paper’s theoretical frame, but even here the language is communitarian and moral, not instrumental and calculative.</w:t>
      </w:r>
    </w:p>
    <w:p w14:paraId="47AA60C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反对者的话语则更能说明问题。司马光那句著名的话——“天地所生财货百物之数，止有此数；不在民，则在官”（第 900 页）——并不是一个泛泛意义上反对国家建设的论证。它表达的是一种零和式的财政哲学：国家汲取与民间福祉之间应当划定何种边界。这种立场，与其说是在捍卫基于亲属关系的私人秩序制度，不如说更接近古典自由主义式对政府过度扩张的忧虑。范镇反对常备军时强调轻徭薄赋和民众归心（第 900 页）；这讨论的是善治与民生，而不是要把亲属组织保留下来作为替代性的服务提供者。邓润甫关于以保甲替代私人武装、从而打碎了“以私人关系构成的天然防御与监视网络”的抱怨（第 900 页），确实最接近论文的理论框架，但即便在这里，其语言也仍然是共同体主义和道德性的，而不是工具主义和计算性的。</w:t>
      </w:r>
    </w:p>
    <w:p w14:paraId="2DC002B7">
      <w:pPr>
        <w:rPr>
          <w:rFonts w:hint="default" w:ascii="Times New Roman Regular" w:hAnsi="Times New Roman Regular" w:cs="Times New Roman Regular" w:eastAsiaTheme="minorEastAsia"/>
          <w:b w:val="0"/>
          <w:i w:val="0"/>
        </w:rPr>
      </w:pPr>
    </w:p>
    <w:p w14:paraId="0410E36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This matters for two reasons. First, in a sample of only 40 observations, the absence of micro-level evidence that any politician actually reasoned along the lines the theory predicts—“my kin are dispersed, therefore the state can protect them more efficiently than local kinship organizations, therefore I support the reform”—weakens the inferential bridge from correlation to mechanism. If we cannot find a single private letter, diary entry, or internal memorandum that reflects this calculation, the possibility that the correlation is driven by an omitted variable becomes more plausible.</w:t>
      </w:r>
    </w:p>
    <w:p w14:paraId="5723D2D4">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这之所以重要，有两个原因。第一，在只有 40 个观察值的样本中，如果缺乏任何微观层面的证据，表明某位政治人物确实是按照理论所预测的逻辑在思考——“我的亲属分布较广，因此国家比地方亲属组织更能有效保护他们，所以我支持改革”——那么，从相关关系推断机制的桥梁就会变得十分脆弱。如果我们找不到哪怕一封私人书信、一则日记条目，或一份内部备忘录，能反映出这样的计算，那么这种相关性其实是由遗漏变量驱动的可能性就会更大。</w:t>
      </w:r>
    </w:p>
    <w:p w14:paraId="0337519F">
      <w:pPr>
        <w:rPr>
          <w:rFonts w:hint="default" w:ascii="Times New Roman Regular" w:hAnsi="Times New Roman Regular" w:cs="Times New Roman Regular" w:eastAsiaTheme="minorEastAsia"/>
          <w:b w:val="0"/>
          <w:i w:val="0"/>
        </w:rPr>
      </w:pPr>
    </w:p>
    <w:p w14:paraId="77C1F5C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Second, if the ideas and normative frameworks articulated in political discourse possessed independent causal force—if politicians opposed the Green Sprouts Policy because they genuinely believed in cang fu yu min (“store wealth among the people”) as a governing principle, or supported military reform because they genuinely believed in fu guo qiang bing (“enrich the state and strengthen the military”) as a moral imperative—then treating their stated reasons as mere epiphenomena of kinship-network geography risks committing what historians would call a reductionist error. The rational-choice assumption that actors need not be aware of the mechanisms driving their behavior is methodologically defensible in large-N settings where idiosyncratic motivations wash out. In a sample of 40, where every observation matters, the gap between the theory’s assumed motivation and the historical actors’ expressed motivation is harder to dismiss.</w:t>
      </w:r>
    </w:p>
    <w:p w14:paraId="4A9A4F8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第二，如果政治话语中所表达的思想与规范框架本身就具有独立的因果作用——例如，某些政治人物反对青苗法，是因为他们真心相信“藏富于民”是一项治理原则；或者支持军事改革，是因为他们真心相信“富国强兵”是一种道德上的当务之急——那么，把他们明确陈述的理由仅仅视为亲属网络地理结构的附带表象，就有落入历史学家所谓“还原论错误”的风险。在大样本研究中，理性选择理论认为行动者不必意识到驱动其行为的真实机制，这在方法上或许仍可辩护，因为个体性的动机差异可能会相互抵消；但在只有 40 个样本、且每一个观察值都很重要的情形下，理论所假定的动机与历史行动者实际表达出的动机之间的距离，就更难轻易忽略。</w:t>
      </w:r>
    </w:p>
    <w:p w14:paraId="705C1D19">
      <w:pPr>
        <w:rPr>
          <w:rFonts w:hint="default" w:ascii="Times New Roman Regular" w:hAnsi="Times New Roman Regular" w:cs="Times New Roman Regular" w:eastAsiaTheme="minorEastAsia"/>
          <w:b w:val="0"/>
          <w:i w:val="0"/>
        </w:rPr>
      </w:pPr>
    </w:p>
    <w:p w14:paraId="038513A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III. The Green Sprouts Policy and the Heterogeneity of “State Building”</w:t>
      </w:r>
    </w:p>
    <w:p w14:paraId="7FF4118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三、青苗法与“国家建设”的异质性问题</w:t>
      </w:r>
    </w:p>
    <w:p w14:paraId="6009B9F8">
      <w:pPr>
        <w:rPr>
          <w:rFonts w:hint="default" w:ascii="Times New Roman Regular" w:hAnsi="Times New Roman Regular" w:cs="Times New Roman Regular" w:eastAsiaTheme="minorEastAsia"/>
          <w:b w:val="0"/>
          <w:i w:val="0"/>
        </w:rPr>
      </w:pPr>
    </w:p>
    <w:p w14:paraId="03FA349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paper codes the dependent variable as a single measure of support for the reform as a whole, averaging across specific policies for the five politicians with mixed attitudes (p. 904). But historical scholarship on the Wang Anshi Reform makes clear that the individual policies within the reform package had fundamentally different distributional logics, and opposition to different policies was driven by different considerations.</w:t>
      </w:r>
    </w:p>
    <w:p w14:paraId="1CA0575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论文把因变量编码为对整个变法的单一支持度指标；对于那五位态度不一致的政治人物，则对其在不同政策上的立场取平均值（第 904 页）。然而，关于王安石变法的历史研究早已表明，改革方案中的各项具体政策在分配逻辑上有根本差异，而对不同政策的反对，也往往出于不同的考虑。</w:t>
      </w:r>
    </w:p>
    <w:p w14:paraId="5BCA7F2F">
      <w:pPr>
        <w:rPr>
          <w:rFonts w:hint="default" w:ascii="Times New Roman Regular" w:hAnsi="Times New Roman Regular" w:cs="Times New Roman Regular" w:eastAsiaTheme="minorEastAsia"/>
          <w:b w:val="0"/>
          <w:i w:val="0"/>
        </w:rPr>
      </w:pPr>
    </w:p>
    <w:p w14:paraId="711C8F00">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Green Sprouts Policy (Qingmiao Fa) is the most instructive case. As the historical literature establishes, its core function was to create a state-run agricultural credit system that directly displaced the private lending operations of local landowners and wealthy households. Wang Anshi developed this policy from his experience governing Yin County, where he had experimented with using the Ever-Normal Granary (Changping Cang) reserves as loan capital. The policy’s explicit target was the private credit monopoly of local elites—what Wang Anshi’s supporters called “suppressing engrossment” (yi jianbing).</w:t>
      </w:r>
    </w:p>
    <w:p w14:paraId="22601E9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青苗法是最具有说明力的例子。正如相关历史研究所显示的，其核心功能在于建立一种国家经营的农业信贷制度，从而直接替代地方地主和富户所经营的私人借贷活动。王安石是在治理鄞县的经验基础上发展出这一政策的；当时他曾尝试以常平仓储粮作为放贷资本。该政策明确针对的，正是地方精英的私人信贷垄断，也就是王安石支持者所谓的“抑兼并”。</w:t>
      </w:r>
    </w:p>
    <w:p w14:paraId="3C1837D1">
      <w:pPr>
        <w:rPr>
          <w:rFonts w:hint="default" w:ascii="Times New Roman Regular" w:hAnsi="Times New Roman Regular" w:cs="Times New Roman Regular" w:eastAsiaTheme="minorEastAsia"/>
          <w:b w:val="0"/>
          <w:i w:val="0"/>
        </w:rPr>
      </w:pPr>
    </w:p>
    <w:p w14:paraId="6734C40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Opposition to the Green Sprouts Policy was therefore not primarily about whether the central state should be “strong” or “weak” in the abstract. It was about a specific institutional displacement: should the state enter the rural credit market and thereby undermine the economic power base of landowning gentry? Critics such as Han Qi pointed out that the policy’s execution had deviated dramatically from its stated intent: local officials, under pressure to meet lending quotas, engaged in forced distribution (yipei) of loans, inflated interest rates from the statutory two percent per period to as high as six percent, and turned what was designed as poverty relief into de facto state-run usury. The criticism was about implementation failure and institutional design, not about an abstract preference for weak versus strong states.</w:t>
      </w:r>
    </w:p>
    <w:p w14:paraId="1437035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因此，对青苗法的反对，主要并不是在抽象意义上讨论中央国家究竟应当“强”还是“弱”。争论的核心在于一种具体的制度性替代：国家是否应当进入乡村信贷市场，从而削弱地主士绅的经济权力基础？像韩琦这样的批评者指出，该政策在执行过程中已经严重背离了其宣称的初衷：地方官员在放贷指标压力下，采用强制摊派（抑配）的方式发放贷款，把法定每期二分的利率抬高到六分，最终将本来设计为扶贫济困的制度，变成了事实上的官营高利贷。这里的批评所针对的，是执行失败与制度设计问题，而不是一种抽象的“弱国家”偏好。</w:t>
      </w:r>
    </w:p>
    <w:p w14:paraId="1EDD1DAD">
      <w:pPr>
        <w:rPr>
          <w:rFonts w:hint="default" w:ascii="Times New Roman Regular" w:hAnsi="Times New Roman Regular" w:cs="Times New Roman Regular" w:eastAsiaTheme="minorEastAsia"/>
          <w:b w:val="0"/>
          <w:i w:val="0"/>
        </w:rPr>
      </w:pPr>
    </w:p>
    <w:p w14:paraId="10AE06E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This creates a specific empirical problem for Wang’s analysis. A politician with a geographically concentrated kinship network who opposed the Green Sprouts Policy may have done so simply because his family directly participated in local moneylending—a straightforward economic interest explanation that requires no theoretical detour through “concentrated networks → preference for private-order institutions → opposition to state building.” The paper controls for hometown characteristics through prefecture fixed effects, but does not and cannot control for whether a politician’s family was engaged in local credit operations—a variable that is both a plausible confounder and a more parsimonious explanation for opposition to this specific policy.</w:t>
      </w:r>
    </w:p>
    <w:p w14:paraId="1BC5CF3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就给王的分析带来了一个具体的经验问题。一个拥有地理上集中的亲属网络、并反对青苗法的政治人物，也许只是因为其家族本身就直接参与了地方放贷业务。这个解释是一种直接的经济利益解释，并不需要绕道经过“亲属网络集中 → 偏好私人秩序制度 → 反对国家建设”这样的理论链条。论文虽然通过府固定效应控制了籍贯地的一些特征，但它既没有、也无法控制一个政治人物的家族是否从事地方信贷活动；而这恰恰既是一个可信的混杂变量，也是一种对反对青苗法更为简洁的解释。</w:t>
      </w:r>
    </w:p>
    <w:p w14:paraId="2FAABFC0">
      <w:pPr>
        <w:rPr>
          <w:rFonts w:hint="default" w:ascii="Times New Roman Regular" w:hAnsi="Times New Roman Regular" w:cs="Times New Roman Regular" w:eastAsiaTheme="minorEastAsia"/>
          <w:b w:val="0"/>
          <w:i w:val="0"/>
        </w:rPr>
      </w:pPr>
    </w:p>
    <w:p w14:paraId="06B82D4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More broadly, collapsing the Cadastral Survey (which threatened landowners who had underreported holdings), Military Conscription (which displaced local private militias), Rural Credit (which displaced private moneylenders), and Labor Service Reform (which imposed taxes on previously exempt elites) into a single “support for state building” score obscures the fact that each policy threatened different elite interests in different ways. A politician might rationally support military reform (because external defense is a genuine public good with scale economies) while opposing the Green Sprouts Policy (because state entry into credit markets is an inefficient intervention that harms his local constituents)—and this pattern would have nothing to do with the geographic dispersion of his kinship network. By averaging across policies, the paper treats theoretically distinct political calculations as if they were manifestations of a single underlying preference.</w:t>
      </w:r>
    </w:p>
    <w:p w14:paraId="0E313847">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更广泛地说，把方田均税法（威胁那些隐瞒土地规模的地主）、保甲法/募兵军事改革（替代地方私人武装）、农村信贷政策（替代私人放贷者），以及募役法（对此前享有豁免的精英征税）统合成一个单一的“支持国家建设”分数，会掩盖这样一个事实：每项政策都以不同方式触动了不同的精英利益。一个政治人物完全可能理性地支持军事改革——因为对外防御确实是一种具有规模经济的公共品——同时又反对青苗法——因为国家进入信贷市场是一种低效干预，并且会伤害其地方支持者。这样的立场组合，未必与其亲属网络的地理分散程度有任何关系。论文通过对各项政策求平均，把在理论上彼此不同的政治计算，处理成了单一潜在偏好的表征。</w:t>
      </w:r>
    </w:p>
    <w:p w14:paraId="06CB3A72">
      <w:pPr>
        <w:rPr>
          <w:rFonts w:hint="default" w:ascii="Times New Roman Regular" w:hAnsi="Times New Roman Regular" w:cs="Times New Roman Regular" w:eastAsiaTheme="minorEastAsia"/>
          <w:b w:val="0"/>
          <w:i w:val="0"/>
        </w:rPr>
      </w:pPr>
    </w:p>
    <w:p w14:paraId="09E9740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IV. The Foundational Challenge: What Is a “Kinship Institution” in Song China?</w:t>
      </w:r>
    </w:p>
    <w:p w14:paraId="77F348A7">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四、基础性挑战：宋代中国的“亲属制度”究竟是什么？</w:t>
      </w:r>
    </w:p>
    <w:p w14:paraId="4C20E874">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deepest problem with the paper lies not in its empirical execution but in its conceptual foundation—specifically, in how it understands “kinship-based institutions” and their relationship to the state.</w:t>
      </w:r>
    </w:p>
    <w:p w14:paraId="1FB6A9A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这篇论文最深层的问题，并不在于其实证执行本身，而在于其概念基础——更具体地说，在于它如何理解“基于亲属关系的制度”，以及这种制度与国家之间究竟是什么关系。</w:t>
      </w:r>
    </w:p>
    <w:p w14:paraId="29F8FE89">
      <w:pPr>
        <w:rPr>
          <w:rFonts w:hint="default" w:ascii="Times New Roman Regular" w:hAnsi="Times New Roman Regular" w:cs="Times New Roman Regular" w:eastAsiaTheme="minorEastAsia"/>
          <w:b w:val="0"/>
          <w:i w:val="0"/>
        </w:rPr>
      </w:pPr>
    </w:p>
    <w:p w14:paraId="6702510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paper operates within a theoretical tradition—Weber, Migdal, Fukuyama, Henrich—that treats kinship organizations and the state as competing institutional alternatives for providing rules, security, and justice (pp. 896–897). Wang’s theoretical contribution is to argue that the type of kinship network (dispersed vs. concentrated) determines whether elites side with the state or with kinship organizations (p. 896). But this entire framework presupposes a relationship of competition or substitution between state and kinship—a presupposition that does not hold in the Chinese historical context.</w:t>
      </w:r>
    </w:p>
    <w:p w14:paraId="5E3D736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这篇论文立足于一条理论传统之中——从 Weber、Migdal、Fukuyama 到 Henrich——这一路径都将亲属组织与国家视为彼此竞争的制度性替代物，用来提供规则、安全与正义（第 896–897 页）。王的理论贡献在于主张：究竟是支持国家还是支持亲属组织，取决于亲属网络的类型（分散还是集中）（第 896 页）。但整个框架都预设了国家与亲属之间存在一种竞争性或替代性的关系；而这种预设，在中国历史语境中并不成立。</w:t>
      </w:r>
    </w:p>
    <w:p w14:paraId="09FE8A7E">
      <w:pPr>
        <w:rPr>
          <w:rFonts w:hint="default" w:ascii="Times New Roman Regular" w:hAnsi="Times New Roman Regular" w:cs="Times New Roman Regular" w:eastAsiaTheme="minorEastAsia"/>
          <w:b w:val="0"/>
          <w:i w:val="0"/>
        </w:rPr>
      </w:pPr>
    </w:p>
    <w:p w14:paraId="23BE515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sociological and anthropological study of Chinese kinship—from Maurice Freedman’s foundational work on southeastern Chinese lineages (1958, 1966), through the historical research of the South China School represented by David Faure and Zheng Zhenman—has established a fundamentally different picture. Zheng Zhenman’s Family Organization and Social Change in Ming-Qing Fujian (1992/2009) demonstrates that lineage organizations in Ming-Qing Fujian were not primordial survivals that the state gradually displaced, but were actively constructed by local society in response to state institutional demands. He identifies three organizational models of lineage: the inheritance model (based on collective property succession), the dependency model (organized around a single powerful patron), and the contractual model (a joint-stock arrangement using kinship rhetoric to organize economic cooperation). These typological differences are determined not by the geographic dispersion of members, but by the local economic structure, property rights regime, and degree of commercialization. The contractual lineage of coastal Fujian, organized essentially as a commercial partnership wearing a kinship disguise, operated under entirely different logic than the inheritance-based lineage of the interior—yet both would be coded identically under Wang’s geographic concentration index.</w:t>
      </w:r>
    </w:p>
    <w:p w14:paraId="2556EB5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关于中国亲属关系的社会学与人类学研究——从 Maurice Freedman 关于中国东南宗族的奠基性著作（1958，1966），到以 David Faure 和郑振满为代表的华南学派历史研究——已经勾勒出一幅根本不同的图景。郑振满的《明清福建家族组织与社会变迁》（1992/2009）表明，明清福建的宗族组织并非国家逐步排斥后的原始残存物，而是在回应国家制度性要求的过程中，由地方社会积极建构出来的。他区分了三种家族组织模式：继承模式（建立在共同财产继承之上）、依附模式（围绕一个强有力的庇护者组织起来），以及契约模式（以亲属修辞来组织经济合作的一种合股安排）。这些类型差异，并不是由成员的地理分散程度决定的，而是由地方经济结构、产权制度和商业化程度决定的。沿海福建那种本质上像“披着亲属外衣的商业合伙组织”的契约型宗族，其运作逻辑与内陆地区以继承为核心的宗族完全不同；但在王的地理集中度指标下，它们却会被以同样方式编码。</w:t>
      </w:r>
    </w:p>
    <w:p w14:paraId="0B69EAB6">
      <w:pPr>
        <w:rPr>
          <w:rFonts w:hint="default" w:ascii="Times New Roman Regular" w:hAnsi="Times New Roman Regular" w:cs="Times New Roman Regular" w:eastAsiaTheme="minorEastAsia"/>
          <w:b w:val="0"/>
          <w:i w:val="0"/>
        </w:rPr>
      </w:pPr>
    </w:p>
    <w:p w14:paraId="6F137638">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More fundamentally, Zheng and Faure have shown that kinship organizations in China were often products of state institutions rather than competitors to them. The massive expansion of lineage organizations in Ming-dynasty Fujian occurred in direct response to the lijia (里甲) system of household registration and tax collection: local communities adopted the organizational form of the lineage precisely to manage their interface with the state’s fiscal demands. State building and lineage building were not zero-sum; they were co-constitutive processes. This insight directly undermines the theoretical premise of Wang’s paper—that elites face a binary choice between “public-order institutions (the state)” and “private-order institutions (kinship organizations)” as alternative providers of protection and justice (p. 898).</w:t>
      </w:r>
    </w:p>
    <w:p w14:paraId="57AA381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更根本的是，郑振满和 Faure 已经表明，中国的亲属组织往往不是国家的竞争对手，反而是国家制度的产物。明代福建宗族组织的大规模扩张，正是对里甲制这一户籍登记与税收征收制度的直接回应：地方共同体之所以采用宗族这种组织形式，恰恰是为了管理自己与国家财政要求之间的接口。国家建设与宗族建设并不是零和关系；相反，它们往往是共同构成、彼此生成的过程。这个洞见直接动摇了王这篇论文的理论前提：即精英面临一个二元选择，要在“公共秩序制度（国家）”与“私人秩序制度（亲属组织）”之间作出取舍，将二者视为保护与正义的替代性提供者（第 898 页）。</w:t>
      </w:r>
    </w:p>
    <w:p w14:paraId="73056A51">
      <w:pPr>
        <w:rPr>
          <w:rFonts w:hint="default" w:ascii="Times New Roman Regular" w:hAnsi="Times New Roman Regular" w:cs="Times New Roman Regular" w:eastAsiaTheme="minorEastAsia"/>
          <w:b w:val="0"/>
          <w:i w:val="0"/>
        </w:rPr>
      </w:pPr>
    </w:p>
    <w:p w14:paraId="72DD30FE">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 historical context of the Northern Song compounds this problem. Wang’s paper is situated at a particular moment in the long-run history of Chinese kinship: after the destruction of the medieval aristocracy (documented by Tackett 2014) and before the reconstruction of organized lineages in the Song-Yuan-Ming transition. The politicians in Wang’s sample were not embedded in the kind of kinship-based institutions that Weber and Fukuyama describe—corporate organizations with independent economic resources, autonomous governance structures, and the capacity to provide security and adjudicate disputes in competition with the state. They were embedded in fluid, strategically constructed marriage alliances that depended on political office for their existence. As Hymes (1986) and Bossler (1998)—both cited extensively by Wang—demonstrate, Song elite marriage networks were instruments of political strategy, not autonomous social institutions. When a family lost political office, its marriage network unraveled.</w:t>
      </w:r>
    </w:p>
    <w:p w14:paraId="22C59A0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北宋的历史语境又进一步放大了这一问题。王的论文所处的位置，是中国亲属关系长时段历史中的一个特定时刻：它处在中世纪贵族秩序崩解之后（Tackett 2014 已有论证），也处在宋元明之际那种有组织宗族重建之前。王所分析的那些政治人物，并不是嵌入在 Weber 或 Fukuyama 所描述的那种“亲属制度”之中——即拥有独立经济资源、自主治理结构，并能够在提供安全和裁判争端方面与国家竞争的法人性组织。相反，他们主要嵌入在流动的、策略性建构的婚姻联盟之中，而这种联盟本身又依赖政治官位而存在。正如 Hymes（1986）与 Bossler（1998）——两位也都被王大量引用——所显示的那样，宋代精英婚姻网络更多是政治策略的工具，而不是具有自主性的社会制度。当一个家族失去政治职位时，其婚姻网络也会随之瓦解。</w:t>
      </w:r>
    </w:p>
    <w:p w14:paraId="49B8FBD7">
      <w:pPr>
        <w:rPr>
          <w:rFonts w:hint="default" w:ascii="Times New Roman Regular" w:hAnsi="Times New Roman Regular" w:cs="Times New Roman Regular" w:eastAsiaTheme="minorEastAsia"/>
          <w:b w:val="0"/>
          <w:i w:val="0"/>
        </w:rPr>
      </w:pPr>
    </w:p>
    <w:p w14:paraId="603DD7B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To place these fragile, state-dependent, strategically instrumental marriage networks into a theoretical framework designed to explain the relationship between autonomous kinship institutions and state building is to commit a category error. The “kinship networks” in Wang’s data are not the same kind of entity as the “kinship-based institutions” in Weber’s, Migdal’s, or Fukuyama’s theory. The correlation the paper finds may well be real, but the theoretical interpretation it offers—that dispersed kinship networks incentivize elites to choose the state over kinship organizations—may be built on a misidentification of what these networks actually were and how they actually functioned in Northern Song political life.</w:t>
      </w:r>
    </w:p>
    <w:p w14:paraId="4CE488D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把这些脆弱的、依赖国家、并且具有明显策略工具性的婚姻网络，放进一个原本是用来解释“自主性亲属制度”与国家建设之间关系的理论框架之中，本身就是一种范畴错误。王的数据中所谓的“亲属网络”，并不是 Weber、Migdal 或 Fukuyama 理论中所谓“亲属制度”那样的实体。论文所发现的相关关系，很可能确实存在；但它所赋予这一相关关系的理论意义——即分散的亲属网络会激励精英在国家与亲属组织之间选择前者——却可能建立在对这些网络究竟是什么、以及它们在北宋政治生活中究竟如何运作的误判之上。</w:t>
      </w:r>
    </w:p>
    <w:p w14:paraId="4CC69A09">
      <w:pPr>
        <w:rPr>
          <w:rFonts w:hint="default" w:ascii="Times New Roman Regular" w:hAnsi="Times New Roman Regular" w:cs="Times New Roman Regular" w:eastAsiaTheme="minorEastAsia"/>
          <w:b w:val="0"/>
          <w:i w:val="0"/>
        </w:rPr>
      </w:pPr>
    </w:p>
    <w:p w14:paraId="4D78321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w:t>
      </w:r>
    </w:p>
    <w:p w14:paraId="35187399">
      <w:pPr>
        <w:rPr>
          <w:rFonts w:hint="default" w:ascii="Times New Roman Regular" w:hAnsi="Times New Roman Regular" w:cs="Times New Roman Regular" w:eastAsiaTheme="minorEastAsia"/>
          <w:b w:val="0"/>
          <w:i w:val="0"/>
        </w:rPr>
      </w:pPr>
    </w:p>
    <w:p w14:paraId="23DB528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V. Conclusion: Parsimony vs. Context</w:t>
      </w:r>
    </w:p>
    <w:p w14:paraId="1F3AFF1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五、结论：简约性与历史语境</w:t>
      </w:r>
    </w:p>
    <w:p w14:paraId="151F095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These four critiques are interconnected. The omission of patron-client networks, the misreading of political discourse, the conflation of heterogeneous policies, and the mischaracterization of Song kinship all stem from a single methodological choice: the application of a parsimonious rational-choice framework—elites as agents of kinship groups, choosing between state and kinship as service providers—to a historical context that does not accommodate its assumptions.</w:t>
      </w:r>
    </w:p>
    <w:p w14:paraId="50918E1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四项批评彼此之间是相互关联的。无论是对庇护—依附网络的忽略、对政治话语的误读、对异质性政策的混合处理，还是对宋代亲属关系的错误刻画，其根源都可以追溯到同一个方法论选择：即把一个简约的理性选择框架——在这个框架中，精英被视为亲属群体的代理人，并在国家与亲属之间作为服务提供者进行选择——套用于一个并不满足这些假设的历史语境之中。</w:t>
      </w:r>
    </w:p>
    <w:p w14:paraId="277892DF">
      <w:pPr>
        <w:rPr>
          <w:rFonts w:hint="default" w:ascii="Times New Roman Regular" w:hAnsi="Times New Roman Regular" w:cs="Times New Roman Regular" w:eastAsiaTheme="minorEastAsia"/>
          <w:b w:val="0"/>
          <w:i w:val="0"/>
        </w:rPr>
      </w:pPr>
    </w:p>
    <w:p w14:paraId="72C1A5BF">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This is not to deny the paper’s contribution. It introduces a creative theoretical argument, constructs original data from archaeological and archival sources, and demonstrates a robust statistical correlation. For political scientists interested in how social network structures shape political preferences, the paper offers a valuable and generalizable insight: the geography of elite social ties may influence their orientation toward centralization. As a work of comparative politics read by an audience unfamiliar with Chinese history, it succeeds in bringing Chinese evidence into a previously Eurocentric conversation.</w:t>
      </w:r>
    </w:p>
    <w:p w14:paraId="519CB3D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这并不是要否认论文的贡献。它提出了一个富有创意的理论论证，利用考古和档案材料构造出原创数据，并展示了一种稳健的统计相关关系。对于那些关心社会网络结构如何塑造政治偏好的政治学者来说，这篇论文提供了一个有价值且具有可推广性的洞见：精英社会关系的地理结构，可能会影响他们对中央集权的态度。作为一篇面向并不熟悉中国历史的比较政治作品，它也确实成功地将中国材料带入了一场此前较为欧洲中心的对话之中。</w:t>
      </w:r>
    </w:p>
    <w:p w14:paraId="459F4C21">
      <w:pPr>
        <w:rPr>
          <w:rFonts w:hint="default" w:ascii="Times New Roman Regular" w:hAnsi="Times New Roman Regular" w:cs="Times New Roman Regular" w:eastAsiaTheme="minorEastAsia"/>
          <w:b w:val="0"/>
          <w:i w:val="0"/>
        </w:rPr>
      </w:pPr>
    </w:p>
    <w:p w14:paraId="0FAA08B1">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But for the argument to bear the interpretive weight the paper places on it—that kinship networks caused politicians to support state building through the specific mechanisms of scale economies, cross-cutting cleavages, and forward linkages—it would need to engage far more seriously with what Chinese kinship actually was in the eleventh century, how Song political factions actually operated, what the reform’s specific policies actually threatened, and how the historical actors actually understood what they were doing. The gap between the theoretical model’s assumptions and the historical record’s testimony is, at present, wider than the paper acknowledges. Closing that gap would require not only more data but a different kind of conversation—one that takes the internal logic of Chinese social institutions and political thought as seriously as it takes the external logic of rational-choice theory.</w:t>
      </w:r>
    </w:p>
    <w:p w14:paraId="6B13842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但是，如果要让这一论证真正承载论文赋予它的那种解释重量——也就是说，若要证明是亲属网络通过规模经济、跨切分界线与前向联系等具体机制，导致政治人物支持国家建设——那么它就必须更严肃地处理以下问题：十一世纪中国的亲属关系究竟是什么，宋代政治派系究竟如何运作，变法中的具体政策究竟威胁了什么，以及历史行动者究竟如何理解自己正在做的事。就目前而言，理论模型的假设与历史记录的证词之间的距离，比论文所承认的要大得多。要弥合这一距离，所需要的不仅是更多数据，更需要一种不同类型的对话——一种既认真对待理性选择理论的外在逻辑，也同样认真对待中国社会制度与政治思想内在逻辑的对话。</w:t>
      </w:r>
    </w:p>
    <w:p w14:paraId="202AF300">
      <w:pPr>
        <w:rPr>
          <w:rFonts w:hint="default" w:ascii="Times New Roman Regular" w:hAnsi="Times New Roman Regular" w:cs="Times New Roman Regular" w:eastAsiaTheme="minorEastAsia"/>
          <w:b w:val="0"/>
          <w:i w:val="0"/>
          <w:lang w:val="en-US"/>
        </w:rPr>
      </w:pPr>
    </w:p>
    <w:p w14:paraId="4350E27E">
      <w:pPr>
        <w:rPr>
          <w:rFonts w:hint="default" w:ascii="Times New Roman Regular" w:hAnsi="Times New Roman Regular" w:cs="Times New Roman Regular" w:eastAsiaTheme="minorEastAsia"/>
          <w:b w:val="0"/>
          <w:i w:val="0"/>
          <w:highlight w:val="yellow"/>
        </w:rPr>
      </w:pPr>
      <w:r>
        <w:rPr>
          <w:rFonts w:hint="default" w:ascii="Times New Roman Regular" w:hAnsi="Times New Roman Regular" w:cs="Times New Roman Regular" w:eastAsiaTheme="minorEastAsia"/>
          <w:b w:val="0"/>
          <w:i w:val="0"/>
          <w:highlight w:val="yellow"/>
        </w:rPr>
        <w:t>Extensions: What extensions or new research questions? / 延伸：可能的研究延伸或新研究问题？</w:t>
      </w:r>
    </w:p>
    <w:p w14:paraId="07257E0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Professional scholars would propose several productive extensions.</w:t>
      </w:r>
    </w:p>
    <w:p w14:paraId="4DD37935">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(1) Cross-dynasty and cross-country comparison. The argument is framed as general, but tested on one reform in one dynasty. An obvious extension is to test whether the kinship-network mechanism operates in other Chinese dynasties (e.g., the Ming /mɪŋ/ and Qing /tʃɪŋ/ dynasties, where lineage organizations were arguably even stronger) or in other premodern states where kinship networks are well documented (e.g., medieval England, Mamluk /mæmˈluːk/ Egypt, or precolonial African kingdoms such as the Zulu /ˈzuːluː/ or Buganda /buːˈɡændə/). In particular, comparing China with the European trajectory—where the Catholic Church</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prohibitions on cousin marriage (per Henrich 2020) weakened kinship networks—could test whether the dispersed-network mechanism is an alternative to church-driven institutional transformation.</w:t>
      </w:r>
    </w:p>
    <w:p w14:paraId="4158E3C3">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(2) Dynamic analysis of network formation and political change. The paper treats kinship networks as given at the time of the reform. A natural extension is to study how networks evolved over multiple generations and whether the accumulation of dispersed ties over time predicted future state-building coalitions. This could draw on the growing availability of longitudinal genealogical data in Chinese history (e.g., the extensive jiapu / family genealogies or 族谱 that survive from later dynasties).</w:t>
      </w:r>
    </w:p>
    <w:p w14:paraId="0AA2A49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(3) From correlation to mechanism: testing the economic logic directly. If the scale-economy mechanism is correct, then the effect of dispersed networks should be stronger for politicians whose kin are spread across regions with different security threats or different economic needs, because these are the contexts where a central state adds the most value relative to local private institutions. Conversely, the effect should be weaker when kin are dispersed but located in uniformly peaceful and prosperous areas. Interaction effects between network dispersion and the heterogeneity of local conditions across kin locations could provide a sharper test.</w:t>
      </w:r>
    </w:p>
    <w:p w14:paraId="1335F3F2">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(4) The reform</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long-run consequences. What happened after the reform failed? Did the geographic structure of elite networks predict which families survived the fall of the Northern Song, the subsequent Southern Song /sʌðərn sʊŋ/ retreat, and the Mongol conquest? If dispersed networks provided resilience through regime change, this would strengthen the argument that network geography shaped not only political preferences but also long-run family and political outcomes. Tackett</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(2014) work on the destruction of the medieval Chinese aristocracy provides a framework for such analysis.</w:t>
      </w:r>
    </w:p>
    <w:p w14:paraId="5091AE9B">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(5) Endogenous network formation and state building as co-evolution. The current paper takes networks as exogenous to reform preferences. But in the longer run, state building itself may reshape kinship network geography—for example, by standardizing the examination system, facilitating bureaucratic rotation to distant postings, or building transportation infrastructure that makes long-distance marriage alliances cheaper. A richer theoretical model would treat kinship networks and state capacity as co-evolving, potentially generating path-dependent or self-reinforcing dynamics. This connects to the broader comparative historical analysis literature on institutional complementarities (Aoki 2001; Greif 2006).</w:t>
      </w:r>
    </w:p>
    <w:p w14:paraId="2007DB3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(6) Application to contemporary developing countries. Kinship networks remain politically significant in many developing countries (as noted by Cruz, Labonne, and Querubin 2017 on the Philippines and Mattingly 2016 on China). Wang</w:t>
      </w:r>
      <w:r>
        <w:rPr>
          <w:rFonts w:hint="default" w:ascii="Times New Roman Regular" w:hAnsi="Times New Roman Regular" w:cs="Times New Roman Regular"/>
          <w:b w:val="0"/>
          <w:i w:val="0"/>
          <w:lang w:val="en-US"/>
        </w:rPr>
        <w:t>’s</w:t>
      </w:r>
      <w:r>
        <w:rPr>
          <w:rFonts w:hint="default" w:ascii="Times New Roman Regular" w:hAnsi="Times New Roman Regular" w:cs="Times New Roman Regular" w:eastAsiaTheme="minorEastAsia"/>
          <w:b w:val="0"/>
          <w:i w:val="0"/>
        </w:rPr>
        <w:t xml:space="preserve"> argument suggests that development practitioners and policy designers should attend not to the strength of kinship institutions per se, but to their geographic structure. Aid programs or governance reforms that inadvertently localize elite networks (e.g., by decentralizing power to provincial level) might paradoxically weaken support for national state building, whereas policies that promote geographic mobility and inter-regional marriage (e.g., national university systems, civil service rotation) might foster it.专业学者会提出以下几项富有成效的延伸方向。</w:t>
      </w:r>
    </w:p>
    <w:p w14:paraId="664F8A9D">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（1）跨朝代和跨国比较。 论点被框定为具有一般性，但仅在一个朝代的一次改革上进行了检验。一个显而易见的延伸是检验宗族网络机制是否在其他中国朝代（如宗族组织或许更为强大的明 Ming /mɪŋ/ 清 Qing /tʃɪŋ/ 两代）或宗族网络有良好文献记录的其他前现代国家（如中世纪英格兰、马穆鲁克 Mamluk /mæmˈluːk/ 埃及，或前殖民时期非洲王国如祖鲁 Zulu /ˈzuːluː/ 或布干达 Buganda /buːˈɡændə/）中同样成立。特别是将中国与欧洲轨迹进行比较——在欧洲，天主教会对近亲婚姻的禁令（参见Henrich 2020）削弱了宗族网络——可以检验分散网络机制是否是教会驱动的制度转型的替代方案。</w:t>
      </w:r>
    </w:p>
    <w:p w14:paraId="71BE72EB">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（2）网络形成与政治变迁的动态分析。 论文将宗族网络视为在变法时已经既定的。一个自然的延伸是研究网络如何在多代人中演化，以及分散联系的积累是否预测了未来的国家建设联盟。这可以利用中国历史中日益可及的纵向谱系数据（如后世保存的大量家谱/族谱）。</w:t>
      </w:r>
    </w:p>
    <w:p w14:paraId="66AF22CA">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（3）从相关性到机制：直接检验经济逻辑。 如果规模经济机制是正确的，那么分散网络的效应应该在亲属分布于安全威胁不同或经济需求不同的地区的政治人物中更强——因为在这些情境下中央国家相对于地方私人制度增加的价值最大。反之，当亲属虽然分散但位于统一和平和繁荣的地区时，效应应该较弱。网络分散程度与亲属所在地方条件异质性之间的交互效应可以提供更精确的检验。</w:t>
      </w:r>
    </w:p>
    <w:p w14:paraId="34557466">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（4）变法的长期后果。 变法失败后发生了什么？精英网络的地理结构是否预测了哪些家族在北宋灭亡、南宋（Southern Song /sʌðərn sʊŋ/）南迁和蒙古征服中存活？如果分散网络在政权更迭中提供了韧性，这将加强网络地理不仅塑造政治偏好还影响长期家族和政治结果的论证。谭凯（Tackett 2014）关于中世纪中国贵族毁灭的研究为此类分析提供了框架。</w:t>
      </w:r>
    </w:p>
    <w:p w14:paraId="31AA7E39">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（5）内生的网络形成与国家建设的共同演化。 当前论文将网络视为相对于改革偏好的外生变量。但从更长的时间尺度看，国家建设本身可能重塑宗族网络的地理结构——例如通过标准化科举制度、促进官僚向远方任职的轮换，或建设使远距离联姻成本降低的交通基础设施。一个更丰富的理论模型应将宗族网络和国家能力视为共同演化的，可能产生路径依赖或自我强化的动态。这与关于制度互补性的更广泛比较历史分析文献相联系（Aoki 2001; Greif 2006）。</w:t>
      </w:r>
    </w:p>
    <w:p w14:paraId="11BC126C">
      <w:pPr>
        <w:rPr>
          <w:rFonts w:hint="default" w:ascii="Times New Roman Regular" w:hAnsi="Times New Roman Regular" w:cs="Times New Roman Regular" w:eastAsiaTheme="minorEastAsia"/>
          <w:b w:val="0"/>
          <w:i w:val="0"/>
        </w:rPr>
      </w:pPr>
      <w:r>
        <w:rPr>
          <w:rFonts w:hint="default" w:ascii="Times New Roman Regular" w:hAnsi="Times New Roman Regular" w:cs="Times New Roman Regular" w:eastAsiaTheme="minorEastAsia"/>
          <w:b w:val="0"/>
          <w:i w:val="0"/>
        </w:rPr>
        <w:t>（6）对当代发展中国家的应用。 宗族网络在许多发展中国家仍具有政治重要性（如Cruz, Labonne, Querubin 2017关于菲律宾的研究和Mattingly 2016关于中国的研究）。王裕华的论证表明，发展实践者和政策设计者应关注的不是宗族制度本身的强度，而是其地理结构。无意中使精英网络本地化的援助计划或治理改革（如将权力下放到省级层面）可能悖论般地削弱对国家建设的支持，而促进地理流动性和跨区域联姻的政策（如全国性大学体系、公务员轮换制度）可能促进国家建设。</w:t>
      </w:r>
    </w:p>
    <w:p w14:paraId="0F7840A0">
      <w:pPr>
        <w:rPr>
          <w:rFonts w:hint="default" w:ascii="Times New Roman Regular" w:hAnsi="Times New Roman Regular" w:cs="Times New Roman Regular" w:eastAsiaTheme="minorEastAsia"/>
          <w:b w:val="0"/>
          <w:i w:val="0"/>
        </w:rPr>
      </w:pPr>
    </w:p>
    <w:p w14:paraId="12694E50">
      <w:pPr>
        <w:pStyle w:val="2"/>
        <w:keepNext w:val="0"/>
        <w:keepLines w:val="0"/>
        <w:widowControl/>
        <w:suppressLineNumbers w:val="0"/>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Lecture Notes: Slavery, Reconstruction, and Bureaucratic Capacity in the American South</w:t>
      </w:r>
    </w:p>
    <w:p w14:paraId="0B2AEDD4">
      <w:pPr>
        <w:pStyle w:val="2"/>
        <w:keepNext w:val="0"/>
        <w:keepLines w:val="0"/>
        <w:widowControl/>
        <w:suppressLineNumbers w:val="0"/>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讲义：奴隶制、重建与美国南方的官僚能力</w:t>
      </w:r>
    </w:p>
    <w:p w14:paraId="3BD1426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1. Literature Name / 文献名称</w:t>
      </w:r>
    </w:p>
    <w:p w14:paraId="6526C42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English: </w:t>
      </w:r>
      <w:r>
        <w:rPr>
          <w:rFonts w:hint="default" w:ascii="Times New Roman Regular" w:hAnsi="Times New Roman Regular" w:cs="Times New Roman Regular"/>
          <w:b w:val="0"/>
          <w:bCs w:val="0"/>
          <w:i w:val="0"/>
          <w:kern w:val="2"/>
          <w:sz w:val="21"/>
          <w:szCs w:val="24"/>
          <w:lang w:val="en-US" w:eastAsia="zh-CN" w:bidi="ar-SA"/>
        </w:rPr>
        <w:t>“Slavery, Reconstruction, and Bureaucratic Capacity in the American South”</w:t>
      </w:r>
    </w:p>
    <w:p w14:paraId="3AD348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《奴隶制、重建与美国南方的官僚能力》</w:t>
      </w:r>
    </w:p>
    <w:p w14:paraId="0A5BDBB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4F1D47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2. Author(s) / 作者</w:t>
      </w:r>
    </w:p>
    <w:p w14:paraId="063935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English: Pavithra Suryanarayan /pəˈvɪtrə ˌsʊrjəˈnɑːrəjɑːnən/, Assistant Professor at the School of Advanced International Studies (SAIS), Johns Hopkins /dʒɒnz ˈhɒpkɪnz/ University; and Steven White /ˈstiːvən waɪt/, Assistant Professor at the Department of Political Science, Syracuse /ˈsɪrəkjuːs/ University.</w:t>
      </w:r>
    </w:p>
    <w:p w14:paraId="3007CCC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帕维特拉·苏里亚纳拉亚南（Pavithra Suryanarayan /pəˈvɪtrə ˌsʊrjəˈnɑːrəjɑːnən/），约翰斯·霍普金斯大学（Johns Hopkins /dʒɒnz ˈhɒpkɪnz/ University）高级国际研究学院（SAIS）助理教授；史蒂文·怀特（Steven White /ˈstiːvən waɪt/），雪城大学（Syracuse /ˈsɪrəkjuːs/ University）政治学系助理教授。</w:t>
      </w:r>
    </w:p>
    <w:p w14:paraId="10454FFF">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6EB148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3. Published Year / 出版年份</w:t>
      </w:r>
    </w:p>
    <w:p w14:paraId="5E45B2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English: 2021, published in the American Political Science Review, Volume 115, Number 2, pages 568–584. The article was first published online on December 14, 2020.</w:t>
      </w:r>
    </w:p>
    <w:p w14:paraId="4396542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2021年，发表于《美国政治学评论》（American Political Science Review），第115卷第2期，第568–584页。该文于2020年12月14日在线首发。</w:t>
      </w:r>
    </w:p>
    <w:p w14:paraId="35726A9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64AB14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highlight w:val="yellow"/>
          <w:u w:val="none"/>
          <w:lang w:val="en-US" w:eastAsia="zh-CN" w:bidi="ar-SA"/>
        </w:rPr>
      </w:pPr>
      <w:r>
        <w:rPr>
          <w:rFonts w:hint="default" w:ascii="Times New Roman Regular" w:hAnsi="Times New Roman Regular" w:cs="Times New Roman Regular" w:eastAsiaTheme="minorEastAsia"/>
          <w:b w:val="0"/>
          <w:bCs w:val="0"/>
          <w:i w:val="0"/>
          <w:kern w:val="2"/>
          <w:sz w:val="21"/>
          <w:szCs w:val="24"/>
          <w:highlight w:val="yellow"/>
          <w:u w:val="none"/>
          <w:lang w:val="en-US" w:eastAsia="zh-CN" w:bidi="ar-SA"/>
        </w:rPr>
        <w:t>4. DV: What is the main dependent variable? / 因变量：主要因变量是什么？</w:t>
      </w:r>
    </w:p>
    <w:p w14:paraId="375EAE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English: The main dependent variable is bureaucratic capacity in the post–Civil War American South, operationalized through three distinct measures. The first measure is per capita county tax collections (logged), drawn from 1870 and </w:t>
      </w:r>
      <w:bookmarkStart w:id="0" w:name="_GoBack"/>
      <w:bookmarkEnd w:id="0"/>
      <w:r>
        <w:rPr>
          <w:rFonts w:hint="default" w:ascii="Times New Roman Regular" w:hAnsi="Times New Roman Regular" w:cs="Times New Roman Regular" w:eastAsiaTheme="minorEastAsia"/>
          <w:b w:val="0"/>
          <w:bCs w:val="0"/>
          <w:i w:val="0"/>
          <w:kern w:val="2"/>
          <w:sz w:val="21"/>
          <w:szCs w:val="24"/>
          <w:lang w:val="en-US" w:eastAsia="zh-CN" w:bidi="ar-SA"/>
        </w:rPr>
        <w:t>1880 census data. This variable captures both changes to fiscal policy and the state</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actual ability to extract revenue. During Reconstruction (1870), the mean level of per capita county taxation was $1.17; by 1880, after Reconstruction</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demise, it dropped to $0.87—a 26% decline (p. 568). The second measure is census quality, operationalized as age heaping among white respondents using the Whipple</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Index calculated from the full population data of the 1880 census. A Whipple</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 xml:space="preserve">s Index score of 100 indicates no heaping at ages ending in 0 or 5, while scores above 100 indicate heaping—that is, errors in census recording that reflect bureaucratic inability to gather accurate information (pp. 574–575). The third measure is per capita government employees in each county in 1880, calculated using individual-level occupation data from the full census. This captures the physical </w:t>
      </w:r>
      <w:r>
        <w:rPr>
          <w:rFonts w:hint="default" w:ascii="Times New Roman Regular" w:hAnsi="Times New Roman Regular" w:cs="Times New Roman Regular"/>
          <w:b w:val="0"/>
          <w:bCs w:val="0"/>
          <w:i w:val="0"/>
          <w:kern w:val="2"/>
          <w:sz w:val="21"/>
          <w:szCs w:val="24"/>
          <w:lang w:val="en-US" w:eastAsia="zh-CN" w:bidi="ar-SA"/>
        </w:rPr>
        <w:t>“bureaucratic presence”</w:t>
      </w:r>
      <w:r>
        <w:rPr>
          <w:rFonts w:hint="default" w:ascii="Times New Roman Regular" w:hAnsi="Times New Roman Regular" w:cs="Times New Roman Regular" w:eastAsiaTheme="minorEastAsia"/>
          <w:b w:val="0"/>
          <w:bCs w:val="0"/>
          <w:i w:val="0"/>
          <w:kern w:val="2"/>
          <w:sz w:val="21"/>
          <w:szCs w:val="24"/>
          <w:lang w:val="en-US" w:eastAsia="zh-CN" w:bidi="ar-SA"/>
        </w:rPr>
        <w:t xml:space="preserve"> of the state—the degree to which government personnel are available on the ground to gather information, detect noncompliance, and implement policies (p. 576).</w:t>
      </w:r>
    </w:p>
    <w:p w14:paraId="432E395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These three measures are conceptually related but capture different facets of state capacity: the first is a combined indicator of fiscal policy and extractive capacity; the second reflects the quality of the state</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information-gathering apparatus; and the third reflects the sheer size of the local administrative infrastructure. By using multiple measures, the authors aim to show that the weakening after Reconstruction was not confined to tax policy alone but extended to the underlying institutional machinery required for governance.</w:t>
      </w:r>
    </w:p>
    <w:p w14:paraId="6A570D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主要因变量是美国南方内战后的官僚能力，通过三个不同的指标来操作化。第一个指标是人均县级税收（取对数），数据来自1870年和1880年人口普查。该变量既捕捉了财政政策的变化，也反映了国家实际的税收汲取能力。重建时期（1870年），南方各县人均税收的平均水平为1.17美元；到1880年重建终结后，降至0.87美元——下降了26%（第568页）。第二个指标是人口普查质量，通过1880年全人口普查数据中白人受访者的</w:t>
      </w:r>
      <w:r>
        <w:rPr>
          <w:rFonts w:hint="default" w:ascii="Times New Roman Regular" w:hAnsi="Times New Roman Regular" w:cs="Times New Roman Regular"/>
          <w:b w:val="0"/>
          <w:bCs w:val="0"/>
          <w:i w:val="0"/>
          <w:kern w:val="2"/>
          <w:sz w:val="21"/>
          <w:szCs w:val="24"/>
          <w:lang w:val="en-US" w:eastAsia="zh-CN" w:bidi="ar-SA"/>
        </w:rPr>
        <w:t>“年龄堆积”</w:t>
      </w:r>
      <w:r>
        <w:rPr>
          <w:rFonts w:hint="default" w:ascii="Times New Roman Regular" w:hAnsi="Times New Roman Regular" w:cs="Times New Roman Regular" w:eastAsiaTheme="minorEastAsia"/>
          <w:b w:val="0"/>
          <w:bCs w:val="0"/>
          <w:i w:val="0"/>
          <w:kern w:val="2"/>
          <w:sz w:val="21"/>
          <w:szCs w:val="24"/>
          <w:lang w:val="en-US" w:eastAsia="zh-CN" w:bidi="ar-SA"/>
        </w:rPr>
        <w:t>（age heaping）来操作化，使用惠普尔指数（Whipple</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Index）计算。惠普尔指数得分为100表示受访者报告的年龄在以0和5结尾的数字上没有异常集中，而高于100的得分则表明存在堆积——即普查记录中的错误，反映了官僚机构无法收集准确信息的能力缺陷（第574–575页）。第三个指标是1880年各县的人均政府雇员数，使用全普查的个人层面职业数据计算，捕捉的是国家</w:t>
      </w:r>
      <w:r>
        <w:rPr>
          <w:rFonts w:hint="default" w:ascii="Times New Roman Regular" w:hAnsi="Times New Roman Regular" w:cs="Times New Roman Regular"/>
          <w:b w:val="0"/>
          <w:bCs w:val="0"/>
          <w:i w:val="0"/>
          <w:kern w:val="2"/>
          <w:sz w:val="21"/>
          <w:szCs w:val="24"/>
          <w:lang w:val="en-US" w:eastAsia="zh-CN" w:bidi="ar-SA"/>
        </w:rPr>
        <w:t>“官僚存在感”</w:t>
      </w:r>
      <w:r>
        <w:rPr>
          <w:rFonts w:hint="default" w:ascii="Times New Roman Regular" w:hAnsi="Times New Roman Regular" w:cs="Times New Roman Regular" w:eastAsiaTheme="minorEastAsia"/>
          <w:b w:val="0"/>
          <w:bCs w:val="0"/>
          <w:i w:val="0"/>
          <w:kern w:val="2"/>
          <w:sz w:val="21"/>
          <w:szCs w:val="24"/>
          <w:lang w:val="en-US" w:eastAsia="zh-CN" w:bidi="ar-SA"/>
        </w:rPr>
        <w:t>的物理度量——即地方政府人员在现场收集信息、侦测违规和实施政策的程度（第576页）。</w:t>
      </w:r>
    </w:p>
    <w:p w14:paraId="37445B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这三个指标在概念上相互关联但侧重不同层面：第一个是财政政策和汲取能力的综合指标；第二个反映的是国家信息收集体系的质量；第三个反映的是地方行政基础设施的规模。通过使用多重指标，作者旨在证明重建终结后的削弱不仅限于税收政策本身，还延伸到了治理所必需的制度机器。</w:t>
      </w:r>
    </w:p>
    <w:p w14:paraId="156C7F4B">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227B7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highlight w:val="yellow"/>
          <w:lang w:val="en-US" w:eastAsia="zh-CN" w:bidi="ar-SA"/>
        </w:rPr>
      </w:pPr>
      <w:r>
        <w:rPr>
          <w:rFonts w:hint="default" w:ascii="Times New Roman Regular" w:hAnsi="Times New Roman Regular" w:cs="Times New Roman Regular" w:eastAsiaTheme="minorEastAsia"/>
          <w:b w:val="0"/>
          <w:bCs w:val="0"/>
          <w:i w:val="0"/>
          <w:kern w:val="2"/>
          <w:sz w:val="21"/>
          <w:szCs w:val="24"/>
          <w:highlight w:val="yellow"/>
          <w:lang w:val="en-US" w:eastAsia="zh-CN" w:bidi="ar-SA"/>
        </w:rPr>
        <w:t>5. IV: What is the main independent variable? / 自变量：主要自变量是什么？</w:t>
      </w:r>
    </w:p>
    <w:p w14:paraId="05289F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English: The main independent variable is racial-status inequality, operationalized through two county-level measures from the 1860 census. The first is Proportion enslaved—the total number of enslaved people divided by the total county population in 1860, the last census before emancipation. The second is Proportion slaveholders—the number of slaveholding whites as a proportion of total whites in a county. These two measures are highly correlated (r = 0.93) (p. 574). The authors argue that these variables capture not merely the political threat posed by newly enfranchised Black voters, but the broader and deeper degree of racial-status hierarchy prevailing in a county. In counties where a greater proportion of the population had been enslaved, social norms around interracial interaction were more extreme, white racism was more deeply held, and emancipation therefore produced a more profound social transformation—making white resistance to the new order more intense (p. 573, fn. 11).</w:t>
      </w:r>
    </w:p>
    <w:p w14:paraId="353230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A critical secondary independent variable is intrawhite economic inequality, measured as the Gini coefficient of occupational prestige among white males in 1850, using the Duncan Socio-Economic Index. This variable allows the authors to test their cross-class coalition hypothesis: in counties with high racial-status inequality, greater intrawhite economic inequality should be associated with lower taxation and weaker bureaucratic capacity after Reconstruction, because poorer whites were rallied around racial solidarity rather than class interest (pp. 580–581).</w:t>
      </w:r>
    </w:p>
    <w:p w14:paraId="5B8468C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主要自变量是种族地位不平等，通过1860年人口普查的两个县级指标来操作化。第一个是被奴役人口比例——1860年（解放前最后一次人口普查）县内被奴役总人数除以县总人口。第二个是奴隶主比例——县内白人中奴隶主的比例。这两个指标高度相关（r = 0.93）（第574页）。作者认为，这些变量不仅仅捕捉了新获选举权的黑人选民所构成的政治威胁，更捕捉了一个县内更广泛、更深层的种族地位等级制度的程度。在被奴役人口比例较高的县，围绕种族间互动的社会规范更为极端，白人的种族主义信念更为根深蒂固，因此解放带来了更为深刻的社会转变——也使得白人对新秩序的抵抗更为激烈（第573页，脚注11）。</w:t>
      </w:r>
    </w:p>
    <w:p w14:paraId="313729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一个关键的次要自变量是白人内部经济不平等，以1850年白人男性职业声望的基尼系数来衡量，使用的是邓肯社会经济指数（Duncan Socio-Economic Index）。该变量使作者能够检验其跨阶级联盟假说：在种族地位不平等程度高的县，白人内部经济不平等程度越高，重建后的税收应越低、官僚能力应越弱，因为贫穷白人被动员到种族团结而非阶级利益的旗帜下（第580–581页）。</w:t>
      </w:r>
    </w:p>
    <w:p w14:paraId="34995BC6">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789A1F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6. Stateness: How is the “state” and/or “state building” conceptualized and measured? / 国家性：如何概念化和衡量“国家”与“国家建设”？</w:t>
      </w:r>
    </w:p>
    <w:p w14:paraId="57368DA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English: This paper conceptualizes the state primarily in terms of bureaucratic capacity—the administrative and technological capability of the government to identify potential taxpayers, accurately assess their obligations, and enforce compliance. This follows the Weberian tradition as articulated by Mann (1986) on </w:t>
      </w:r>
      <w:r>
        <w:rPr>
          <w:rFonts w:hint="default" w:ascii="Times New Roman Regular" w:hAnsi="Times New Roman Regular" w:cs="Times New Roman Regular"/>
          <w:b w:val="0"/>
          <w:bCs w:val="0"/>
          <w:i w:val="0"/>
          <w:kern w:val="2"/>
          <w:sz w:val="21"/>
          <w:szCs w:val="24"/>
          <w:lang w:val="en-US" w:eastAsia="zh-CN" w:bidi="ar-SA"/>
        </w:rPr>
        <w:t>“infrastructural power”</w:t>
      </w:r>
      <w:r>
        <w:rPr>
          <w:rFonts w:hint="default" w:ascii="Times New Roman Regular" w:hAnsi="Times New Roman Regular" w:cs="Times New Roman Regular" w:eastAsiaTheme="minorEastAsia"/>
          <w:b w:val="0"/>
          <w:bCs w:val="0"/>
          <w:i w:val="0"/>
          <w:kern w:val="2"/>
          <w:sz w:val="21"/>
          <w:szCs w:val="24"/>
          <w:lang w:val="en-US" w:eastAsia="zh-CN" w:bidi="ar-SA"/>
        </w:rPr>
        <w:t xml:space="preserve"> and operationalized by scholars such as Soifer (2008) and Lee and Zhang (2016). In this framework, state capacity is not merely about de jure authority or policy choices; it is about the de facto ability to implement those choices on the ground. A state that passes progressive tax legislation but lacks the bureaucracy to collect those taxes has low capacity regardless of its formal policy.</w:t>
      </w:r>
    </w:p>
    <w:p w14:paraId="2FE84AA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 paper</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conceptualization makes a critical analytical distinction between fiscal policy (the tax rates and spending priorities chosen by political leaders) and bureaucratic capacity (the administrative infrastructure that makes policy implementation possible). The authors argue that elites facing democratization can target not only tax rates—which can be changed by future governments—but also the underlying institutional machinery of the state. Weakening bureaucratic capacity is a more durable strategy because it constrains future governments</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 xml:space="preserve"> ability to redistribute, regardless of their policy preferences (pp. 568–570). This distinction builds on Suryanarayan</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(2016) earlier work on colonial India /ˈɪndiə/ and resonates with Lieberman</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(2003) comparative study of fiscal capacity in South Africa /saʊθ ˈæfrɪkə/ and Brazil /brəˈzɪl/.</w:t>
      </w:r>
    </w:p>
    <w:p w14:paraId="69594D7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The paper measures </w:t>
      </w:r>
      <w:r>
        <w:rPr>
          <w:rFonts w:hint="default" w:ascii="Times New Roman Regular" w:hAnsi="Times New Roman Regular" w:cs="Times New Roman Regular"/>
          <w:b w:val="0"/>
          <w:bCs w:val="0"/>
          <w:i w:val="0"/>
          <w:kern w:val="2"/>
          <w:sz w:val="21"/>
          <w:szCs w:val="24"/>
          <w:lang w:val="en-US" w:eastAsia="zh-CN" w:bidi="ar-SA"/>
        </w:rPr>
        <w:t>“stateness”</w:t>
      </w:r>
      <w:r>
        <w:rPr>
          <w:rFonts w:hint="default" w:ascii="Times New Roman Regular" w:hAnsi="Times New Roman Regular" w:cs="Times New Roman Regular" w:eastAsiaTheme="minorEastAsia"/>
          <w:b w:val="0"/>
          <w:bCs w:val="0"/>
          <w:i w:val="0"/>
          <w:kern w:val="2"/>
          <w:sz w:val="21"/>
          <w:szCs w:val="24"/>
          <w:lang w:val="en-US" w:eastAsia="zh-CN" w:bidi="ar-SA"/>
        </w:rPr>
        <w:t xml:space="preserve"> at the county level rather than at the national or state level. This is a deliberate choice that allows the authors to exploit within-South variation in the intensity of slavery and its institutional legacies. The assumption is that local government institutions in the American South constituted the front line of state capacity—it was at the county level that taxes were collected, census data gathered, and government services delivered.</w:t>
      </w:r>
    </w:p>
    <w:p w14:paraId="6E74391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本文主要从官僚能力的角度来概念化国家——即政府识别潜在纳税人、准确评估其义务并强制执行合规的行政和技术能力。这遵循了韦伯传统，正如曼恩（Mann, 1986）关于</w:t>
      </w:r>
      <w:r>
        <w:rPr>
          <w:rFonts w:hint="default" w:ascii="Times New Roman Regular" w:hAnsi="Times New Roman Regular" w:cs="Times New Roman Regular"/>
          <w:b w:val="0"/>
          <w:bCs w:val="0"/>
          <w:i w:val="0"/>
          <w:kern w:val="2"/>
          <w:sz w:val="21"/>
          <w:szCs w:val="24"/>
          <w:lang w:val="en-US" w:eastAsia="zh-CN" w:bidi="ar-SA"/>
        </w:rPr>
        <w:t>“基础性权力”</w:t>
      </w:r>
      <w:r>
        <w:rPr>
          <w:rFonts w:hint="default" w:ascii="Times New Roman Regular" w:hAnsi="Times New Roman Regular" w:cs="Times New Roman Regular" w:eastAsiaTheme="minorEastAsia"/>
          <w:b w:val="0"/>
          <w:bCs w:val="0"/>
          <w:i w:val="0"/>
          <w:kern w:val="2"/>
          <w:sz w:val="21"/>
          <w:szCs w:val="24"/>
          <w:lang w:val="en-US" w:eastAsia="zh-CN" w:bidi="ar-SA"/>
        </w:rPr>
        <w:t>的论述，以及索伊弗（Soifer, 2008）和李与张（Lee and Zhang, 2016）的操作化方法。在这一框架中，国家能力不仅仅关乎法律上的权威或政策选择，更关乎在地方事实上实施这些选择的能力。一个通过了累进税法但缺乏征税官僚机构的国家，无论其正式政策如何，其能力都是低下的。</w:t>
      </w:r>
    </w:p>
    <w:p w14:paraId="49F761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本文的概念化做出了一个关键的分析区分：财政政策（政治领导人选择的税率和支出优先项）与官僚能力（使政策实施成为可能的行政基础设施）之间的区别。作者认为，面临民主化的精英不仅可以针对税率——这可以被未来的政府改变——还可以针对国家的底层制度机器。削弱官僚能力是一种更为持久的策略，因为它限制了未来政府进行再分配的能力，而不论其政策偏好如何（第568–570页）。这一区分建立在苏里亚纳拉亚南（Suryanarayan, 2016）关于殖民时期印度（India /ˈɪndiə/）的早期研究之上，也与利伯曼（Lieberman, 2003）关于南非（South Africa /saʊθ ˈæfrɪkə/）和巴西（Brazil /brəˈzɪl/）财政能力的比较研究相呼应。</w:t>
      </w:r>
    </w:p>
    <w:p w14:paraId="5A5C5D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本文在县级而非国家或州级层面衡量</w:t>
      </w:r>
      <w:r>
        <w:rPr>
          <w:rFonts w:hint="default" w:ascii="Times New Roman Regular" w:hAnsi="Times New Roman Regular" w:cs="Times New Roman Regular"/>
          <w:b w:val="0"/>
          <w:bCs w:val="0"/>
          <w:i w:val="0"/>
          <w:kern w:val="2"/>
          <w:sz w:val="21"/>
          <w:szCs w:val="24"/>
          <w:lang w:val="en-US" w:eastAsia="zh-CN" w:bidi="ar-SA"/>
        </w:rPr>
        <w:t>“国家性”</w:t>
      </w:r>
      <w:r>
        <w:rPr>
          <w:rFonts w:hint="default" w:ascii="Times New Roman Regular" w:hAnsi="Times New Roman Regular" w:cs="Times New Roman Regular" w:eastAsiaTheme="minorEastAsia"/>
          <w:b w:val="0"/>
          <w:bCs w:val="0"/>
          <w:i w:val="0"/>
          <w:kern w:val="2"/>
          <w:sz w:val="21"/>
          <w:szCs w:val="24"/>
          <w:lang w:val="en-US" w:eastAsia="zh-CN" w:bidi="ar-SA"/>
        </w:rPr>
        <w:t>。这是一个刻意的选择，使作者能够利用南方内部在奴隶制强度及其制度遗产方面的变异。其假设是，美国南方的地方政府机构构成了国家能力的前线——正是在县级层面，税收被征收、人口普查数据被收集、政府服务被提供。</w:t>
      </w:r>
    </w:p>
    <w:p w14:paraId="2844F04A">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7D913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highlight w:val="yellow"/>
          <w:lang w:val="en-US" w:eastAsia="zh-CN" w:bidi="ar-SA"/>
        </w:rPr>
      </w:pPr>
      <w:r>
        <w:rPr>
          <w:rFonts w:hint="default" w:ascii="Times New Roman Regular" w:hAnsi="Times New Roman Regular" w:cs="Times New Roman Regular" w:eastAsiaTheme="minorEastAsia"/>
          <w:b w:val="0"/>
          <w:bCs w:val="0"/>
          <w:i w:val="0"/>
          <w:kern w:val="2"/>
          <w:sz w:val="21"/>
          <w:szCs w:val="24"/>
          <w:highlight w:val="yellow"/>
          <w:lang w:val="en-US" w:eastAsia="zh-CN" w:bidi="ar-SA"/>
        </w:rPr>
        <w:t>7. Argument: What is the core argument? / 论证：核心论证是什么？</w:t>
      </w:r>
    </w:p>
    <w:p w14:paraId="621D0C0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 core argument is that the effect of franchise expansion in a ranked society depends not only on economic inequality, but also on social status divisions. During Reconstruction, counties with more extensive slavery before the war had higher per capita taxation, which is consistent with the standard expectation that enfranchising poorer groups increases demand for redistribution. In Table 1, a one-standard-deviation increase in 1860 proportion enslaved is associated with about a 12% increase in per capita county taxation in 1870.</w:t>
      </w:r>
    </w:p>
    <w:p w14:paraId="551DD1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After Reconstruction ended, however, the pattern changed. The strongest empirical claim is not that high-slavery counties had significantly lower taxes in 1880 levels. In fact, the coefficient on 1860 proportion enslaved in the 1880 tax model is positive but not statistically significant. The more precise result is that counties with more extensive slavery experienced larger declines in taxation between 1870 and 1880. In other words, the positive relationship seen during Reconstruction disappeared, and the tax trajectory became more negative in places where slavery had been strongest.</w:t>
      </w:r>
    </w:p>
    <w:p w14:paraId="74680A1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 authors interpret this reversal as evidence that white elites in the postwar South were able to build cross-class coalitions among whites. In counties where racial-status inequality had been especially strong, poorer whites were less likely to align politically around class interest alone. Instead, they could be mobilized around the protection of white status, even when that meant supporting lower taxation and weaker bureaucratic institutions that also reduced the supply of broader public goods.</w:t>
      </w:r>
    </w:p>
    <w:p w14:paraId="69DBA6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 interaction results give additional support to the cross-class coalition argument, but they should be stated carefully. The authors find that the interaction between proportion enslaved and intrawhite occupational inequality is negative and statistically significant for 1880 per capita taxes, for the change in per capita taxes between 1870 and 1880, and for per capita government employment. This means that as prewar slavery becomes more extensive, greater intrawhite inequality is associated with lower taxes and fewer government employees after Reconstruction.</w:t>
      </w:r>
    </w:p>
    <w:p w14:paraId="08C752C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For age heaping in 1880, the interaction term has the expected positive sign, but it is not statistically significant at conventional levels. So the interaction analysis supports the coalition argument most clearly for taxation and government employment, while the evidence is weaker for census quality. It is therefore better not to summarize the interaction findings as equally strong across all three bureaucratic outcomes.</w:t>
      </w:r>
    </w:p>
    <w:p w14:paraId="5821CC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本文的核心论点是：在一个等级社会中，选举权扩展的后果不仅取决于经济不平等，也取决于社会地位分裂。重建时期，战前奴隶制更强的县，其人均税收更高，这与经典理论的预期一致：当较贫穷群体获得选举权时，对再分配的需求会上升。表 1 显示，1860 年被奴役人口比例每增加一个标准差，1870 年的人均县级税收大约提高 12%。  </w:t>
      </w:r>
    </w:p>
    <w:p w14:paraId="0D0BC62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但在重建结束之后，这种关系发生了变化。这里最准确的经验表述不是“高奴隶制县在 1880 年的税收显著更低”。实际上，在 1880 年税收水平模型中，1860 年被奴役人口比例的系数是正的，但不具有统计显著性。更精确的结果是：奴隶制越广泛的县，在 1870 到 1880 年之间经历了更大的税收下降。也就是说，重建时期那种正相关关系消失了，而在原先奴隶制最强的地方，税收走势变得更消极。  </w:t>
      </w:r>
    </w:p>
    <w:p w14:paraId="3165CA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作者把这种逆转解释为：战后南方的白人精英成功地建立了白人内部的跨阶级联盟。在种族地位不平等特别强的县，较贫穷白人不太会单纯围绕阶级利益来行动；相反，他们可能围绕维护白人地位这一目标被动员起来，即使这意味着支持更低的税收和更弱的官僚机构，而这些选择其实也会减少更广泛公共品的供给。</w:t>
      </w:r>
    </w:p>
    <w:p w14:paraId="2D1EEE8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交互项结果确实为跨阶级联盟论点提供了进一步支持，但表述时要更谨慎一些。作者发现，被奴役人口比例 与 白人内部职业不平等 的交互项，对于 1880 年人均税收、1870 到 1880 年税收变化、以及 人均政府雇员数，都是负向且统计显著的。这意味着：战前奴隶制越强的地方，白人内部不平等越高，重建后的税收越低，政府雇员也越少。</w:t>
      </w:r>
    </w:p>
    <w:p w14:paraId="0B8660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但对于 1880 年年龄堆积，交互项虽然方向上符合预期，是正的，但在通常显著性标准下并不显著。所以，更准确的总结应该是：交互项分析对税收和政府雇员数的支持最清楚，而对普查质量这一指标的支持较弱。也因此，最好不要把交互项结果概括成对三个官僚能力指标都同样强。</w:t>
      </w:r>
    </w:p>
    <w:p w14:paraId="5DD9AAC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67C7D8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highlight w:val="yellow"/>
          <w:lang w:val="en-US" w:eastAsia="zh-CN" w:bidi="ar-SA"/>
        </w:rPr>
      </w:pPr>
      <w:r>
        <w:rPr>
          <w:rFonts w:hint="default" w:ascii="Times New Roman Regular" w:hAnsi="Times New Roman Regular" w:cs="Times New Roman Regular" w:eastAsiaTheme="minorEastAsia"/>
          <w:b w:val="0"/>
          <w:bCs w:val="0"/>
          <w:i w:val="0"/>
          <w:kern w:val="2"/>
          <w:sz w:val="21"/>
          <w:szCs w:val="24"/>
          <w:highlight w:val="yellow"/>
          <w:lang w:val="en-US" w:eastAsia="zh-CN" w:bidi="ar-SA"/>
        </w:rPr>
        <w:t>8. Mechanisms: What mechanisms are proposed? / 机制：提出了哪些机制？</w:t>
      </w:r>
    </w:p>
    <w:p w14:paraId="07F999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 paper proposes that racial-status inequality shaped post-Reconstruction outcomes by helping white elites build a cross-class white coalition against taxation and against investments in bureaucratic institutions. The basic idea is that when Black enfranchisement threatened not only redistribution but also the racial hierarchy itself, white elites could appeal to poorer whites by presenting taxation, public goods, and state expansion as threats to white social rank. This is the paper’s main mechanism, and it is supported by the overall pattern of the results and by the historical discussion in the paper.</w:t>
      </w:r>
    </w:p>
    <w:p w14:paraId="4EE249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 authors also draw on Du Bois and related scholarship to argue that poorer whites had reasons to value whiteness both materially and psychologically. The point is not simply that poor whites were “fooled,” but that white status itself could carry real benefits and therefore could help sustain a coalition that cut against pure class interest. This is an important part of the paper’s interpretation of why high intrawhite inequality did not automatically produce stronger support for redistribution in high-slavery counties.</w:t>
      </w:r>
    </w:p>
    <w:p w14:paraId="3E7CBD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 discussion of Democratic racial appeals, the “straight-out” strategy, violence, intimidation, and fraud should be treated as historical and qualitative support for the coalition argument, not as separately and fully measured causal mechanisms in the statistical analysis. These materials help show how white solidarity was politically activated in the late Reconstruction and Redemption years, but the paper does not identify each of these channels with the same precision as its main regression results.</w:t>
      </w:r>
    </w:p>
    <w:p w14:paraId="3AC631A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 same caution applies to the census-enumerator analysis. The authors find that enumerator districts with larger African American populations had worse age-heaping outcomes among white respondents, suggesting weaker administrative performance in such places after Reconstruction. This is useful micro-level evidence consistent with the broader argument about bureaucratic weakening. But it is better not to say that the paper definitively proves a deliberate and systematic “degradation” of local administration. The evidence is more modest: it points to weaker performance and is consistent with the authors’ larger interpretation.</w:t>
      </w:r>
    </w:p>
    <w:p w14:paraId="0734A1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本文提出的机制是：种族地位不平等通过帮助白人精英建立白人内部的跨阶级联盟，进而影响了重建后的税收和官僚结果。其基本逻辑是，当黑人获得选举权不仅威胁到再分配，也威胁到种族等级秩序本身时，白人精英就可以把税收、公共品和国家扩张描述成对白人社会地位的威胁，从而动员较贫穷白人反对这些政策。这是全文最核心的机制，主要由整体经验结果和文中的历史讨论共同支持。  </w:t>
      </w:r>
    </w:p>
    <w:p w14:paraId="79AB4C9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作者还借助 Du Bois 等人的论述，说明较贫穷白人之所以珍视 whiteness，不仅有物质层面的原因，也有心理层面的原因。这里的重点不只是说贫穷白人被“欺骗”了，而是说白人地位本身确实带来某些现实利益，因此可以维持一种违背纯粹阶级利益的联盟。这也是作者解释为什么在高奴隶制县，白人内部不平等并没有自动带来更强再分配支持的重要部分。  </w:t>
      </w:r>
    </w:p>
    <w:p w14:paraId="310837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至于民主党的种族诉求、“straight-out” strategy、暴力、恐吓和舞弊，更合适的理解是：这些是对跨阶级联盟论点的历史性、定性支持材料，而不是在统计分析中被分别、完整识别出来的独立机制变量。这些材料有助于说明白人团结在晚期重建和 Redemption 时期是如何被政治性地激活的，但论文并没有像主回归结果那样，对每一条机制通道都做同等精确的识别。</w:t>
      </w:r>
    </w:p>
    <w:p w14:paraId="2C1C8D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对人口普查调查员那部分分析，也应当保持同样的谨慎。作者发现，在非裔美国人比例更高的调查员辖区，白人受访者的年龄堆积更严重，这提示了重建结束后这些地方的行政履职可能更弱。这是与“官僚弱化”论点相一致的一种微观证据。但最好不要把它写成论文已经明确证明地方行政被有意识、系统性地“刻意降质”。更稳妥的说法是：这些结果指向更弱的行政表现，并且与作者更大的理论解释相一致。</w:t>
      </w:r>
    </w:p>
    <w:p w14:paraId="04B523D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02AD74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highlight w:val="yellow"/>
          <w:lang w:val="en-US" w:eastAsia="zh-CN" w:bidi="ar-SA"/>
        </w:rPr>
      </w:pPr>
      <w:r>
        <w:rPr>
          <w:rFonts w:hint="default" w:ascii="Times New Roman Regular" w:hAnsi="Times New Roman Regular" w:cs="Times New Roman Regular" w:eastAsiaTheme="minorEastAsia"/>
          <w:b w:val="0"/>
          <w:bCs w:val="0"/>
          <w:i w:val="0"/>
          <w:kern w:val="2"/>
          <w:sz w:val="21"/>
          <w:szCs w:val="24"/>
          <w:highlight w:val="yellow"/>
          <w:lang w:val="en-US" w:eastAsia="zh-CN" w:bidi="ar-SA"/>
        </w:rPr>
        <w:t>9. Data: What data is used to test the argument? / 数据：使用了什么数据来检验论证？</w:t>
      </w:r>
    </w:p>
    <w:p w14:paraId="5AEC74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English: The study uses county-level data from the 11 Confederate states across the U.S. censuses of 1850, 1860, 1870, and 1880. The unit of analysis is the county, with all variables interpolated to 1880 county boundaries using areal weighting techniques to account for changing boundaries over time (pp. 577–578).</w:t>
      </w:r>
    </w:p>
    <w:p w14:paraId="572BBC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Dependent variables: (1) Log county tax per capita in 1870 and 1880, drawn from the ICPSR 2896 dataset (Historical, Demographic, Economic, and Social Data: The United States, 1790–2002). Historical sources indicate that county taxes in this period were predominantly property taxes (p. 574). (2) Age heaping among whites in 1880, constructed from the full population census using the Whipple</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 xml:space="preserve">s Index formula (p. 575). (3) Per capita government employees in 1880, using IPUMS occupational data for individuals coded as </w:t>
      </w:r>
      <w:r>
        <w:rPr>
          <w:rFonts w:hint="default" w:ascii="Times New Roman Regular" w:hAnsi="Times New Roman Regular" w:cs="Times New Roman Regular"/>
          <w:b w:val="0"/>
          <w:bCs w:val="0"/>
          <w:i w:val="0"/>
          <w:kern w:val="2"/>
          <w:sz w:val="21"/>
          <w:szCs w:val="24"/>
          <w:lang w:val="en-US" w:eastAsia="zh-CN" w:bidi="ar-SA"/>
        </w:rPr>
        <w:t>“Government clerks,”</w:t>
      </w:r>
      <w:r>
        <w:rPr>
          <w:rFonts w:hint="default" w:ascii="Times New Roman Regular" w:hAnsi="Times New Roman Regular" w:cs="Times New Roman Regular" w:eastAsiaTheme="minorEastAsia"/>
          <w:b w:val="0"/>
          <w:bCs w:val="0"/>
          <w:i w:val="0"/>
          <w:kern w:val="2"/>
          <w:sz w:val="21"/>
          <w:szCs w:val="24"/>
          <w:lang w:val="en-US" w:eastAsia="zh-CN" w:bidi="ar-SA"/>
        </w:rPr>
        <w:t xml:space="preserve"> </w:t>
      </w:r>
      <w:r>
        <w:rPr>
          <w:rFonts w:hint="default" w:ascii="Times New Roman Regular" w:hAnsi="Times New Roman Regular" w:cs="Times New Roman Regular"/>
          <w:b w:val="0"/>
          <w:bCs w:val="0"/>
          <w:i w:val="0"/>
          <w:kern w:val="2"/>
          <w:sz w:val="21"/>
          <w:szCs w:val="24"/>
          <w:lang w:val="en-US" w:eastAsia="zh-CN" w:bidi="ar-SA"/>
        </w:rPr>
        <w:t>“Government officials,”</w:t>
      </w:r>
      <w:r>
        <w:rPr>
          <w:rFonts w:hint="default" w:ascii="Times New Roman Regular" w:hAnsi="Times New Roman Regular" w:cs="Times New Roman Regular" w:eastAsiaTheme="minorEastAsia"/>
          <w:b w:val="0"/>
          <w:bCs w:val="0"/>
          <w:i w:val="0"/>
          <w:kern w:val="2"/>
          <w:sz w:val="21"/>
          <w:szCs w:val="24"/>
          <w:lang w:val="en-US" w:eastAsia="zh-CN" w:bidi="ar-SA"/>
        </w:rPr>
        <w:t xml:space="preserve"> or </w:t>
      </w:r>
      <w:r>
        <w:rPr>
          <w:rFonts w:hint="default" w:ascii="Times New Roman Regular" w:hAnsi="Times New Roman Regular" w:cs="Times New Roman Regular"/>
          <w:b w:val="0"/>
          <w:bCs w:val="0"/>
          <w:i w:val="0"/>
          <w:kern w:val="2"/>
          <w:sz w:val="21"/>
          <w:szCs w:val="24"/>
          <w:lang w:val="en-US" w:eastAsia="zh-CN" w:bidi="ar-SA"/>
        </w:rPr>
        <w:t>“Government non-officials”</w:t>
      </w:r>
      <w:r>
        <w:rPr>
          <w:rFonts w:hint="default" w:ascii="Times New Roman Regular" w:hAnsi="Times New Roman Regular" w:cs="Times New Roman Regular" w:eastAsiaTheme="minorEastAsia"/>
          <w:b w:val="0"/>
          <w:bCs w:val="0"/>
          <w:i w:val="0"/>
          <w:kern w:val="2"/>
          <w:sz w:val="21"/>
          <w:szCs w:val="24"/>
          <w:lang w:val="en-US" w:eastAsia="zh-CN" w:bidi="ar-SA"/>
        </w:rPr>
        <w:t xml:space="preserve"> (p. 576).</w:t>
      </w:r>
    </w:p>
    <w:p w14:paraId="4026376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Main independent variables: (1) Proportion enslaved in 1860—enslaved persons divided by total county population. (2) Proportion slaveholders in 1860—slaveholding whites divided by total whites in the county (p. 573). (3) Intrawhite occupational Gini in 1850, based on the Duncan Socio-Economic Index scores from IPUMS (p. 580).</w:t>
      </w:r>
    </w:p>
    <w:p w14:paraId="23B9980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Control variables: The models include seven controls: (1) Proportion free Black in 1860, capturing the pre-war extent of slavery</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retreat; (2) Gini land inequality in 1860, based on the size of landholdings; (3) Farm value in 1860, measuring the cash value of farms; (4) River access and (5) Rail access, as geographic dummies for transportation infrastructure that might facilitate state capacity; (6) Log population in 1860; and (7) Area in square miles—because larger and more populous counties are harder to govern. All models include state fixed effects (p. 577).</w:t>
      </w:r>
    </w:p>
    <w:p w14:paraId="23FB66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Additional data for robustness: The authors use a variable called Economic distress, measuring the change in farm value between 1860 and 1870, to control for war-related economic devastation (p. 579). They also replicate their models in Northern counties to check whether the patterns are specific to the South</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experience with slavery and Reconstruction (p. 579). The enumerator-district-level analysis uses 6,957 enumerator districts across the 11 states from the 1880 full population census (p. 581).</w:t>
      </w:r>
    </w:p>
    <w:p w14:paraId="413ED26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Geographic coverage: The 11 states of the former Confederacy: Virginia /vərˈdʒɪnjə/, North Carolina /ˌnɔːrθ kærəˈlaɪnə/, South Carolina /ˌsaʊθ kærəˈlaɪnə/, Georgia /ˈdʒɔːrdʒə/, Florida /ˈflɒrɪdə/, Alabama /ˌæləˈbæmə/, Mississippi /ˌmɪsɪˈsɪpi/, Louisiana /luˌiːziˈænə/, Texas /ˈtɛksəs/, Arkansas /ˈɑːrkənsɔː/, and Tennessee /ˌtɛnəˈsiː/. The sample contains approximately 880–901 counties depending on the specification (p. 578).</w:t>
      </w:r>
    </w:p>
    <w:p w14:paraId="722B0E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本研究使用了前邦联11州在1850年、1860年、1870年和1880年美国人口普查中的县级数据。分析单位是县，所有变量都通过面积加权技术插值到1880年的县界，以应对随时间变化的边界问题（第577–578页）。</w:t>
      </w:r>
    </w:p>
    <w:p w14:paraId="16E096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因变量： （1）1870年和1880年的人均县级税收对数，来自ICPSR 2896数据集（美国历史、人口、经济和社会数据：1790–2002）。历史资料显示，该时期的县级税收主要是财产税（第574页）。（2）1880年白人中的年龄堆积，使用惠普尔指数公式从全人口普查数据构建（第575页）。（3）1880年人均政府雇员数，使用IPUMS中编码为</w:t>
      </w:r>
      <w:r>
        <w:rPr>
          <w:rFonts w:hint="default" w:ascii="Times New Roman Regular" w:hAnsi="Times New Roman Regular" w:cs="Times New Roman Regular"/>
          <w:b w:val="0"/>
          <w:bCs w:val="0"/>
          <w:i w:val="0"/>
          <w:kern w:val="2"/>
          <w:sz w:val="21"/>
          <w:szCs w:val="24"/>
          <w:lang w:val="en-US" w:eastAsia="zh-CN" w:bidi="ar-SA"/>
        </w:rPr>
        <w:t>“政府文员”</w:t>
      </w:r>
      <w:r>
        <w:rPr>
          <w:rFonts w:hint="default" w:ascii="Times New Roman Regular" w:hAnsi="Times New Roman Regular" w:cs="Times New Roman Regular" w:eastAsiaTheme="minorEastAsia"/>
          <w:b w:val="0"/>
          <w:bCs w:val="0"/>
          <w:i w:val="0"/>
          <w:kern w:val="2"/>
          <w:sz w:val="21"/>
          <w:szCs w:val="24"/>
          <w:lang w:val="en-US" w:eastAsia="zh-CN" w:bidi="ar-SA"/>
        </w:rPr>
        <w:t>、</w:t>
      </w:r>
      <w:r>
        <w:rPr>
          <w:rFonts w:hint="default" w:ascii="Times New Roman Regular" w:hAnsi="Times New Roman Regular" w:cs="Times New Roman Regular"/>
          <w:b w:val="0"/>
          <w:bCs w:val="0"/>
          <w:i w:val="0"/>
          <w:kern w:val="2"/>
          <w:sz w:val="21"/>
          <w:szCs w:val="24"/>
          <w:lang w:val="en-US" w:eastAsia="zh-CN" w:bidi="ar-SA"/>
        </w:rPr>
        <w:t>“政府官员”</w:t>
      </w:r>
      <w:r>
        <w:rPr>
          <w:rFonts w:hint="default" w:ascii="Times New Roman Regular" w:hAnsi="Times New Roman Regular" w:cs="Times New Roman Regular" w:eastAsiaTheme="minorEastAsia"/>
          <w:b w:val="0"/>
          <w:bCs w:val="0"/>
          <w:i w:val="0"/>
          <w:kern w:val="2"/>
          <w:sz w:val="21"/>
          <w:szCs w:val="24"/>
          <w:lang w:val="en-US" w:eastAsia="zh-CN" w:bidi="ar-SA"/>
        </w:rPr>
        <w:t>或</w:t>
      </w:r>
      <w:r>
        <w:rPr>
          <w:rFonts w:hint="default" w:ascii="Times New Roman Regular" w:hAnsi="Times New Roman Regular" w:cs="Times New Roman Regular"/>
          <w:b w:val="0"/>
          <w:bCs w:val="0"/>
          <w:i w:val="0"/>
          <w:kern w:val="2"/>
          <w:sz w:val="21"/>
          <w:szCs w:val="24"/>
          <w:lang w:val="en-US" w:eastAsia="zh-CN" w:bidi="ar-SA"/>
        </w:rPr>
        <w:t>“政府非官方人员”</w:t>
      </w:r>
      <w:r>
        <w:rPr>
          <w:rFonts w:hint="default" w:ascii="Times New Roman Regular" w:hAnsi="Times New Roman Regular" w:cs="Times New Roman Regular" w:eastAsiaTheme="minorEastAsia"/>
          <w:b w:val="0"/>
          <w:bCs w:val="0"/>
          <w:i w:val="0"/>
          <w:kern w:val="2"/>
          <w:sz w:val="21"/>
          <w:szCs w:val="24"/>
          <w:lang w:val="en-US" w:eastAsia="zh-CN" w:bidi="ar-SA"/>
        </w:rPr>
        <w:t>的个人职业数据（第576页）。</w:t>
      </w:r>
    </w:p>
    <w:p w14:paraId="038479B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主要自变量： （1）1860年被奴役人口比例——被奴役人数除以县总人口。（2）1860年奴隶主比例——拥有奴隶的白人除以县内白人总数（第573页）。（3）1850年白人内部职业基尼系数，基于IPUMS中的邓肯社会经济指数（第580页）。</w:t>
      </w:r>
    </w:p>
    <w:p w14:paraId="4842E38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控制变量： 模型包含七个控制变量：（1）1860年自由黑人比例，捕捉战前奴隶制退缩的程度；（2）1860年土地基尼系数，基于土地持有规模；（3）1860年农场价值，衡量农场的现金价值；（4）河流通达性和（5）铁路通达性，作为可能促进国家能力的交通基础设施的地理虚拟变量；（6）1860年人口对数；以及（7）面积（平方英里）——因为更大、更多人口的县更难治理。所有模型包含州固定效应（第577页）。</w:t>
      </w:r>
    </w:p>
    <w:p w14:paraId="15CCF1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稳健性检验数据： 作者使用名为</w:t>
      </w:r>
      <w:r>
        <w:rPr>
          <w:rFonts w:hint="default" w:ascii="Times New Roman Regular" w:hAnsi="Times New Roman Regular" w:cs="Times New Roman Regular"/>
          <w:b w:val="0"/>
          <w:bCs w:val="0"/>
          <w:i w:val="0"/>
          <w:kern w:val="2"/>
          <w:sz w:val="21"/>
          <w:szCs w:val="24"/>
          <w:lang w:val="en-US" w:eastAsia="zh-CN" w:bidi="ar-SA"/>
        </w:rPr>
        <w:t>“经济困境”</w:t>
      </w:r>
      <w:r>
        <w:rPr>
          <w:rFonts w:hint="default" w:ascii="Times New Roman Regular" w:hAnsi="Times New Roman Regular" w:cs="Times New Roman Regular" w:eastAsiaTheme="minorEastAsia"/>
          <w:b w:val="0"/>
          <w:bCs w:val="0"/>
          <w:i w:val="0"/>
          <w:kern w:val="2"/>
          <w:sz w:val="21"/>
          <w:szCs w:val="24"/>
          <w:lang w:val="en-US" w:eastAsia="zh-CN" w:bidi="ar-SA"/>
        </w:rPr>
        <w:t>的变量——衡量1860至1870年间农场价值的变化——来控制战争造成的经济破坏（第579页）。他们还在北方各县复制了模型，以检验所发现的模式是否特定于南方奴隶制和重建的经历（第579页）。调查员辖区层面的分析使用了1880年全人口普查中11州的6,957个调查员辖区（第581页）。</w:t>
      </w:r>
    </w:p>
    <w:p w14:paraId="6B61E72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地理覆盖范围： 前邦联11州：弗吉尼亚州（Virginia /vərˈdʒɪnjə/）、北卡罗来纳州（North Carolina /ˌnɔːrθ kærəˈlaɪnə/）、南卡罗来纳州（South Carolina /ˌsaʊθ kærəˈlaɪnə/）、佐治亚州（Georgia /ˈdʒɔːrdʒə/）、佛罗里达州（Florida /ˈflɒrɪdə/）、阿拉巴马州（Alabama /ˌæləˈbæmə/）、密西西比州（Mississippi /ˌmɪsɪˈsɪpi/）、路易斯安那州（Louisiana /luˌiːziˈænə/）、得克萨斯州（Texas /ˈtɛksəs/）、阿肯色州（Arkansas /ˈɑːrkənsɔː/）和田纳西州（Tennessee /ˌtɛnəˈsiː/）。根据不同的模型设定，样本包含约880–901个县（第578页）。</w:t>
      </w:r>
    </w:p>
    <w:p w14:paraId="01ECE8BA">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p>
    <w:p w14:paraId="1FA83797">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highlight w:val="yellow"/>
          <w:lang w:val="en-US" w:eastAsia="zh-CN" w:bidi="ar-SA"/>
        </w:rPr>
      </w:pPr>
      <w:r>
        <w:rPr>
          <w:rFonts w:hint="default" w:ascii="Times New Roman Regular" w:hAnsi="Times New Roman Regular" w:cs="Times New Roman Regular" w:eastAsiaTheme="minorEastAsia"/>
          <w:b w:val="0"/>
          <w:bCs w:val="0"/>
          <w:i w:val="0"/>
          <w:kern w:val="2"/>
          <w:sz w:val="21"/>
          <w:szCs w:val="24"/>
          <w:highlight w:val="yellow"/>
          <w:lang w:val="en-US" w:eastAsia="zh-CN" w:bidi="ar-SA"/>
        </w:rPr>
        <w:t>10. Methods: What methods are employed? / 方法：使用了什么方法？</w:t>
      </w:r>
    </w:p>
    <w:p w14:paraId="1E9AEE4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The paper mainly uses county-level OLS regressions with state fixed effects. The authors estimate separate models for three outcomes in the taxation analysis: log county tax per capita in 1870, log county tax per capita in 1880, and the change in log county tax per capita between 1870 and 1880. All continuous explanatory variables are standardized, which makes it easier to compare coefficient sizes across variables within a model. State fixed effects are included so that the analysis relies on within-state, across-county variation rather than cross-state differences. The paper also uses similar OLS models for age heaping in 1880 and per capita government employment in 1880, with prewar values included where available.</w:t>
      </w:r>
    </w:p>
    <w:p w14:paraId="0D71C25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This design has a before/after comparative structure, because the authors compare how prewar slavery is related to county outcomes during Reconstruction and after Reconstruction. But it is better not to describe the paper as a formal difference-in-differences design. The authors do not set up the analysis around a treatment and control framework, do not explicitly argue from a parallel-trends assumption, and do not claim a quasi-experimental identification strategy of that kind. A more accurate description is that this is a historical observational design using prewar county variation in slavery intensity to study how its association with taxation and bureaucratic capacity changed across the Reconstruction and Redemption periods.</w:t>
      </w:r>
    </w:p>
    <w:p w14:paraId="1DDF500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To test the cross-class coalition argument, the authors add an interaction between proportion enslaved and intrawhite occupational inequality. They then examine whether the relationship between intrawhite inequality and post-Reconstruction taxation or bureaucratic outcomes differs across counties with low versus high slavery. In addition, they run a supplementary enumerator-district-level analysis for 1880 census quality, asking whether places with larger African American populations had worse age-heaping outcomes among white respondents. This last analysis is best understood as suggestive mechanism evidence, not as a fully separate causal test.本文主要使用的是县级 OLS 回归并加入州固定效应。在税收分析中，作者分别估计三个结果变量：1870 年的人均县级税收对数、1880 年的人均县级税收对数，以及 1870 到 1880 年人均县级税收对数的变化值。所有连续解释变量都做了标准化处理，这样更方便比较同一模型中不同变量系数的大小。模型加入州固定效应，因此识别主要依赖的是州内、县际之间的差异，而不是州与州之间的差异。对于 1880 年的年龄堆积和 1880 年的人均政府雇员数，作者也使用了类似的 OLS 模型；在可以做到的情况下，还加入了战前对应指标。  </w:t>
      </w:r>
    </w:p>
    <w:p w14:paraId="448B9DA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这个设计确实有一种前后比较的结构，因为作者在比较：战前奴隶制强度与县级结果之间的关系，在重建时期和重建结束之后是否不同。但更准确的说法是，不应把它写成正式的双重差分设计。作者并不是按 treatment / control 的框架来设定研究，也没有明确诉诸平行趋势假设，更没有把文章表述成那种准实验识别。更合适的概括是：这是一种历史性的观察性研究设计，利用战前各县奴隶制强度的差异，考察这种差异与税收和官僚能力之间的关系如何在 Reconstruction 与 Redemption 两个时期发生变化。</w:t>
      </w:r>
    </w:p>
    <w:p w14:paraId="6E97C612">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为了检验跨阶级联盟的论点，作者加入了 被奴役人口比例 与 白人内部职业不平等 的交互项。他们考察的是：在低奴隶制县和高奴隶制县中，白人内部不平等与重建后税收及官僚结果之间的关系是否不同。除此之外，作者还做了一个补充性的 人口普查调查员辖区层面 分析，考察 1880 年非裔美国人比例更高的地区，白人受访者的年龄堆积是否更严重。这个分析最好理解为对机制的提示性证据，而不是一个完全独立、严格识别的因果检验。</w:t>
      </w:r>
    </w:p>
    <w:p w14:paraId="32626C5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p>
    <w:p w14:paraId="0FFED94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11. Contribution: What is the reading’s main contribution? / 贡献：该文献的主要学术贡献是什么？</w:t>
      </w:r>
    </w:p>
    <w:p w14:paraId="564FAB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English: The paper makes several important contributions across multiple literatures.</w:t>
      </w:r>
    </w:p>
    <w:p w14:paraId="6530AA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First, the paper</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most distinctive theoretical contribution is the argument that bureaucratic capacity, not just fiscal policy, is a strategic target of elite resistance to democratization. Most of the literature on democratization and redistribution (Boix 2003; Acemoglu and Robinson 2006; Meltzer and Richard 1981) focuses on whether elites accept or resist franchise expansion, and on the tax rates and spending levels that result. This paper shifts attention to the institutional infrastructure that makes taxation and redistribution possible. A government can set progressive tax rates, but if the bureaucracy cannot identify taxpayers, assess property values, or enforce compliance, those rates are meaningless. By weakening capacity rather than merely cutting taxes, elites can constrain future governments regardless of those governments</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 xml:space="preserve"> policy preferences. This insight connects the state formation literature (Tilly 1992; Levi 1989; Besley and Persson 2011) with the democratization literature in a novel way.</w:t>
      </w:r>
    </w:p>
    <w:p w14:paraId="1D4B748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Second, the paper contributes to the literature on race and American political development by demonstrating that the uneven development of bureaucratic capacity in the American South was linked to racial hierarchy. This connects the work on slavery</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long-run effects (Acharya, Blackwell, and Sen 2018) to institutional and administrative outcomes, providing a potential institutional channel through which slavery</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legacy persists in the present day. Rather than tracing persistence only through cultural attitudes or voting patterns, the paper suggests that the deliberate weakening of local government institutions is an underappreciated mechanism of historical persistence.</w:t>
      </w:r>
    </w:p>
    <w:p w14:paraId="5A2CFCC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Third, the paper contributes original data by constructing county-level measures of census quality and government employment from full population census datasets (1850 and 1880). These are creative and labor-intensive measures that go beyond the standard use of aggregate fiscal data.</w:t>
      </w:r>
    </w:p>
    <w:p w14:paraId="5A7091A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Fourth, the paper makes a contribution to comparative political economy by placing the American South in conversation with the Indian and South African cases (Suryanarayan 2016; Lieberman 2003). The argument that ranked societies produce distinctive patterns of bureaucratic development is not specific to any one country; it is a general claim about how ascriptive status hierarchies interact with democratization to shape state capacity. This comparative framing enriches the analysis of each individual case.</w:t>
      </w:r>
    </w:p>
    <w:p w14:paraId="7E207FB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本文在多个文献领域做出了若干重要贡献。</w:t>
      </w:r>
    </w:p>
    <w:p w14:paraId="62661C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首先，本文最独特的理论贡献是论证官僚能力而非仅仅是财政政策，是精英抵抗民主化的战略目标。大多数关于民主化和再分配的文献（Boix 2003; Acemoglu and Robinson 2006; Meltzer and Richard 1981）关注的是精英是否接受或抵抗选举权扩展，以及由此产生的税率和支出水平。本文将注意力转向了使税收和再分配成为可能的制度基础设施。一个政府可以设定累进税率，但如果官僚机构无法识别纳税人、评估财产价值或强制执行合规，那么这些税率就毫无意义。通过削弱能力而非仅仅降低税收，精英可以约束未来的政府，无论这些政府的政策偏好如何。这一洞见以新颖的方式将国家形成文献（Tilly 1992; Levi 1989; Besley and Persson 2011）与民主化文献联系起来。</w:t>
      </w:r>
    </w:p>
    <w:p w14:paraId="7772CA3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其次，本文通过证明美国南方官僚能力的不均衡发展与种族等级制度相关联，对种族与美国政治发展文献做出了贡献。这将关于奴隶制长期影响的研究（Acharya, Blackwell, and Sen 2018）与制度和行政结果联系起来，为奴隶制遗产在当今持续存在提供了一个潜在的制度渠道。论文表明，地方政府机构的刻意削弱是历史持续性的一个未被充分认识的机制，而不仅仅是通过文化态度或投票模式来追踪持续性。</w:t>
      </w:r>
    </w:p>
    <w:p w14:paraId="192A2C3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第三，本文通过从全人口普查数据集（1850年和1880年）构建县级普查质量和政府雇员指标，贡献了原创数据。这些是创造性的、劳动密集型的指标，超越了对总量财政数据的标准使用。</w:t>
      </w:r>
    </w:p>
    <w:p w14:paraId="598102F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第四，本文通过将美国南方与印度（India）和南非（South Africa）案例（Suryanarayan 2016; Lieberman 2003）进行对话，对比较政治经济学做出了贡献。等级社会产生独特官僚发展模式的论证并不局限于任何一个国家；它是关于先赋性地位等级制度如何与民主化互动以塑造国家能力的一般性主张。这种比较性框架丰富了对每个个案的分析。</w:t>
      </w:r>
    </w:p>
    <w:p w14:paraId="1D48309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94C75B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12. Suggestions: What are the limitations and how might they be addressed? / 建议：局限性是什么以及如何改进？</w:t>
      </w:r>
    </w:p>
    <w:p w14:paraId="37402F1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English: Professional scholars would likely identify the following limitations.</w:t>
      </w:r>
    </w:p>
    <w:p w14:paraId="1C921D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First, the most fundamental methodological concern is the ecological inference problem. The paper</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theoretical argument is about individual-level motivations—poor whites joining with white elites out of racial-status concerns rather than class interest—but all the data are at the county level. The interaction between intrawhite inequality and slavery is suggestive of the cross-class coalition mechanism, but it does not directly observe individual voters</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 xml:space="preserve"> preferences or behaviors. The authors acknowledge this limitation explicitly (p. 581). Individual-level data from voter registration records, legislative roll calls, or militia membership rosters could provide more direct evidence. Future research might follow the approach of Acharya, Blackwell, and Sen (2018), who use individual-level survey data to trace the persistence of slavery</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effects on contemporary attitudes.</w:t>
      </w:r>
    </w:p>
    <w:p w14:paraId="18BA252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Second, the causal identification strategy relies on cross-sectional variation in 1860 slavery to explain within-state variation in post-Reconstruction outcomes. While the authors control for many potential confounders and include state fixed effects, the design is fundamentally observational. There is no natural experiment, instrumental variable, or regression discontinuity that would generate plausibly exogenous variation in the intensity of slavery. The proportion enslaved in 1860 is correlated with a host of other county characteristics—soil type, crop suitability, distance from the coast, and historical settlement patterns—any of which could independently affect post-Reconstruction bureaucratic outcomes. The authors mitigate this concern with controls, but cannot fully eliminate it.</w:t>
      </w:r>
    </w:p>
    <w:p w14:paraId="582E9C7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Third, the paper focuses on a narrow time window (1870–1880) and does not trace the long-run consequences of the bureaucratic weakening documented here. Did the initial weakening lock the South onto a low-capacity path, or did capacity eventually recover in some places? The authors raise this question in their conclusion (p. 582) but do not pursue it empirically. Extending the analysis to later decades—including the Jim Crow era, the New Deal, and the Civil Rights era—would test whether the initial juncture had persistent effects or was eventually overridden by later institutional changes.</w:t>
      </w:r>
    </w:p>
    <w:p w14:paraId="1857F8F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Fourth, the paper does not fully address whether the observed decline in bureaucratic capacity was a deliberate elite strategy or an unintended byproduct of the broader collapse of Reconstruction. The withdrawal of federal oversight, the economic disruption of the war, the destruction of physical infrastructure, and the political chaos of Redemption all could have contributed to declining bureaucratic capacity without any deliberate elite strategy of institutional weakening. While the authors provide qualitative evidence for deliberate intent (the </w:t>
      </w:r>
      <w:r>
        <w:rPr>
          <w:rFonts w:hint="default" w:ascii="Times New Roman Regular" w:hAnsi="Times New Roman Regular" w:cs="Times New Roman Regular"/>
          <w:b w:val="0"/>
          <w:bCs w:val="0"/>
          <w:i w:val="0"/>
          <w:kern w:val="2"/>
          <w:sz w:val="21"/>
          <w:szCs w:val="24"/>
          <w:lang w:val="en-US" w:eastAsia="zh-CN" w:bidi="ar-SA"/>
        </w:rPr>
        <w:t>“straight-out”</w:t>
      </w:r>
      <w:r>
        <w:rPr>
          <w:rFonts w:hint="default" w:ascii="Times New Roman Regular" w:hAnsi="Times New Roman Regular" w:cs="Times New Roman Regular" w:eastAsiaTheme="minorEastAsia"/>
          <w:b w:val="0"/>
          <w:bCs w:val="0"/>
          <w:i w:val="0"/>
          <w:kern w:val="2"/>
          <w:sz w:val="21"/>
          <w:szCs w:val="24"/>
          <w:lang w:val="en-US" w:eastAsia="zh-CN" w:bidi="ar-SA"/>
        </w:rPr>
        <w:t xml:space="preserve"> strategy, the replacement of enumerators, etc.), the quantitative evidence is consistent with both interpretations. A more rigorous test would identify cases where elites had the means but not the motive to weaken capacity (e.g., in low-slavery counties with high land inequality) and compare outcomes.</w:t>
      </w:r>
    </w:p>
    <w:p w14:paraId="20B2DF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Fifth, the age heaping measure as an indicator of bureaucratic quality is somewhat indirect. Age heaping among white respondents could reflect the respondents</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 xml:space="preserve"> own innumeracy or indifference rather than bureaucratic incapacity. The authors argue that a professional bureaucracy should be able to overcome respondent deception (p. 576), but this claim is asserted rather than demonstrated. If age heaping is primarily a measure of respondent characteristics rather than bureaucratic quality, then the correlation with slavery might reflect cultural differences between high- and low-slavery counties rather than differences in state capacity per se.</w:t>
      </w:r>
    </w:p>
    <w:p w14:paraId="0361CE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Sixth, the paper could more carefully address the possibility of reverse causation: rather than slavery causing bureaucratic weakening, it is possible that places with historically weak institutions were also places where slavery flourished (Engerman and Sokoloff 2002). The authors control for pre-war age heaping and government employment to mitigate this, but these controls capture only certain dimensions of institutional quality.</w:t>
      </w:r>
    </w:p>
    <w:p w14:paraId="52E58EE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专业学者可能会指出以下局限性。</w:t>
      </w:r>
    </w:p>
    <w:p w14:paraId="68BD1A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首先，最根本的方法论关切是生态推断问题。本文的理论论证涉及个体层面的动机——贫穷白人出于种族地位而非阶级利益的考虑与白人精英联合——但所有数据都在县级层面。白人内部不平等与奴隶制之间的交互效应暗示了跨阶级联盟机制，但并未直接观察到个体选民的偏好或行为。作者明确承认了这一局限（第581页）。来自选民登记记录、立法投票记录或民兵成员名册的个体层面数据可以提供更直接的证据。未来的研究可以借鉴阿查里亚、布莱克维尔和森（Acharya, Blackwell, and Sen 2018）的方法，他们使用个体层面的调查数据来追踪奴隶制对当代态度的持续影响。</w:t>
      </w:r>
    </w:p>
    <w:p w14:paraId="7F309D3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其次，因果识别策略依赖于1860年奴隶制的截面变异来解释重建后结果的州内变异。虽然作者控制了许多潜在的混淆因素并包含了州固定效应，但该设计本质上是观察性的。没有自然实验、工具变量或断点回归来产生奴隶制强度的合理外生变异。1860年的被奴役人口比例与大量其他县级特征相关——土壤类型、作物适宜性、与海岸的距离以及历史定居模式——其中任何一个都可能独立地影响重建后的官僚结果。作者通过控制变量来缓解这一关切，但无法完全消除。</w:t>
      </w:r>
    </w:p>
    <w:p w14:paraId="03DD32F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三，本文聚焦于一个狭窄的时间窗口（1870–1880年），未能追溯此处记录的官僚弱化的长期后果。最初的弱化是否将南方锁定在低能力路径上，还是在某些地方能力最终恢复了？作者在结论中提出了这一问题（第582页），但并未从经验上予以追究。将分析延伸到后来的几十年——包括吉姆·克罗时代、新政时期和民权时代——将检验最初的关键节点是否产生了持续效应，还是最终被后来的制度变革所覆盖。</w:t>
      </w:r>
    </w:p>
    <w:p w14:paraId="5C68CC7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四，本文未能充分解决所观察到的官僚能力下降究竟是精英刻意的策略还是重建更广泛崩溃的非预期副产品。联邦监督的撤出、战争的经济破坏、物质基础设施的损毁以及救赎时期的政治混乱，都可能在没有任何精英刻意制度削弱策略的情况下导致官僚能力下降。虽然作者提供了刻意意图的定性证据（</w:t>
      </w:r>
      <w:r>
        <w:rPr>
          <w:rFonts w:hint="default" w:ascii="Times New Roman Regular" w:hAnsi="Times New Roman Regular" w:cs="Times New Roman Regular"/>
          <w:b w:val="0"/>
          <w:bCs w:val="0"/>
          <w:i w:val="0"/>
          <w:kern w:val="2"/>
          <w:sz w:val="21"/>
          <w:szCs w:val="24"/>
          <w:lang w:val="en-US" w:eastAsia="zh-CN" w:bidi="ar-SA"/>
        </w:rPr>
        <w:t>“直白”</w:t>
      </w:r>
      <w:r>
        <w:rPr>
          <w:rFonts w:hint="default" w:ascii="Times New Roman Regular" w:hAnsi="Times New Roman Regular" w:cs="Times New Roman Regular" w:eastAsiaTheme="minorEastAsia"/>
          <w:b w:val="0"/>
          <w:bCs w:val="0"/>
          <w:i w:val="0"/>
          <w:kern w:val="2"/>
          <w:sz w:val="21"/>
          <w:szCs w:val="24"/>
          <w:lang w:val="en-US" w:eastAsia="zh-CN" w:bidi="ar-SA"/>
        </w:rPr>
        <w:t>策略、调查员的替换等），但定量证据与两种解释都一致。更严格的检验将识别精英有手段但无动机削弱能力的案例（如低奴隶制但高土地不平等的县）并比较结果。</w:t>
      </w:r>
    </w:p>
    <w:p w14:paraId="2162FB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五，年龄堆积指标作为官僚质量的指标有些间接。白人受访者中的年龄堆积可能反映的是受访者自身的算术能力不足或漠不关心，而非官僚能力不足。作者论证一个专业的官僚机构应该能够克服受访者的欺骗（第576页），但这一主张是断言而非论证的。如果年龄堆积主要衡量的是受访者特征而非官僚质量，那么它与奴隶制的关联可能反映的是高奴隶制和低奴隶制县之间的文化差异，而非国家能力本身的差异。</w:t>
      </w:r>
    </w:p>
    <w:p w14:paraId="231803C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第六，本文可以更仔细地处理反向因果的可能性：不是奴隶制导致了官僚弱化，而是历史上制度薄弱的地方也是奴隶制蓬勃发展的地方（Engerman and Sokoloff 2002）。作者通过控制战前的年龄堆积和政府雇员来缓解这一问题，但这些控制变量只捕捉了制度质量的某些维度。</w:t>
      </w:r>
    </w:p>
    <w:p w14:paraId="31A3811F">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3B948D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13. Extensions: What extensions or new research questions are inspired by the paper? / 拓展：本文激发了哪些潜在的研究拓展或新的研究问题？</w:t>
      </w:r>
    </w:p>
    <w:p w14:paraId="49390A6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English: Several extensions naturally emerge from this paper.</w:t>
      </w:r>
    </w:p>
    <w:p w14:paraId="429E1BF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First, and most directly, researchers could trace the long-run path dependence of the bureaucratic weakening documented here. Did the </w:t>
      </w:r>
      <w:r>
        <w:rPr>
          <w:rFonts w:hint="default" w:ascii="Times New Roman Regular" w:hAnsi="Times New Roman Regular" w:cs="Times New Roman Regular"/>
          <w:b w:val="0"/>
          <w:bCs w:val="0"/>
          <w:i w:val="0"/>
          <w:kern w:val="2"/>
          <w:sz w:val="21"/>
          <w:szCs w:val="24"/>
          <w:lang w:val="en-US" w:eastAsia="zh-CN" w:bidi="ar-SA"/>
        </w:rPr>
        <w:t>“Alabama syndrome”</w:t>
      </w:r>
      <w:r>
        <w:rPr>
          <w:rFonts w:hint="default" w:ascii="Times New Roman Regular" w:hAnsi="Times New Roman Regular" w:cs="Times New Roman Regular" w:eastAsiaTheme="minorEastAsia"/>
          <w:b w:val="0"/>
          <w:bCs w:val="0"/>
          <w:i w:val="0"/>
          <w:kern w:val="2"/>
          <w:sz w:val="21"/>
          <w:szCs w:val="24"/>
          <w:lang w:val="en-US" w:eastAsia="zh-CN" w:bidi="ar-SA"/>
        </w:rPr>
        <w:t xml:space="preserve"> described by Johnson (2007)—the persistent inability of Southern states to implement federal programs effectively—have its roots in the post-Reconstruction weakening of local capacity? One could examine whether counties with weaker bureaucratic capacity in 1880 were also slower to implement New Deal programs in the 1930s, slower to desegregate schools in the 1950s and 1960s, or slower to expand Medicaid in the 2010s. This would test whether the initial institutional weakening constituted a genuine critical juncture in the sense of path dependence theory.</w:t>
      </w:r>
    </w:p>
    <w:p w14:paraId="3E3E04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Second, researchers could pursue the comparative dimension more systematically. The paper draws on Suryanarayan</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(2016) work on colonial India and Lieberman</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(2003) work on South Africa, but a formal cross-national comparison is not undertaken. How do the dynamics of bureaucratic weakening differ in societies with caste-based hierarchies (India), legally codified racial hierarchies (South Africa), or ethnicity-based hierarchies (post-colonial Africa)? Are cross-class coalitions within the dominant status group a universal feature of ranked societies facing democratization, or are there conditions under which economic interests override status concerns even in highly hierarchical contexts?</w:t>
      </w:r>
    </w:p>
    <w:p w14:paraId="249C64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Third, the paper raises but does not resolve the question of how bureaucratic weakening interacts with formal disenfranchisement. The post-Reconstruction era saw both informal bureaucratic weakening (the focus of this paper) and formal institutional changes such as poll taxes, literacy tests, and the grandfather clause. Did bureaucratic weakening serve as a substitute for formal disenfranchisement, a complement to it, or a precursor that made formal disenfranchisement easier to implement? The authors suggest that elites preferred bureaucratic weakening in part because it was less likely to provoke federal intervention than outright disenfranchisement (p. 582). Future research could test this sequencing hypothesis more rigorously.</w:t>
      </w:r>
    </w:p>
    <w:p w14:paraId="54E183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Fourth, the paper</w:t>
      </w:r>
      <w:r>
        <w:rPr>
          <w:rFonts w:hint="default" w:ascii="Times New Roman Regular" w:hAnsi="Times New Roman Regular" w:cs="Times New Roman Regular"/>
          <w:b w:val="0"/>
          <w:bCs w:val="0"/>
          <w:i w:val="0"/>
          <w:kern w:val="2"/>
          <w:sz w:val="21"/>
          <w:szCs w:val="24"/>
          <w:lang w:val="en-US" w:eastAsia="zh-CN" w:bidi="ar-SA"/>
        </w:rPr>
        <w:t>’</w:t>
      </w:r>
      <w:r>
        <w:rPr>
          <w:rFonts w:hint="default" w:ascii="Times New Roman Regular" w:hAnsi="Times New Roman Regular" w:cs="Times New Roman Regular" w:eastAsiaTheme="minorEastAsia"/>
          <w:b w:val="0"/>
          <w:bCs w:val="0"/>
          <w:i w:val="0"/>
          <w:kern w:val="2"/>
          <w:sz w:val="21"/>
          <w:szCs w:val="24"/>
          <w:lang w:val="en-US" w:eastAsia="zh-CN" w:bidi="ar-SA"/>
        </w:rPr>
        <w:t>s finding that bureaucratic weakening was concentrated in high-slavery counties raises the question of within-county variation. Were there towns or communities within high-slavery counties that maintained stronger bureaucratic capacity, perhaps because of the presence of federal troops, Black political organizations, or Northern migrants? Micro-level studies using town-level or enumerator-district-level data could reveal important heterogeneity that county-level analysis obscures.</w:t>
      </w:r>
    </w:p>
    <w:p w14:paraId="40ED82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 xml:space="preserve">Fifth, from the perspective of state formation theory, this paper invites research on elite strategies of capacity destruction as a general phenomenon. Most state-building literature focuses on how capacity is built (Tilly 1992; Besley and Persson 2011). This paper, along with Suryanarayan (2016), draws attention to the reverse process—how capacity is deliberately destroyed. Are there other historical episodes where elites facing democratization or other redistributive threats deliberately weakened state institutions? Candidate cases might include post-apartheid South Africa /saʊθ ˈæfrɪkə/ (where some scholars argue that departing white administrators undermined state capacity), post-Soviet Russia /ˈrʌʃə/ (where oligarchs arguably captured and hollowed out state institutions), or contemporary episodes of </w:t>
      </w:r>
      <w:r>
        <w:rPr>
          <w:rFonts w:hint="default" w:ascii="Times New Roman Regular" w:hAnsi="Times New Roman Regular" w:cs="Times New Roman Regular"/>
          <w:b w:val="0"/>
          <w:bCs w:val="0"/>
          <w:i w:val="0"/>
          <w:kern w:val="2"/>
          <w:sz w:val="21"/>
          <w:szCs w:val="24"/>
          <w:lang w:val="en-US" w:eastAsia="zh-CN" w:bidi="ar-SA"/>
        </w:rPr>
        <w:t>“administrative sabotage”</w:t>
      </w:r>
      <w:r>
        <w:rPr>
          <w:rFonts w:hint="default" w:ascii="Times New Roman Regular" w:hAnsi="Times New Roman Regular" w:cs="Times New Roman Regular" w:eastAsiaTheme="minorEastAsia"/>
          <w:b w:val="0"/>
          <w:bCs w:val="0"/>
          <w:i w:val="0"/>
          <w:kern w:val="2"/>
          <w:sz w:val="21"/>
          <w:szCs w:val="24"/>
          <w:lang w:val="en-US" w:eastAsia="zh-CN" w:bidi="ar-SA"/>
        </w:rPr>
        <w:t xml:space="preserve"> where political appointees deliberately undermine the agencies they lead.</w:t>
      </w:r>
    </w:p>
    <w:p w14:paraId="7477D7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Sixth, one might ask whether the cross-class coalition against redistribution operated differently for different types of public goods. The paper treats bureaucratic capacity as a single dimension, but in practice, elites might selectively weaken capacity in domains that benefit Black citizens (public schools, voting infrastructure) while maintaining or strengthening capacity in domains that benefit whites or elites specifically (property rights enforcement, policing). The work of Trounstine (2018) on discriminatory zoning and Troesken (2004) on water and sewer infrastructure in Southern cities suggests that such selective capacity development did occur.</w:t>
      </w:r>
    </w:p>
    <w:p w14:paraId="754D60A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中文： 从本文自然延伸出若干研究方向。</w:t>
      </w:r>
    </w:p>
    <w:p w14:paraId="689BEF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首先，也是最直接的，研究者可以追溯此处记录的官僚弱化的长期路径依赖。约翰逊（Johnson, 2007）所描述的</w:t>
      </w:r>
      <w:r>
        <w:rPr>
          <w:rFonts w:hint="default" w:ascii="Times New Roman Regular" w:hAnsi="Times New Roman Regular" w:cs="Times New Roman Regular"/>
          <w:b w:val="0"/>
          <w:bCs w:val="0"/>
          <w:i w:val="0"/>
          <w:kern w:val="2"/>
          <w:sz w:val="21"/>
          <w:szCs w:val="24"/>
          <w:lang w:val="en-US" w:eastAsia="zh-CN" w:bidi="ar-SA"/>
        </w:rPr>
        <w:t>“阿拉巴马综合症”</w:t>
      </w:r>
      <w:r>
        <w:rPr>
          <w:rFonts w:hint="default" w:ascii="Times New Roman Regular" w:hAnsi="Times New Roman Regular" w:cs="Times New Roman Regular" w:eastAsiaTheme="minorEastAsia"/>
          <w:b w:val="0"/>
          <w:bCs w:val="0"/>
          <w:i w:val="0"/>
          <w:kern w:val="2"/>
          <w:sz w:val="21"/>
          <w:szCs w:val="24"/>
          <w:lang w:val="en-US" w:eastAsia="zh-CN" w:bidi="ar-SA"/>
        </w:rPr>
        <w:t>——南方各州持续无法有效实施联邦项目——是否根源于重建后地方能力的弱化？可以检验1880年官僚能力较弱的县是否在1930年代实施新政项目时也较慢，在1950和1960年代实施学校废除种族隔离时也较慢，或者在2010年代扩展医疗补助时也较慢。这将检验最初的制度弱化是否构成了路径依赖理论意义上的真正关键节点。</w:t>
      </w:r>
    </w:p>
    <w:p w14:paraId="17CFE5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其次，研究者可以更系统地追究比较维度。本文借鉴了苏里亚纳拉亚南（Suryanarayan, 2016）关于殖民时期印度的研究和利伯曼（Lieberman, 2003）关于南非的研究，但并未进行正式的跨国比较。在基于种姓等级的社会（印度）、法律上编码的种族等级社会（南非）或基于族群等级的社会（后殖民非洲）中，官僚弱化的动态有何不同？在面临民主化的等级社会中，优势地位群体内部的跨阶级联盟是否是普遍特征，还是在某些条件下，即使在高度等级化的情境中，经济利益也能压过地位关切？</w:t>
      </w:r>
    </w:p>
    <w:p w14:paraId="45F43A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三，本文提出但未解决官僚弱化如何与正式剥夺选举权互动的问题。重建后时期既有非正式的官僚弱化（本文的焦点），也有正式的制度变革，如人头税、识字测试和祖父条款。官僚弱化是正式剥夺选举权的替代品、补充品，还是使正式剥夺选举权更容易实施的前兆？作者暗示精英偏好官僚弱化的部分原因是它不太可能像直接剥夺选举权那样引发联邦干预（第582页）。未来的研究可以更严格地检验这一时序假说。</w:t>
      </w:r>
    </w:p>
    <w:p w14:paraId="39DCD2A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四，本文发现官僚弱化集中在高奴隶制县，这引发了关于县内变异的问题。在高奴隶制县内，是否有些城镇或社区维持了更强的官僚能力，也许是因为联邦军队的存在、黑人政治组织或北方移民？使用城镇级或调查员辖区级数据的微观研究可以揭示县级分析所掩盖的重要异质性。</w:t>
      </w:r>
    </w:p>
    <w:p w14:paraId="2034FA7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第五，从国家形成理论的角度来看，本文激发了对精英能力摧毁策略作为一般现象的研究。大多数国家建设文献关注能力如何建立（Tilly 1992; Besley and Persson 2011）。本文连同苏里亚纳拉亚南（2016）的研究将注意力引向了相反的过程——能力如何被刻意摧毁。是否存在精英面临民主化或其他再分配威胁时刻意削弱国家制度的其他历史案例？候选案例可能包括后种族隔离时期的南非（South Africa /saʊθ ˈæfrɪkə/）（一些学者认为离去的白人行政人员破坏了国家能力）、后苏联时期的俄罗斯（Russia /ˈrʌʃə/）（寡头们据说俘获并掏空了国家制度），或当代</w:t>
      </w:r>
      <w:r>
        <w:rPr>
          <w:rFonts w:hint="default" w:ascii="Times New Roman Regular" w:hAnsi="Times New Roman Regular" w:cs="Times New Roman Regular"/>
          <w:b w:val="0"/>
          <w:bCs w:val="0"/>
          <w:i w:val="0"/>
          <w:kern w:val="2"/>
          <w:sz w:val="21"/>
          <w:szCs w:val="24"/>
          <w:lang w:val="en-US" w:eastAsia="zh-CN" w:bidi="ar-SA"/>
        </w:rPr>
        <w:t>“行政蓄意破坏”</w:t>
      </w:r>
      <w:r>
        <w:rPr>
          <w:rFonts w:hint="default" w:ascii="Times New Roman Regular" w:hAnsi="Times New Roman Regular" w:cs="Times New Roman Regular" w:eastAsiaTheme="minorEastAsia"/>
          <w:b w:val="0"/>
          <w:bCs w:val="0"/>
          <w:i w:val="0"/>
          <w:kern w:val="2"/>
          <w:sz w:val="21"/>
          <w:szCs w:val="24"/>
          <w:lang w:val="en-US" w:eastAsia="zh-CN" w:bidi="ar-SA"/>
        </w:rPr>
        <w:t>的案例，即政治任命的官员刻意削弱他们所领导的机构。</w:t>
      </w:r>
    </w:p>
    <w:p w14:paraId="0681452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r>
        <w:rPr>
          <w:rFonts w:hint="default" w:ascii="Times New Roman Regular" w:hAnsi="Times New Roman Regular" w:cs="Times New Roman Regular" w:eastAsiaTheme="minorEastAsia"/>
          <w:b w:val="0"/>
          <w:bCs w:val="0"/>
          <w:i w:val="0"/>
          <w:kern w:val="2"/>
          <w:sz w:val="21"/>
          <w:szCs w:val="24"/>
          <w:lang w:val="en-US" w:eastAsia="zh-CN" w:bidi="ar-SA"/>
        </w:rPr>
        <w:t>第六，可以追问反对再分配的跨阶级联盟是否对不同类型的公共品运作方式不同。本文将官僚能力视为单一维度，但在实践中，精英可能选择性地在有利于黑人公民的领域（公立学校、投票基础设施）弱化能力，同时在专门有利于白人或精英的领域（产权执法、治安）维持或加强能力。特朗斯汀（Trounstine, 2018）关于歧视性分区制的研究和特罗斯肯（Troesken, 2004）关于南方城市供水和排污基础设施的研究表明，这种选择性能力发展确实发生了。</w:t>
      </w:r>
    </w:p>
    <w:p w14:paraId="2F709C15">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p>
    <w:p w14:paraId="131177BA">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p>
    <w:p w14:paraId="72CF668F">
      <w:pPr>
        <w:keepNext w:val="0"/>
        <w:keepLines w:val="0"/>
        <w:pageBreakBefore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b w:val="0"/>
          <w:bCs w:val="0"/>
          <w:i w:val="0"/>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Geneva">
    <w:panose1 w:val="020B0503030404040204"/>
    <w:charset w:val="00"/>
    <w:family w:val="auto"/>
    <w:pitch w:val="default"/>
    <w:sig w:usb0="E00002FF" w:usb1="5200205F" w:usb2="00A0C000" w:usb3="00000200" w:csb0="2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741F433D"/>
    <w:rsid w:val="5DFA2A22"/>
    <w:rsid w:val="741F433D"/>
    <w:rsid w:val="7BBB5343"/>
    <w:rsid w:val="7FB33EC2"/>
    <w:rsid w:val="DF9FBDD4"/>
    <w:rsid w:val="E7FF203A"/>
    <w:rsid w:val="FA5B3977"/>
    <w:rsid w:val="FCFF4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1</Lines>
  <Paragraphs>1</Paragraphs>
  <TotalTime>262</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2026-03-17T07:33:00Z</dcterms:created>
  <dc:creator>夏一丹</dc:creator>
  <cp:lastModifiedBy>夏一丹</cp:lastModifiedBy>
  <dcterms:modified xsi:type="dcterms:W3CDTF">2026-03-19T12:14:41Z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C2BF21CD5E873972AAC8B969B898190A_41</vt:lpwstr>
  </property>
</Properties>
</file>