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D11803">
      <w:pPr>
        <w:rPr>
          <w:rFonts w:hint="default" w:ascii="Times New Roman Regular" w:hAnsi="Times New Roman Regular" w:cs="Times New Roman Regular" w:eastAsiaTheme="minorEastAsia"/>
          <w:b/>
          <w:bCs/>
          <w:color w:val="0000FF"/>
          <w:kern w:val="44"/>
          <w:sz w:val="48"/>
          <w:szCs w:val="48"/>
          <w:lang w:val="en-US" w:eastAsia="zh-CN" w:bidi="ar"/>
        </w:rPr>
      </w:pPr>
      <w:r>
        <w:rPr>
          <w:rFonts w:hint="default" w:ascii="Times New Roman Regular" w:hAnsi="Times New Roman Regular" w:cs="Times New Roman Regular" w:eastAsiaTheme="minorEastAsia"/>
          <w:b/>
          <w:bCs/>
          <w:color w:val="0000FF"/>
          <w:kern w:val="44"/>
          <w:sz w:val="48"/>
          <w:szCs w:val="48"/>
          <w:lang w:val="en-US" w:eastAsia="zh-CN" w:bidi="ar"/>
        </w:rPr>
        <w:t>Lecture Notes: Sacred Foundations Chapters 2–3</w:t>
      </w:r>
    </w:p>
    <w:p w14:paraId="2AB11D96">
      <w:pPr>
        <w:rPr>
          <w:rFonts w:hint="default" w:ascii="Times New Roman Regular" w:hAnsi="Times New Roman Regular" w:cs="Times New Roman Regular" w:eastAsiaTheme="minorEastAsia"/>
          <w:b/>
          <w:bCs/>
          <w:color w:val="0000FF"/>
          <w:kern w:val="44"/>
          <w:sz w:val="48"/>
          <w:szCs w:val="48"/>
          <w:lang w:val="en-US" w:eastAsia="zh-CN" w:bidi="ar"/>
        </w:rPr>
      </w:pPr>
      <w:r>
        <w:rPr>
          <w:rFonts w:hint="default" w:ascii="Times New Roman Regular" w:hAnsi="Times New Roman Regular" w:cs="Times New Roman Regular" w:eastAsiaTheme="minorEastAsia"/>
          <w:b/>
          <w:bCs/>
          <w:color w:val="0000FF"/>
          <w:kern w:val="44"/>
          <w:sz w:val="48"/>
          <w:szCs w:val="48"/>
          <w:lang w:val="en-US" w:eastAsia="zh-CN" w:bidi="ar"/>
        </w:rPr>
        <w:t>讲义：《Sacred Foundations》第二、三章</w:t>
      </w:r>
    </w:p>
    <w:p w14:paraId="556B7992">
      <w:pPr>
        <w:rPr>
          <w:rFonts w:hint="default" w:ascii="Times New Roman Regular" w:hAnsi="Times New Roman Regular" w:cs="Times New Roman Regular" w:eastAsiaTheme="minorEastAsia"/>
        </w:rPr>
      </w:pPr>
    </w:p>
    <w:p w14:paraId="4ACD4A2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Literature Name / 文献名称</w:t>
      </w:r>
    </w:p>
    <w:p w14:paraId="5684307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Sacred Foundations: How the Medieval Church Drove State Formation in Europe, Chapters 2 (</w:t>
      </w:r>
      <w:r>
        <w:rPr>
          <w:rFonts w:hint="default" w:ascii="Times New Roman Regular" w:hAnsi="Times New Roman Regular" w:cs="Times New Roman Regular"/>
          <w:lang w:val="en-US"/>
        </w:rPr>
        <w:t>“Rivalry and Fragmentation”</w:t>
      </w:r>
      <w:r>
        <w:rPr>
          <w:rFonts w:hint="default" w:ascii="Times New Roman Regular" w:hAnsi="Times New Roman Regular" w:cs="Times New Roman Regular" w:eastAsiaTheme="minorEastAsia"/>
        </w:rPr>
        <w:t>) and 3 (</w:t>
      </w:r>
      <w:r>
        <w:rPr>
          <w:rFonts w:hint="default" w:ascii="Times New Roman Regular" w:hAnsi="Times New Roman Regular" w:cs="Times New Roman Regular"/>
          <w:lang w:val="en-US"/>
        </w:rPr>
        <w:t>“Governing Institutions”</w:t>
      </w:r>
      <w:r>
        <w:rPr>
          <w:rFonts w:hint="default" w:ascii="Times New Roman Regular" w:hAnsi="Times New Roman Regular" w:cs="Times New Roman Regular" w:eastAsiaTheme="minorEastAsia"/>
        </w:rPr>
        <w:t>).</w:t>
      </w:r>
    </w:p>
    <w:p w14:paraId="13317BC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《Sacred Foundations: How the Medieval Church Drove State Formation in Europe》（《神圣根基：中世纪教会如何推动欧洲国家形成》），第二章（</w:t>
      </w:r>
      <w:r>
        <w:rPr>
          <w:rFonts w:hint="default" w:ascii="Times New Roman Regular" w:hAnsi="Times New Roman Regular" w:cs="Times New Roman Regular"/>
          <w:lang w:val="en-US"/>
        </w:rPr>
        <w:t>“竞争与碎片化”</w:t>
      </w:r>
      <w:r>
        <w:rPr>
          <w:rFonts w:hint="default" w:ascii="Times New Roman Regular" w:hAnsi="Times New Roman Regular" w:cs="Times New Roman Regular" w:eastAsiaTheme="minorEastAsia"/>
        </w:rPr>
        <w:t>）与第三章（</w:t>
      </w:r>
      <w:r>
        <w:rPr>
          <w:rFonts w:hint="default" w:ascii="Times New Roman Regular" w:hAnsi="Times New Roman Regular" w:cs="Times New Roman Regular"/>
          <w:lang w:val="en-US"/>
        </w:rPr>
        <w:t>“治理制度”</w:t>
      </w:r>
      <w:r>
        <w:rPr>
          <w:rFonts w:hint="default" w:ascii="Times New Roman Regular" w:hAnsi="Times New Roman Regular" w:cs="Times New Roman Regular" w:eastAsiaTheme="minorEastAsia"/>
        </w:rPr>
        <w:t>）。</w:t>
      </w:r>
    </w:p>
    <w:p w14:paraId="3DA3819B">
      <w:pPr>
        <w:rPr>
          <w:rFonts w:hint="default" w:ascii="Times New Roman Regular" w:hAnsi="Times New Roman Regular" w:cs="Times New Roman Regular" w:eastAsiaTheme="minorEastAsia"/>
        </w:rPr>
      </w:pPr>
    </w:p>
    <w:p w14:paraId="4BFAFC2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Author(s) / 作者</w:t>
      </w:r>
    </w:p>
    <w:p w14:paraId="0988427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Anna Grzymala-Busse /ˈɡʒɪmɑːlɑː ˈbuːʃeɪ/.</w:t>
      </w:r>
    </w:p>
    <w:p w14:paraId="36491BF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安娜·格日马瓦-布舍 (Anna Grzymala-Busse /ˈɡʒɪmɑːlɑː ˈbuːʃeɪ/)。</w:t>
      </w:r>
    </w:p>
    <w:p w14:paraId="43790145">
      <w:pPr>
        <w:rPr>
          <w:rFonts w:hint="default" w:ascii="Times New Roman Regular" w:hAnsi="Times New Roman Regular" w:cs="Times New Roman Regular" w:eastAsiaTheme="minorEastAsia"/>
        </w:rPr>
      </w:pPr>
    </w:p>
    <w:p w14:paraId="55F4DCA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Published Year / 出版年份</w:t>
      </w:r>
    </w:p>
    <w:p w14:paraId="2B8DA4E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book was published by Princeton University Press. Based on the references and the scholarly apparatus, it is a 2023 publication.</w:t>
      </w:r>
    </w:p>
    <w:p w14:paraId="4167CEC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该书由普林斯顿大学出版社（Princeton University Press）出版，为2023年著作。</w:t>
      </w:r>
    </w:p>
    <w:p w14:paraId="034F3D10">
      <w:pPr>
        <w:rPr>
          <w:rFonts w:hint="default" w:ascii="Times New Roman Regular" w:hAnsi="Times New Roman Regular" w:cs="Times New Roman Regular" w:eastAsiaTheme="minorEastAsia"/>
        </w:rPr>
      </w:pPr>
    </w:p>
    <w:p w14:paraId="5AAC3447">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DV: What is the main dependent variable? / 因变量：主要因变量是什么？</w:t>
      </w:r>
    </w:p>
    <w:p w14:paraId="4E327AA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main dependent variable across these two chapters is European state formation, but this is not a single, uniformly operationalized outcome.</w:t>
      </w:r>
    </w:p>
    <w:p w14:paraId="2F82AC6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In Chapter 2, the most clearly measured dependent variable is territorial fragmentation, operationalized as the number of state boundaries within a 100km × 100km grid cell across Europe from 1000 to 1800 (pp. 62–67). A second, more limited dependent variable is the rise of self-governing communes (pp. 67–68). Chapter 2 also discusses the differentiation of secular and ecclesiastical authority and the early articulation of sovereignty, but these are better understood as historical-conceptual outcomes of papal-imperial rivalry than as dependent variables measured at the same level as the regression-based fragmentation outcome.</w:t>
      </w:r>
    </w:p>
    <w:p w14:paraId="12D6FD3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In Chapter 3, the dependent variable shifts again, this time to the development of governing institutions: the emergence, timing, and form of chanceries, treasuries/cameras, taxation systems, courts, assemblies, and censuses across European polities (pp. 75–81). Thus, across the two chapters, </w:t>
      </w:r>
      <w:r>
        <w:rPr>
          <w:rFonts w:hint="default" w:ascii="Times New Roman Regular" w:hAnsi="Times New Roman Regular" w:cs="Times New Roman Regular"/>
          <w:lang w:val="en-US"/>
        </w:rPr>
        <w:t>“state formation”</w:t>
      </w:r>
      <w:r>
        <w:rPr>
          <w:rFonts w:hint="default" w:ascii="Times New Roman Regular" w:hAnsi="Times New Roman Regular" w:cs="Times New Roman Regular" w:eastAsiaTheme="minorEastAsia"/>
        </w:rPr>
        <w:t xml:space="preserve"> is treated as a family of related outcomes rather than one single operationalized DV.</w:t>
      </w:r>
    </w:p>
    <w:p w14:paraId="65236D7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这两章的核心因变量可以概括为欧洲国家形成（state formation），但它并不是一个单一、统一操作化的结果变量。</w:t>
      </w:r>
    </w:p>
    <w:p w14:paraId="742A8EA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在第二章中，最清楚、最正式被测量的因变量是领土碎片化，具体操作化为1000–1800年间欧洲每个 100km × 100km 网格中的国家边界数量（第62–67页）。第二个较次要的因变量是自治公社的兴起（第67–68页）。第二章也讨论了世俗权威与教会权威的分化以及主权概念的早期形成，但它们更适合被理解为教皇—帝国竞争带来的历史—概念性后果，而不是与</w:t>
      </w:r>
      <w:r>
        <w:rPr>
          <w:rFonts w:hint="default" w:ascii="Times New Roman Regular" w:hAnsi="Times New Roman Regular" w:cs="Times New Roman Regular"/>
          <w:lang w:val="en-US"/>
        </w:rPr>
        <w:t>“碎片化”</w:t>
      </w:r>
      <w:r>
        <w:rPr>
          <w:rFonts w:hint="default" w:ascii="Times New Roman Regular" w:hAnsi="Times New Roman Regular" w:cs="Times New Roman Regular" w:eastAsiaTheme="minorEastAsia"/>
        </w:rPr>
        <w:t>处于同一层次、可直接进入回归模型的因变量。</w:t>
      </w:r>
    </w:p>
    <w:p w14:paraId="00664BB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到了第三章，因变量再次发生变化，转向治理制度的发展：即文书处、财务署/国库、税收、法院、议会和人口普查等制度在各欧洲政治体中的出现时间、制度形式与发展顺序（第75–81页）。因此，这两章中的</w:t>
      </w:r>
      <w:r>
        <w:rPr>
          <w:rFonts w:hint="default" w:ascii="Times New Roman Regular" w:hAnsi="Times New Roman Regular" w:cs="Times New Roman Regular"/>
          <w:lang w:val="en-US"/>
        </w:rPr>
        <w:t>“国家形成”</w:t>
      </w:r>
      <w:r>
        <w:rPr>
          <w:rFonts w:hint="default" w:ascii="Times New Roman Regular" w:hAnsi="Times New Roman Regular" w:cs="Times New Roman Regular" w:eastAsiaTheme="minorEastAsia"/>
        </w:rPr>
        <w:t>更准确地说是一组相互关联但并不统一操作化的结果，而不是一个单一 DV。</w:t>
      </w:r>
    </w:p>
    <w:p w14:paraId="6930755C">
      <w:pPr>
        <w:rPr>
          <w:rFonts w:hint="default" w:ascii="Times New Roman Regular" w:hAnsi="Times New Roman Regular" w:cs="Times New Roman Regular" w:eastAsiaTheme="minorEastAsia"/>
        </w:rPr>
      </w:pPr>
    </w:p>
    <w:p w14:paraId="155CF4F1">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IV: What is the main independent variable? / 自变量：主要自变量是什么？</w:t>
      </w:r>
    </w:p>
    <w:p w14:paraId="4D9EBF3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broad independent variable is the medieval Catholic Church, especially the political actions and institutional innovations of the papacy. But it is operationalized differently across the two chapters.</w:t>
      </w:r>
    </w:p>
    <w:p w14:paraId="5209BEC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In Chapter 2, the key IV is papal conflict with secular rulers, defined as wars by proxy against papal enemies, papal depositions of rulers, and military attacks led or financed by popes directly (p. 62). This is the clearest case of a directly coded explanatory variable.</w:t>
      </w:r>
    </w:p>
    <w:p w14:paraId="26F43FF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In Chapter 3, however, the argument is not best described as a single IV called </w:t>
      </w:r>
      <w:r>
        <w:rPr>
          <w:rFonts w:hint="default" w:ascii="Times New Roman Regular" w:hAnsi="Times New Roman Regular" w:cs="Times New Roman Regular"/>
          <w:lang w:val="en-US"/>
        </w:rPr>
        <w:t>“institutional isomorphism.”</w:t>
      </w:r>
      <w:r>
        <w:rPr>
          <w:rFonts w:hint="default" w:ascii="Times New Roman Regular" w:hAnsi="Times New Roman Regular" w:cs="Times New Roman Regular" w:eastAsiaTheme="minorEastAsia"/>
        </w:rPr>
        <w:t xml:space="preserve"> More precisely, the explanatory claim is that the Church developed administrative, fiscal, and judicial templates earlier than royal courts, and these templates were subsequently adapted by secular rulers. </w:t>
      </w:r>
      <w:r>
        <w:rPr>
          <w:rFonts w:hint="default" w:ascii="Times New Roman Regular" w:hAnsi="Times New Roman Regular" w:cs="Times New Roman Regular"/>
          <w:lang w:val="en-US"/>
        </w:rPr>
        <w:t>“Institutional isomorphism”</w:t>
      </w:r>
      <w:r>
        <w:rPr>
          <w:rFonts w:hint="default" w:ascii="Times New Roman Regular" w:hAnsi="Times New Roman Regular" w:cs="Times New Roman Regular" w:eastAsiaTheme="minorEastAsia"/>
        </w:rPr>
        <w:t xml:space="preserve"> is the author’s theoretical language for this process of adaptation and borrowing, but empirically the chapter focuses on the prior existence of papal institutions, their transmission through clergy and legal-administrative networks, and their later uptake by royal courts. So in Chapter 3, the Church’s prior institutional development is the substantive explanatory factor, while </w:t>
      </w:r>
      <w:r>
        <w:rPr>
          <w:rFonts w:hint="default" w:ascii="Times New Roman Regular" w:hAnsi="Times New Roman Regular" w:cs="Times New Roman Regular"/>
          <w:lang w:val="en-US"/>
        </w:rPr>
        <w:t>“isomorphism”</w:t>
      </w:r>
      <w:r>
        <w:rPr>
          <w:rFonts w:hint="default" w:ascii="Times New Roman Regular" w:hAnsi="Times New Roman Regular" w:cs="Times New Roman Regular" w:eastAsiaTheme="minorEastAsia"/>
        </w:rPr>
        <w:t xml:space="preserve"> is better understood as the mechanism or interpretive framework than as a cleanly operationalized IV.</w:t>
      </w:r>
    </w:p>
    <w:p w14:paraId="186D229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广义上的自变量是中世纪天主教会，尤其是教皇的政治行动与制度创新。但它在两章中的操作化方式并不相同。</w:t>
      </w:r>
    </w:p>
    <w:p w14:paraId="4661D98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在第二章中，关键自变量是教皇与世俗统治者之间的冲突（papal conflict），其定义包括：教皇通过盟友发动的代理战争、对统治者的废黜、以及由教皇直接领导或资助的军事攻击（第62页）。这是全书中最接近直接编码型解释变量的部分。</w:t>
      </w:r>
    </w:p>
    <w:p w14:paraId="092453D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但在第三章中，作者的解释不宜简单写成一个名叫</w:t>
      </w:r>
      <w:r>
        <w:rPr>
          <w:rFonts w:hint="default" w:ascii="Times New Roman Regular" w:hAnsi="Times New Roman Regular" w:cs="Times New Roman Regular"/>
          <w:lang w:val="en-US"/>
        </w:rPr>
        <w:t>“制度同构”</w:t>
      </w:r>
      <w:r>
        <w:rPr>
          <w:rFonts w:hint="default" w:ascii="Times New Roman Regular" w:hAnsi="Times New Roman Regular" w:cs="Times New Roman Regular" w:eastAsiaTheme="minorEastAsia"/>
        </w:rPr>
        <w:t>（institutional isomorphism）的单一 IV。更准确地说，作者的解释是：教会比王室政体更早发展出行政、财政和司法制度模板，而世俗统治者后来吸收、改造并移植了这些模板。</w:t>
      </w:r>
      <w:r>
        <w:rPr>
          <w:rFonts w:hint="default" w:ascii="Times New Roman Regular" w:hAnsi="Times New Roman Regular" w:cs="Times New Roman Regular"/>
          <w:lang w:val="en-US"/>
        </w:rPr>
        <w:t>“制度同构”</w:t>
      </w:r>
      <w:r>
        <w:rPr>
          <w:rFonts w:hint="default" w:ascii="Times New Roman Regular" w:hAnsi="Times New Roman Regular" w:cs="Times New Roman Regular" w:eastAsiaTheme="minorEastAsia"/>
        </w:rPr>
        <w:t>是作者用来描述这种借用和适应过程的理论语言，但就经验分析而言，第三章真正关注的是教廷制度的先行发展、这些制度通过神职人员和法律—行政网络的传播，以及王室宫廷后来的采纳。因此，在第三章中，更合适的写法是：教会既有制度发展是解释性因素，而</w:t>
      </w:r>
      <w:r>
        <w:rPr>
          <w:rFonts w:hint="default" w:ascii="Times New Roman Regular" w:hAnsi="Times New Roman Regular" w:cs="Times New Roman Regular"/>
          <w:lang w:val="en-US"/>
        </w:rPr>
        <w:t>“制度同构”</w:t>
      </w:r>
      <w:r>
        <w:rPr>
          <w:rFonts w:hint="default" w:ascii="Times New Roman Regular" w:hAnsi="Times New Roman Regular" w:cs="Times New Roman Regular" w:eastAsiaTheme="minorEastAsia"/>
        </w:rPr>
        <w:t>更像机制或解释框架，而不是一个被清楚操作化的单一自变量。</w:t>
      </w:r>
    </w:p>
    <w:p w14:paraId="56950E7D">
      <w:pPr>
        <w:rPr>
          <w:rFonts w:hint="default" w:ascii="Times New Roman Regular" w:hAnsi="Times New Roman Regular" w:cs="Times New Roman Regular" w:eastAsiaTheme="minorEastAsia"/>
        </w:rPr>
      </w:pPr>
    </w:p>
    <w:p w14:paraId="79AEC69A">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 xml:space="preserve">Stateness: How is the </w:t>
      </w:r>
      <w:r>
        <w:rPr>
          <w:rFonts w:hint="default" w:ascii="Times New Roman Regular" w:hAnsi="Times New Roman Regular" w:cs="Times New Roman Regular"/>
          <w:highlight w:val="yellow"/>
          <w:lang w:val="en-US"/>
        </w:rPr>
        <w:t>“state”</w:t>
      </w:r>
      <w:r>
        <w:rPr>
          <w:rFonts w:hint="default" w:ascii="Times New Roman Regular" w:hAnsi="Times New Roman Regular" w:cs="Times New Roman Regular" w:eastAsiaTheme="minorEastAsia"/>
          <w:highlight w:val="yellow"/>
        </w:rPr>
        <w:t xml:space="preserve"> and/or </w:t>
      </w:r>
      <w:r>
        <w:rPr>
          <w:rFonts w:hint="default" w:ascii="Times New Roman Regular" w:hAnsi="Times New Roman Regular" w:cs="Times New Roman Regular"/>
          <w:highlight w:val="yellow"/>
          <w:lang w:val="en-US"/>
        </w:rPr>
        <w:t>“state building”</w:t>
      </w:r>
      <w:r>
        <w:rPr>
          <w:rFonts w:hint="default" w:ascii="Times New Roman Regular" w:hAnsi="Times New Roman Regular" w:cs="Times New Roman Regular" w:eastAsiaTheme="minorEastAsia"/>
          <w:highlight w:val="yellow"/>
        </w:rPr>
        <w:t xml:space="preserve"> conceptualized and measured? / 国家性：如何概念化与度量</w:t>
      </w:r>
      <w:r>
        <w:rPr>
          <w:rFonts w:hint="default" w:ascii="Times New Roman Regular" w:hAnsi="Times New Roman Regular" w:cs="Times New Roman Regular"/>
          <w:highlight w:val="yellow"/>
          <w:lang w:val="en-US"/>
        </w:rPr>
        <w:t>“国家”</w:t>
      </w:r>
      <w:r>
        <w:rPr>
          <w:rFonts w:hint="default" w:ascii="Times New Roman Regular" w:hAnsi="Times New Roman Regular" w:cs="Times New Roman Regular" w:eastAsiaTheme="minorEastAsia"/>
          <w:highlight w:val="yellow"/>
        </w:rPr>
        <w:t>和/或</w:t>
      </w:r>
      <w:r>
        <w:rPr>
          <w:rFonts w:hint="default" w:ascii="Times New Roman Regular" w:hAnsi="Times New Roman Regular" w:cs="Times New Roman Regular"/>
          <w:highlight w:val="yellow"/>
          <w:lang w:val="en-US"/>
        </w:rPr>
        <w:t>“国家构建”</w:t>
      </w:r>
      <w:r>
        <w:rPr>
          <w:rFonts w:hint="default" w:ascii="Times New Roman Regular" w:hAnsi="Times New Roman Regular" w:cs="Times New Roman Regular" w:eastAsiaTheme="minorEastAsia"/>
          <w:highlight w:val="yellow"/>
        </w:rPr>
        <w:t>？</w:t>
      </w:r>
    </w:p>
    <w:p w14:paraId="766AE41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Grzymala-Busse explicitly acknowledges that </w:t>
      </w:r>
      <w:r>
        <w:rPr>
          <w:rFonts w:hint="default" w:ascii="Times New Roman Regular" w:hAnsi="Times New Roman Regular" w:cs="Times New Roman Regular"/>
          <w:lang w:val="en-US"/>
        </w:rPr>
        <w:t>“state institutions”</w:t>
      </w:r>
      <w:r>
        <w:rPr>
          <w:rFonts w:hint="default" w:ascii="Times New Roman Regular" w:hAnsi="Times New Roman Regular" w:cs="Times New Roman Regular" w:eastAsiaTheme="minorEastAsia"/>
        </w:rPr>
        <w:t xml:space="preserve"> in the medieval context did not resemble modern states. Medieval rulers defended fuzzy borders, raised limited revenue, and adjudicated disputes; they did not supply public goods like education or healthcare (pp. 77–78). She characterizes medieval governance as marked by </w:t>
      </w:r>
      <w:r>
        <w:rPr>
          <w:rFonts w:hint="default" w:ascii="Times New Roman Regular" w:hAnsi="Times New Roman Regular" w:cs="Times New Roman Regular"/>
          <w:lang w:val="en-US"/>
        </w:rPr>
        <w:t>“weak capacity, lack of specificity, and contested sovereignty”</w:t>
      </w:r>
      <w:r>
        <w:rPr>
          <w:rFonts w:hint="default" w:ascii="Times New Roman Regular" w:hAnsi="Times New Roman Regular" w:cs="Times New Roman Regular" w:eastAsiaTheme="minorEastAsia"/>
        </w:rPr>
        <w:t xml:space="preserve"> (p. 78). The </w:t>
      </w:r>
      <w:r>
        <w:rPr>
          <w:rFonts w:hint="default" w:ascii="Times New Roman Regular" w:hAnsi="Times New Roman Regular" w:cs="Times New Roman Regular"/>
          <w:lang w:val="en-US"/>
        </w:rPr>
        <w:t>“state”</w:t>
      </w:r>
      <w:r>
        <w:rPr>
          <w:rFonts w:hint="default" w:ascii="Times New Roman Regular" w:hAnsi="Times New Roman Regular" w:cs="Times New Roman Regular" w:eastAsiaTheme="minorEastAsia"/>
        </w:rPr>
        <w:t xml:space="preserve"> is thus conceptualized not as a coherent Weberian bureaucracy but as a cluster of governing offices and capacities that gradually differentiated and specialized. </w:t>
      </w:r>
    </w:p>
    <w:p w14:paraId="724CF3F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In Chapter 2, stateness is measured via (a) the degree of territorial fragmentation (number of state boundaries per grid cell, using Abramson</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[2017] shape files and criteria for defining </w:t>
      </w:r>
      <w:r>
        <w:rPr>
          <w:rFonts w:hint="default" w:ascii="Times New Roman Regular" w:hAnsi="Times New Roman Regular" w:cs="Times New Roman Regular"/>
          <w:lang w:val="en-US"/>
        </w:rPr>
        <w:t>“states”</w:t>
      </w:r>
      <w:r>
        <w:rPr>
          <w:rFonts w:hint="default" w:ascii="Times New Roman Regular" w:hAnsi="Times New Roman Regular" w:cs="Times New Roman Regular" w:eastAsiaTheme="minorEastAsia"/>
        </w:rPr>
        <w:t xml:space="preserve"> as principalities, duchies, baronies, and cities that can tax and have a common executive [p. 55]); (b) the presence of self-governing communes (Van Zanden, Buringh, and Bosker 2012); and (c) qualitative indicators of the differentiation of secular from religious authority and the emergence of sovereignty concepts. </w:t>
      </w:r>
    </w:p>
    <w:p w14:paraId="2884E87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In Chapter 3, stateness is measured via the timing and institutional form of six state institutions—chanceries, cameras/treasuries, taxation, legal courts, national assemblies, and censuses—across the Church, England, France, Spain, Italy, Sweden, Poland, and the Holy Roman Empire (Figures 3.1 and 3.2, pp. 80–81). This measurement is essentially descriptive-comparative rather than fully formalized or uniform: it relies on secondary historical literature to identify when institutions emerged and how they were organized. So although the chapter does </w:t>
      </w:r>
      <w:r>
        <w:rPr>
          <w:rFonts w:hint="default" w:ascii="Times New Roman Regular" w:hAnsi="Times New Roman Regular" w:cs="Times New Roman Regular"/>
          <w:lang w:val="en-US"/>
        </w:rPr>
        <w:t>“measure”</w:t>
      </w:r>
      <w:r>
        <w:rPr>
          <w:rFonts w:hint="default" w:ascii="Times New Roman Regular" w:hAnsi="Times New Roman Regular" w:cs="Times New Roman Regular" w:eastAsiaTheme="minorEastAsia"/>
        </w:rPr>
        <w:t xml:space="preserve"> state development, it does so in a broad historical-comparative sense, not through a common quantitative measurement model.</w:t>
      </w:r>
    </w:p>
    <w:p w14:paraId="2AEB428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Grzymala-Busse明确承认，中世纪语境下的</w:t>
      </w:r>
      <w:r>
        <w:rPr>
          <w:rFonts w:hint="default" w:ascii="Times New Roman Regular" w:hAnsi="Times New Roman Regular" w:cs="Times New Roman Regular"/>
          <w:lang w:val="en-US"/>
        </w:rPr>
        <w:t>“国家制度”</w:t>
      </w:r>
      <w:r>
        <w:rPr>
          <w:rFonts w:hint="default" w:ascii="Times New Roman Regular" w:hAnsi="Times New Roman Regular" w:cs="Times New Roman Regular" w:eastAsiaTheme="minorEastAsia"/>
        </w:rPr>
        <w:t>与现代国家截然不同。中世纪统治者守卫的是模糊的边界，征收有限的收入，裁决纠纷；他们并不提供教育或医疗等公共产品（第77–78页）。她将中世纪治理的特征概括为</w:t>
      </w:r>
      <w:r>
        <w:rPr>
          <w:rFonts w:hint="default" w:ascii="Times New Roman Regular" w:hAnsi="Times New Roman Regular" w:cs="Times New Roman Regular"/>
          <w:lang w:val="en-US"/>
        </w:rPr>
        <w:t>“能力薄弱、定义不清、主权争议”</w:t>
      </w:r>
      <w:r>
        <w:rPr>
          <w:rFonts w:hint="default" w:ascii="Times New Roman Regular" w:hAnsi="Times New Roman Regular" w:cs="Times New Roman Regular" w:eastAsiaTheme="minorEastAsia"/>
        </w:rPr>
        <w:t>（第78页）。因此，</w:t>
      </w:r>
      <w:r>
        <w:rPr>
          <w:rFonts w:hint="default" w:ascii="Times New Roman Regular" w:hAnsi="Times New Roman Regular" w:cs="Times New Roman Regular"/>
          <w:lang w:val="en-US"/>
        </w:rPr>
        <w:t>“国家”</w:t>
      </w:r>
      <w:r>
        <w:rPr>
          <w:rFonts w:hint="default" w:ascii="Times New Roman Regular" w:hAnsi="Times New Roman Regular" w:cs="Times New Roman Regular" w:eastAsiaTheme="minorEastAsia"/>
        </w:rPr>
        <w:t>在此被概念化为逐渐分化和专门化的一系列治理机构和能力的集合，而非韦伯式的内聚性官僚体系。</w:t>
      </w:r>
    </w:p>
    <w:p w14:paraId="4B54B54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在第二章中，国家性通过以下指标衡量：（a）领土碎片化程度（每个网格单元中的国家边界数量，使用Abramson [2017年]的地理信息数据和对</w:t>
      </w:r>
      <w:r>
        <w:rPr>
          <w:rFonts w:hint="default" w:ascii="Times New Roman Regular" w:hAnsi="Times New Roman Regular" w:cs="Times New Roman Regular"/>
          <w:lang w:val="en-US"/>
        </w:rPr>
        <w:t>“国家”</w:t>
      </w:r>
      <w:r>
        <w:rPr>
          <w:rFonts w:hint="default" w:ascii="Times New Roman Regular" w:hAnsi="Times New Roman Regular" w:cs="Times New Roman Regular" w:eastAsiaTheme="minorEastAsia"/>
        </w:rPr>
        <w:t>的界定标准——即能够征税并拥有共同行政长官的公国、公爵领、男爵领和城市 [第55页]）；（b）自治公社的存在（Van Zanden, Buringh, and Bosker 2012年）；（c）世俗权威与宗教权威分化以及主权概念萌芽的定性指标。</w:t>
      </w:r>
    </w:p>
    <w:p w14:paraId="421A521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在第三章中，国家性通过六项国家制度——文书处、财务署/国库、税收、法院、国民议会和人口普查——在教会、英格兰 、法兰西 、西班牙 、意大利、瑞典 /ˈswiːdən/、波兰 /ˈpoʊlənd/ 和神圣罗马帝国 /ˌhoʊli ˈroʊmən ˈɛmpaɪr/ 的出现时间和制度形式来衡量（图3.1和3.2，第80–81页）。但这种</w:t>
      </w:r>
      <w:r>
        <w:rPr>
          <w:rFonts w:hint="default" w:ascii="Times New Roman Regular" w:hAnsi="Times New Roman Regular" w:cs="Times New Roman Regular"/>
          <w:lang w:val="en-US"/>
        </w:rPr>
        <w:t>“测量”</w:t>
      </w:r>
      <w:r>
        <w:rPr>
          <w:rFonts w:hint="default" w:ascii="Times New Roman Regular" w:hAnsi="Times New Roman Regular" w:cs="Times New Roman Regular" w:eastAsiaTheme="minorEastAsia"/>
        </w:rPr>
        <w:t>本质上是描述性—比较性的，而不是完全统一、形式化的测量模型：它主要依赖二手历史文献来判断制度何时出现、以何种形式被组织起来。所以，第三章确实在衡量国家发展，但这是宽意义上的历史比较式</w:t>
      </w:r>
      <w:r>
        <w:rPr>
          <w:rFonts w:hint="default" w:ascii="Times New Roman Regular" w:hAnsi="Times New Roman Regular" w:cs="Times New Roman Regular"/>
          <w:lang w:val="en-US"/>
        </w:rPr>
        <w:t>“测量”</w:t>
      </w:r>
      <w:r>
        <w:rPr>
          <w:rFonts w:hint="default" w:ascii="Times New Roman Regular" w:hAnsi="Times New Roman Regular" w:cs="Times New Roman Regular" w:eastAsiaTheme="minorEastAsia"/>
        </w:rPr>
        <w:t>，而不是统一量化指标意义上的 measurement。</w:t>
      </w:r>
    </w:p>
    <w:p w14:paraId="72F29454">
      <w:pPr>
        <w:rPr>
          <w:rFonts w:hint="default" w:ascii="Times New Roman Regular" w:hAnsi="Times New Roman Regular" w:cs="Times New Roman Regular" w:eastAsiaTheme="minorEastAsia"/>
        </w:rPr>
      </w:pPr>
    </w:p>
    <w:p w14:paraId="3287483F">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Argument: What is the core argument? / 论证：核心论点是什么？</w:t>
      </w:r>
    </w:p>
    <w:p w14:paraId="2D147B7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overarching argument is that the medieval Catholic Church was a primary driver of European state formation, and it operated through two distinct mechanisms elaborated in these chapters: rivalry (Chapter 2) and emulation (Chapter 3).</w:t>
      </w:r>
    </w:p>
    <w:p w14:paraId="37F4CFA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In Chapter 2, the argument is that the papacy</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struggle for autonomy and its determination to prevent any hegemon—especially the Hohenstaufen /ˈhoʊənʃtaʊfən/ Holy Roman Emperors—from encircling the Papal States led to a deliberate policy of fragmenting territorial authority in Europe. The papacy wielded both spiritual weapons (excommunications, interdicts) and temporal strategies (coalitions, proxy wars, crusades) to break apart the Empire and prevent consolidation. This papal fragmentation, concentrated in the 12th and 13th centuries, was not evenly distributed: it was most intense where rulers clashed most with the pope—in the German and Italian lands—and least where the papacy needed allies (England, France, Spain) (pp. 55–57). A critical consequence was that the territories most embroiled in papal conflict (Germany, Italy) remained fragmented until the 1870s, while those spared (England, France, Spain) consolidated earlier. The author explicitly challenges the dominant </w:t>
      </w:r>
      <w:r>
        <w:rPr>
          <w:rFonts w:hint="default" w:ascii="Times New Roman Regular" w:hAnsi="Times New Roman Regular" w:cs="Times New Roman Regular"/>
          <w:lang w:val="en-US"/>
        </w:rPr>
        <w:t>“bellicist”</w:t>
      </w:r>
      <w:r>
        <w:rPr>
          <w:rFonts w:hint="default" w:ascii="Times New Roman Regular" w:hAnsi="Times New Roman Regular" w:cs="Times New Roman Regular" w:eastAsiaTheme="minorEastAsia"/>
        </w:rPr>
        <w:t xml:space="preserve"> narrative (Tilly 1992; Hintze), which holds that early modern interstate warfare winnowed states into large, consolidated units. She argues instead that medieval religious conflict, not early modern secular warfare, explains the initial and persistent pattern of European fragmentation (pp. 56, 67, 74). Moreover, the papacy</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articulation of sovereignty concepts—the rex in regno suo imperator est doctrine—eventually backfired, as secular rulers used these same concepts to reject papal supremacy (pp. 69–71). The Great Schism (1378–1417) then decisively weakened the papacy and empowered secular states (pp. 71–74).</w:t>
      </w:r>
    </w:p>
    <w:p w14:paraId="765F568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In Chapter 3, the argument is that the papacy</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institutional innovations—in chanceries, taxation, and judicial administration—served as templates that royal courts emulated. The church was the first centralized administration in Europe; its Curia developed specialized offices (Chancery, Camera, Rota) a century or more before secular counterparts (pp. 79–83). These innovations traveled to royal courts primarily through clergy who served simultaneously as church officials and royal administrators, creating a shared epistemic and institutional culture (pp. 76–77, 86–89). The author shows that the English Exchequer arose under a bishop, that crusade taxation (especially the Saladin Tithe of 1188) provided the model for direct per-capita taxation by secular rulers, and that the papal petition-and-appeal system shaped royal judiciary development (pp. 91–98, 103–106). However, this process was uneven: in the Holy Roman Empire, where papal fragmentation had gutted central authority, central state institutions barely developed until 1500 (pp. 107–110). The irony was that the very administrative capacities the church provided ultimately made the church itself superfluous, as lay officials gradually displaced clerics (pp. 110–112).</w:t>
      </w:r>
    </w:p>
    <w:p w14:paraId="6DF4157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总体论点是：中世纪天主教会是欧洲国家形成的主要推动力量，其作用通过两章中阐述的两个不同机制——竞争（第二章）和效仿（第三章）——来实现。</w:t>
      </w:r>
    </w:p>
    <w:p w14:paraId="5AC8F9C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第二章的论点是：教皇为争取自治权，并防止任何霸权——尤其是霍亨施陶芬 /ˈhoʊənʃtaʊfən/ 王朝的神圣罗马帝国皇帝——包围教皇国，采取了蓄意碎片化欧洲领土权威的政策。教皇运用精神武器（绝罚、禁教令）和世俗策略（联盟、代理战争、十字军东征）来瓦解帝国并阻止其整合。这种教皇主导的碎片化集中于12–13世纪，且分布不均：在统治者与教皇冲突最激烈的地方（德意志和意大利领地）最为剧烈，而在教皇需要盟友的地方（英格兰、法兰西、西班牙）最为温和（第55–57页）。关键后果是：与教皇冲突最深的领土（德意志、意大利）一直保持碎片化直到19世纪70年代，而幸免者（英格兰、法兰西、西班牙）则较早实现整合。作者明确挑战了占主导地位的</w:t>
      </w:r>
      <w:r>
        <w:rPr>
          <w:rFonts w:hint="default" w:ascii="Times New Roman Regular" w:hAnsi="Times New Roman Regular" w:cs="Times New Roman Regular"/>
          <w:lang w:val="en-US"/>
        </w:rPr>
        <w:t>“战争主义”</w:t>
      </w:r>
      <w:r>
        <w:rPr>
          <w:rFonts w:hint="default" w:ascii="Times New Roman Regular" w:hAnsi="Times New Roman Regular" w:cs="Times New Roman Regular" w:eastAsiaTheme="minorEastAsia"/>
        </w:rPr>
        <w:t>（bellicist）叙事（Tilly 1992; Hintze），后者认为早期现代国家间战争淘汰出大型统一国家。她则论证，解释欧洲碎片化初始格局和持久性的是中世纪宗教冲突，而非早期现代世俗战争（第56、67、74页）。此外，教皇对主权概念的表述——</w:t>
      </w:r>
      <w:r>
        <w:rPr>
          <w:rFonts w:hint="default" w:ascii="Times New Roman Regular" w:hAnsi="Times New Roman Regular" w:cs="Times New Roman Regular"/>
          <w:lang w:val="en-US"/>
        </w:rPr>
        <w:t>“国王在其王国内即为皇帝”</w:t>
      </w:r>
      <w:r>
        <w:rPr>
          <w:rFonts w:hint="default" w:ascii="Times New Roman Regular" w:hAnsi="Times New Roman Regular" w:cs="Times New Roman Regular" w:eastAsiaTheme="minorEastAsia"/>
        </w:rPr>
        <w:t>（rex in regno suo imperator est）这一学说——最终适得其反，因为世俗统治者利用同一概念拒绝了教皇的最高权威（第69–71页）。大分裂（Great Schism, 1378–1417）则决定性地削弱了教皇权力并增强了世俗国家（第71–74页）。</w:t>
      </w:r>
    </w:p>
    <w:p w14:paraId="052A28C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三章的论点是：教皇的制度创新——在文书处、税收和司法行政方面——作为模板被王室宫廷效仿。教会是欧洲第一个集中化行政机构；其教廷发展出专门化的部门（文书处、财务署、圣轮法院），比世俗对应机构早一个世纪甚至更多（第79–83页）。这些创新主要通过同时担任教会官员和王室行政人员的神职人员传播到王室宫廷，形成了共同的知识和制度文化（第76–77、86–89页）。作者展示了英格兰的财政署（Exchequer）在一位主教领导下建立，十字军税收（尤其是1188年的萨拉丁什一税）为世俗统治者的直接人头税提供了模板，教皇的请愿-上诉体系塑造了王室司法的发展（第91–98、103–106页）。然而，这一过程是不均匀的：在教皇碎片化已经掏空中央权威的神圣罗马帝国，中央国家制度几乎直到1500年才开始发展（第107–110页）。讽刺的是，教会所提供的行政能力最终使教会自身变得多余，因为世俗官员逐渐取代了神职人员（第110–112页）。</w:t>
      </w:r>
    </w:p>
    <w:p w14:paraId="6CC69FAD">
      <w:pPr>
        <w:rPr>
          <w:rFonts w:hint="default" w:ascii="Times New Roman Regular" w:hAnsi="Times New Roman Regular" w:cs="Times New Roman Regular" w:eastAsiaTheme="minorEastAsia"/>
        </w:rPr>
      </w:pPr>
    </w:p>
    <w:p w14:paraId="42B077E0">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Mechanisms: What mechanisms are proposed? / 机制：提出了哪些机制？</w:t>
      </w:r>
    </w:p>
    <w:p w14:paraId="7925188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author identifies two overarching mechanisms and several sub-mechanisms:</w:t>
      </w:r>
    </w:p>
    <w:p w14:paraId="61E2EC2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Mechanism 1: Rivalry and Fragmentation (Chapter 2). The papacy pursued its institutional self-interest—autonomy from secular rulers—through strategies that fragmented Europe.</w:t>
      </w:r>
    </w:p>
    <w:p w14:paraId="300C663F">
      <w:pPr>
        <w:rPr>
          <w:rFonts w:hint="default" w:ascii="Times New Roman Regular" w:hAnsi="Times New Roman Regular" w:cs="Times New Roman Regular" w:eastAsiaTheme="minorEastAsia"/>
        </w:rPr>
      </w:pPr>
    </w:p>
    <w:p w14:paraId="67A51D5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Spiritual weapons: Excommunications destabilized rulers, particularly younger and more vulnerable ones (Kaplan-Meier survival analysis, Figure 2.3, p. 47), but lost their edge through overuse by the 14th century (p. 46). Interdicts placed entire communities under religious sanctions. However, excommunications were not decisive: they did not consistently end ruler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tenure, and powerful monarchs like Henry IV /ˈhɛnri/ (excommunicated five times) and Frederick II /ˈfrɛdərɪk/ survived them for decades (pp. 44–46).</w:t>
      </w:r>
    </w:p>
    <w:p w14:paraId="0B6B9A3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Temporal weapons—coalitions and proxy wars: The papacy allied opportunistically with secular rulers (Normans /ˈnɔːrmənz/, Lombard League /ˈlɒmbɑːrd/, Angevins /ˈændʒɪvɪnz/, etc.), shifting alliances as the balance of power changed (pp. 47–49). Popes funded counter-weights to the Empire, sold invasion rights, and balanced threats from multiple directions.</w:t>
      </w:r>
    </w:p>
    <w:p w14:paraId="382061F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Crusades as political weapons: Crusade privileges were increasingly extended to campaigns against the papacy</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secular enemies, not just infidels—against Frederick II, Manfred /ˈmænfrɛd/, the Colonna /kɒˈlɒnə/ family, and even Flanders /ˈflændərz/ (pp. 49–51).</w:t>
      </w:r>
    </w:p>
    <w:p w14:paraId="221E555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Empowering sub-units: The power vacuum created by papal-imperial conflict enabled cities and communes to gain autonomy. Popes and emperors granted charters to curry local support (pp. 67–68). Bishops diffused norms of self-governance. The </w:t>
      </w:r>
      <w:r>
        <w:rPr>
          <w:rFonts w:hint="default" w:ascii="Times New Roman Regular" w:hAnsi="Times New Roman Regular" w:cs="Times New Roman Regular"/>
          <w:lang w:val="en-US"/>
        </w:rPr>
        <w:t>“communal revolution”</w:t>
      </w:r>
      <w:r>
        <w:rPr>
          <w:rFonts w:hint="default" w:ascii="Times New Roman Regular" w:hAnsi="Times New Roman Regular" w:cs="Times New Roman Regular" w:eastAsiaTheme="minorEastAsia"/>
        </w:rPr>
        <w:t xml:space="preserve"> of the late 11th century grew directly in the shadow of the Investiture Conflict (p. 58).</w:t>
      </w:r>
    </w:p>
    <w:p w14:paraId="0FED53D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Conceptual innovation—sovereignty: Canonists articulated the rex in regno suo doctrine to undercut imperial claims, asserting that kings were not subordinate to the emperor. This concept was then turned against the papacy itself, as secular rulers claimed independence from papal supremacy as well (pp. 69–71).</w:t>
      </w:r>
    </w:p>
    <w:p w14:paraId="1C524B1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机制一：竞争与碎片化（第二章）。 教皇追求制度性自身利益——摆脱世俗统治者控制——的策略导致了欧洲的碎片化。</w:t>
      </w:r>
    </w:p>
    <w:p w14:paraId="0149AB0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精神武器： 绝罚动摇了统治者，尤其是年轻而脆弱的统治者（Kaplan-Meier生存分析，图2.3，第47页），但因过度使用到14世纪已丧失威力（第46页）。禁教令对整个社区施加宗教制裁。然而，绝罚并非决定性的：它不能持续终结统治者的任期，亨利四世 /ˈhɛnri/（被绝罚五次）和腓特烈二世 /ˈfrɛdərɪk/ 等强大的君主在绝罚后仍统治了数十年（第44–46页）。</w:t>
      </w:r>
    </w:p>
    <w:p w14:paraId="0DE7E24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世俗武器——联盟与代理战争： 教皇机会主义地与世俗统治者结盟（诺曼人 /ˈnɔːrmənz/、伦巴第联盟 /ˈlɒmbɑːrd/、安茹王朝 /ˈændʒɪvɪnz/ 等），随权力平衡变化不断转换联盟（第47–49页）。教皇资助帝国的制衡力量，出售入侵权利，从多个方向平衡威胁。</w:t>
      </w:r>
    </w:p>
    <w:p w14:paraId="4CE454B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十字军作为政治武器： 十字军特权日益扩展到针对教皇世俗敌人而非仅仅异教徒的战役——针对腓特烈二世、曼弗雷德 /ˈmænfrɛd/、科隆纳 /kɒˈlɒnə/ 家族，甚至佛兰德斯 /ˈflændərz/（第49–51页）。</w:t>
      </w:r>
    </w:p>
    <w:p w14:paraId="27B754C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赋权次级单位： 教皇-帝国冲突造成的权力真空使城市和公社获得了自治。教皇和皇帝授予特许状以争取地方支持（第67–68页）。主教传播了自治规范。11世纪晚期的</w:t>
      </w:r>
      <w:r>
        <w:rPr>
          <w:rFonts w:hint="default" w:ascii="Times New Roman Regular" w:hAnsi="Times New Roman Regular" w:cs="Times New Roman Regular"/>
          <w:lang w:val="en-US"/>
        </w:rPr>
        <w:t>“公社革命”</w:t>
      </w:r>
      <w:r>
        <w:rPr>
          <w:rFonts w:hint="default" w:ascii="Times New Roman Regular" w:hAnsi="Times New Roman Regular" w:cs="Times New Roman Regular" w:eastAsiaTheme="minorEastAsia"/>
        </w:rPr>
        <w:t>直接在叙任权之争的阴影下成长（第58页）。</w:t>
      </w:r>
    </w:p>
    <w:p w14:paraId="13A0CDC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概念创新——主权： 教会法学家阐述了</w:t>
      </w:r>
      <w:r>
        <w:rPr>
          <w:rFonts w:hint="default" w:ascii="Times New Roman Regular" w:hAnsi="Times New Roman Regular" w:cs="Times New Roman Regular"/>
          <w:lang w:val="en-US"/>
        </w:rPr>
        <w:t>“国王在其王国内即为皇帝”</w:t>
      </w:r>
      <w:r>
        <w:rPr>
          <w:rFonts w:hint="default" w:ascii="Times New Roman Regular" w:hAnsi="Times New Roman Regular" w:cs="Times New Roman Regular" w:eastAsiaTheme="minorEastAsia"/>
        </w:rPr>
        <w:t>（rex in regno suo）学说以削弱帝国主张，宣称国王不从属于皇帝。这一概念随后被世俗统治者用来反对教皇，宣称独立于教皇最高权威（第69–71页）。</w:t>
      </w:r>
    </w:p>
    <w:p w14:paraId="1A661AFA">
      <w:pPr>
        <w:rPr>
          <w:rFonts w:hint="default" w:ascii="Times New Roman Regular" w:hAnsi="Times New Roman Regular" w:cs="Times New Roman Regular" w:eastAsiaTheme="minorEastAsia"/>
        </w:rPr>
      </w:pPr>
    </w:p>
    <w:p w14:paraId="7633A8A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Mechanism 2: Emulation / Institutional Isomorphism (Chapter 3). royal courts adapted and borrowed from church institutional templates through clerical and legal-administrative networks</w:t>
      </w:r>
      <w:r>
        <w:rPr>
          <w:rFonts w:hint="default" w:ascii="Times New Roman Regular" w:hAnsi="Times New Roman Regular" w:cs="Times New Roman Regular"/>
          <w:lang w:val="en-US"/>
        </w:rPr>
        <w:t>.</w:t>
      </w:r>
    </w:p>
    <w:p w14:paraId="56625A3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Human capital transmission via clergy: Bishops, legates, and clerical officials served simultaneously at the papal curia and royal courts, carrying administrative models, legal training, and Latin literacy across Europe (pp. 76–77, 84–89). The term </w:t>
      </w:r>
      <w:r>
        <w:rPr>
          <w:rFonts w:hint="default" w:ascii="Times New Roman Regular" w:hAnsi="Times New Roman Regular" w:cs="Times New Roman Regular"/>
          <w:lang w:val="en-US"/>
        </w:rPr>
        <w:t>“clerk”</w:t>
      </w:r>
      <w:r>
        <w:rPr>
          <w:rFonts w:hint="default" w:ascii="Times New Roman Regular" w:hAnsi="Times New Roman Regular" w:cs="Times New Roman Regular" w:eastAsiaTheme="minorEastAsia"/>
        </w:rPr>
        <w:t xml:space="preserve"> itself came to mean both ecclesiastic and literate official (p. 76).</w:t>
      </w:r>
    </w:p>
    <w:p w14:paraId="19F8A10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Chancery templates: The Papal Chancery developed systematic petition-response systems, record-keeping (registers), and standardized writing styles (ars dictaminis, cursus Romae curiae). Royal chanceries adopted these formulas, phrasings, and procedures. English bishops in the 1140s were already copying papal document handwriting and invocations (pp. 86–89).</w:t>
      </w:r>
    </w:p>
    <w:p w14:paraId="746BEEA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Taxation templates: The Camera Apostolica pioneered financial record-keeping (Liber Censuum, 1192), direct per-capita taxation (crusade taxes from 1188), and compliance techniques (itinerant tax collector teams, profit-sharing with secular rulers). The Saladin Tithe of 1188 was </w:t>
      </w:r>
      <w:r>
        <w:rPr>
          <w:rFonts w:hint="default" w:ascii="Times New Roman Regular" w:hAnsi="Times New Roman Regular" w:cs="Times New Roman Regular"/>
          <w:lang w:val="en-US"/>
        </w:rPr>
        <w:t>“a turning point in the development of non-feudal taxation”</w:t>
      </w:r>
      <w:r>
        <w:rPr>
          <w:rFonts w:hint="default" w:ascii="Times New Roman Regular" w:hAnsi="Times New Roman Regular" w:cs="Times New Roman Regular" w:eastAsiaTheme="minorEastAsia"/>
        </w:rPr>
        <w:t xml:space="preserve"> (Lunt, cited p. 93), introducing assessment based on movable property rather than land, and collection by traveling boards. English kings directly copied these methods for the 1207 lay tax and subsequent levies (pp. 91–98).</w:t>
      </w:r>
    </w:p>
    <w:p w14:paraId="55C3614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Judicial templates: The Rota, Penitentiary, and Signatura provided models for specialized courts. Secular and papal courts expanded in parallel in the 1170s (Common Pleas and the Rota). Kings adopted the appeals system modeled on papal judges-delegate. Competition between ecclesiastical and secular courts also spurred royal judicial development, as kings sought to recapture court fees and authority (pp. 103–107).</w:t>
      </w:r>
    </w:p>
    <w:p w14:paraId="0CC43C5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Sale of offices: The papacy institutionalized venality after the Great Schism, and French and Spanish monarchs adopted virtually identical contractual terms for selling offices by the mid-15th century (pp. 101–103).</w:t>
      </w:r>
    </w:p>
    <w:p w14:paraId="3FDC323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机制二：效仿/制度同构（第三章）。 世俗统治者采纳了教会的制度模板。</w:t>
      </w:r>
    </w:p>
    <w:p w14:paraId="66DD283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通过神职人员传递人力资本： 主教、教廷使节和神职官员同时在教廷和王室宫廷任职，将行政模式、法律训练和拉丁文读写能力传播到全欧洲（第76–77、84–89页）。</w:t>
      </w:r>
      <w:r>
        <w:rPr>
          <w:rFonts w:hint="default" w:ascii="Times New Roman Regular" w:hAnsi="Times New Roman Regular" w:cs="Times New Roman Regular"/>
          <w:lang w:val="en-US"/>
        </w:rPr>
        <w:t>“clerk”</w:t>
      </w:r>
      <w:r>
        <w:rPr>
          <w:rFonts w:hint="default" w:ascii="Times New Roman Regular" w:hAnsi="Times New Roman Regular" w:cs="Times New Roman Regular" w:eastAsiaTheme="minorEastAsia"/>
        </w:rPr>
        <w:t>一词本身就兼有教士和识字官员之意（第76页）。</w:t>
      </w:r>
    </w:p>
    <w:p w14:paraId="6452AAE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文书处模板： 教皇文书处发展出系统化的请愿-回复体系、档案管理（登记簿）和标准化书写风格（ars dictaminis, cursus Romae curiae）。王室文书处采纳了这些公式、措辞和程序。英格兰主教在1140年代就已模仿教皇文件的书写和格式（第86–89页）。</w:t>
      </w:r>
    </w:p>
    <w:p w14:paraId="41AF4AF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税收模板： 宗座财务署开创了财务记录（Liber Censuum, 1192年）、直接人头税（1188年起的十字军税）和合规技术（巡回征税团队、与世俗统治者分享收入）。1188年的萨拉丁什一税是</w:t>
      </w:r>
      <w:r>
        <w:rPr>
          <w:rFonts w:hint="default" w:ascii="Times New Roman Regular" w:hAnsi="Times New Roman Regular" w:cs="Times New Roman Regular"/>
          <w:lang w:val="en-US"/>
        </w:rPr>
        <w:t>“非封建税收发展的转折点”</w:t>
      </w:r>
      <w:r>
        <w:rPr>
          <w:rFonts w:hint="default" w:ascii="Times New Roman Regular" w:hAnsi="Times New Roman Regular" w:cs="Times New Roman Regular" w:eastAsiaTheme="minorEastAsia"/>
        </w:rPr>
        <w:t>（Lunt, 引自第93页），引入了基于动产而非土地的评估，以及由巡回委员会征收的方式。英格兰国王直接模仿这些方法实施了1207年世俗税和后续征税（第91–98页）。</w:t>
      </w:r>
    </w:p>
    <w:p w14:paraId="4A1B18A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司法模板： 圣轮法院（Rota）、忏悔院（Penitentiary）和签署法院（Signatura）为专门法院提供了模式。世俗法院和教皇法院在1170年代并行扩展（普通诉讼法院和圣轮法院）。国王采纳了以教皇委任法官（judges-delegate）为模式的上诉体系。教会法院与世俗法院之间的竞争也刺激了王室司法的发展，因为国王力图夺回法院费用和管辖权（第103–107页）。</w:t>
      </w:r>
    </w:p>
    <w:p w14:paraId="3A3C770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卖官鬻爵： 大分裂后教皇将卖官制度化，法兰西和西班牙君主在15世纪中叶几乎照搬了相同的合同条款来出售官职（第101–103页）。</w:t>
      </w:r>
    </w:p>
    <w:p w14:paraId="5143A119">
      <w:pPr>
        <w:rPr>
          <w:rFonts w:hint="default" w:ascii="Times New Roman Regular" w:hAnsi="Times New Roman Regular" w:cs="Times New Roman Regular" w:eastAsiaTheme="minorEastAsia"/>
        </w:rPr>
      </w:pPr>
    </w:p>
    <w:p w14:paraId="1A55BCBC">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Data: What data is used? / 数据：使用了什么数据？</w:t>
      </w:r>
    </w:p>
    <w:p w14:paraId="524DD61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study uses an extensive combination of quantitative and qualitative data:</w:t>
      </w:r>
    </w:p>
    <w:p w14:paraId="15F511E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Chapter 2 — Quantitative:</w:t>
      </w:r>
    </w:p>
    <w:p w14:paraId="25960A5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Territorial fragmentation: State boundary data from Abramson (2017) shape files, augmented by 1900 European country borders from the Mosaic historical maps project. Unit of analysis: 100km × 100km grid cells across Europe. Time period: 1000–1800, divided into medieval (1000–1350) and early modern (1500–1800) sub-periods (pp. 55, 62–63).</w:t>
      </w:r>
    </w:p>
    <w:p w14:paraId="5D149EB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Papal conflict: Coded from The New Cambridge Medieval History (1998–2009) and Dupuy and Dupuy (1993). Defined as wars by proxy, depositions, and attacks led/financed by popes (p. 62).</w:t>
      </w:r>
    </w:p>
    <w:p w14:paraId="1A999D4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Secular conflict: Share of cities experiencing siege, battle, or conflict, from Dincecco and Onorato (2016) (p. 62).</w:t>
      </w:r>
    </w:p>
    <w:p w14:paraId="39642FB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Excommunication data: Over 100 political excommunications from the 3rd to 20th centuries, coded from the Catholic Encyclopedia and New Cambridge Medieval History. Duration of rule data from Bosworth (1996) and Morby (1989), augmented with Eastern European dynasties (pp. 44–45).</w:t>
      </w:r>
    </w:p>
    <w:p w14:paraId="63DF7E4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Control variables: Parliaments (Van Zanden, Buringh, and Bosker 2012), urbanization/city population (Bairoch, Batou, and Pierre 1988), communes (Van Zanden et al. 2012), primogeniture (Kokkonen and Sundell 2014), Holy Roman Empire membership, Protestant status (pp. 64–65).</w:t>
      </w:r>
    </w:p>
    <w:p w14:paraId="61340C1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Communes as DV: Presence of communes from Van Zanden et al. (2012), presence of bishoprics (pp. 67–68).</w:t>
      </w:r>
    </w:p>
    <w:p w14:paraId="295CF89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第二章——定量数据：</w:t>
      </w:r>
    </w:p>
    <w:p w14:paraId="72BA260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领土碎片化： 来自Abramson (2017年) 地理信息数据的国家边界数据，辅以Mosaic历史地图项目的1900年欧洲国家边界。分析单位：欧洲范围内100公里×100公里的网格单元。时间跨度：1000–1800年，分为中世纪（1000–1350年）和早期现代（1500–1800年）两个子时期（第55、62–63页）。</w:t>
      </w:r>
    </w:p>
    <w:p w14:paraId="396BFC6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教皇冲突： 从《新剑桥中世纪史》（1998–2009年）和Dupuy &amp; Dupuy（1993年）中编码，定义为代理战争、废黜和教皇主导/资助的攻击（第62页）。</w:t>
      </w:r>
    </w:p>
    <w:p w14:paraId="0D9574F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世俗冲突： 经历围攻、战役或冲突的城市比例，来自Dincecco and Onorato (2016年)（第62页）。</w:t>
      </w:r>
    </w:p>
    <w:p w14:paraId="1F1980C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绝罚数据： 从3世纪到20世纪的100多次政治性绝罚，从《天主教百科全书》和《新剑桥中世纪史》编码。统治时长数据来自Bosworth (1996年) 和Morby (1989年)，补充了东欧王朝数据（第44–45页）。</w:t>
      </w:r>
    </w:p>
    <w:p w14:paraId="4A56813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控制变量： 议会（Van Zanden, Buringh, and Bosker 2012年）、城市化/城市人口（Bairoch, Batou, and Pierre 1988年）、公社（Van Zanden等 2012年）、长子继承制（Kokkonen and Sundell 2014年）、神圣罗马帝国成员身份、新教地位（第64–65页）。</w:t>
      </w:r>
    </w:p>
    <w:p w14:paraId="61FFBF7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Chapter 2 — Qualitative: Extensive historical narrative drawing on dozens of secondary sources covering the Investiture Conflict (1075–1122), Hohenstaufen /ˈhoʊənʃtaʊfən/ dynasty conflicts, the Crusades, the Concordat of Worms /wɜːrmz/ (1122), the conflict between Philip IV /ˈfɪlɪp/ the Fair and Boniface VIII /ˈbɒnɪfəs/, and the Great Schism.</w:t>
      </w:r>
    </w:p>
    <w:p w14:paraId="1573584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第二章——定性数据： 广泛的历史叙事，引用数十种二手文献，涵盖叙任权之争（1075–1122年）、霍亨施陶芬 /ˈhoʊənʃtaʊfən/ 王朝冲突、十字军东征、沃尔姆斯宗教协定 /wɜːrmz/ (1122年)、腓力四世 /ˈfɪlɪp/ 与卜尼法斯八世 /ˈbɒnɪfəs/ 的冲突以及大分裂。</w:t>
      </w:r>
    </w:p>
    <w:p w14:paraId="778C6B8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Chapter 3 — Primarily Qualitative: Detailed historical-comparative analysis of the timing and institutional form of chanceries, cameras, taxation, and judiciaries across seven polities (Church, England, France, Spain, Italy, Sweden, Poland, HRE), synthesized into timeline figures (Figures 3.1 and 3.2, pp. 80–81). Specific case studies include the Saladin Tithe (1188), the English Exchequer, French Parlement, and HRE administrative failures. Quantitative data is limited to descriptive timelines.</w:t>
      </w:r>
    </w:p>
    <w:p w14:paraId="371B449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第三章——主要为定性数据： 对七个政治体（教会、英格兰、法兰西、西班牙、意大利、瑞典、波兰、神圣罗马帝国）中文书处、财务署、税收和司法的出现时间和制度形式进行了详细的历史比较分析，并综合为时间线图表（图3.1和3.2，第80–81页）。具体案例研究包括萨拉丁什一税（1188年）、英格兰财政署、法兰西高等法院以及神圣罗马帝国的行政失败。定量数据仅限于描述性时间线。</w:t>
      </w:r>
    </w:p>
    <w:p w14:paraId="043CFB5A">
      <w:pPr>
        <w:rPr>
          <w:rFonts w:hint="default" w:ascii="Times New Roman Regular" w:hAnsi="Times New Roman Regular" w:cs="Times New Roman Regular" w:eastAsiaTheme="minorEastAsia"/>
        </w:rPr>
      </w:pPr>
    </w:p>
    <w:p w14:paraId="057EDDAF">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Methods: What methods are employed? / 方法：采用了什么方法？</w:t>
      </w:r>
    </w:p>
    <w:p w14:paraId="6CD603B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methodological approach is mixed, combining quantitative panel regressions with extensive qualitative-historical analysis.</w:t>
      </w:r>
    </w:p>
    <w:p w14:paraId="3AAA6C6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Chapter 2 — Quantitative methods:</w:t>
      </w:r>
    </w:p>
    <w:p w14:paraId="008786A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OLS regressions with two-way fixed effects (cell and year fixed effects), using the 100km × 100km grid cell as the unit of analysis (pp. 62–63). The fixed effects control for time-invariant spatial factors (climate, elevation, agricultural suitability, proximity to ports) and space-invariant temporal shocks.</w:t>
      </w:r>
    </w:p>
    <w:p w14:paraId="3976F06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sample is split into medieval (1000–1350) and early modern (1500–1800) periods to capture the theorized difference in papal versus secular influence.</w:t>
      </w:r>
    </w:p>
    <w:p w14:paraId="0B5512E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main result (Table 2.1, p. 66) shows that papal conflict is statistically significantly and positively associated with territorial fragmentation in the medieval period across multiple specifications (models 2–4), surviving the inclusion of controls for parliaments, urbanization, communes, and HRE membership. Primogeniture absorbs the papal conflict effect (model 5), but the author argues primogeniture is itself a downstream consequence of church family law reforms, making it a mediator rather than a confounder (p. 65; mediation analysis in appendix table A.5 suggests 33% of the effect is mediated).</w:t>
      </w:r>
    </w:p>
    <w:p w14:paraId="1042935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In the early modern period, papal conflict is collinear with Protestant status and drops out (models 7–10); secular conflict becomes positively associated with fragmentation—the opposite of what the bellicist thesis predicts (p. 65).</w:t>
      </w:r>
    </w:p>
    <w:p w14:paraId="49A95EF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Oster (2019) sensitivity tests (δ = 0 = β) are reported to assess vulnerability to omitted variable bias. The negative values for medieval papal conflict suggest unobservables would need to run in the opposite direction to overturn the results (Table 2.1, p. 66).</w:t>
      </w:r>
    </w:p>
    <w:p w14:paraId="0D26B31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Kaplan-Meier survival analysis for excommunicated vs. non-excommunicated rulers (Figure 2.3, p. 47).</w:t>
      </w:r>
    </w:p>
    <w:p w14:paraId="1F59350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 secondary regression uses communes as the DV with the same grid cell structure and finds papal conflict and fragmentation positively predict communes (Figure 2.8, p. 69).</w:t>
      </w:r>
    </w:p>
    <w:p w14:paraId="202B635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方法论取向为混合方法，将定量面板回归与广泛的定性-历史分析相结合。</w:t>
      </w:r>
    </w:p>
    <w:p w14:paraId="207BFED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第二章——定量方法：</w:t>
      </w:r>
    </w:p>
    <w:p w14:paraId="1F2C30C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以100公里×100公里网格单元为分析单位的双向固定效应OLS回归（单元固定效应和年份固定效应）（第62–63页）。固定效应控制了不随时间变化的空间因素（气候、海拔、农业适宜性、距港口距离）和不随空间变化的时间冲击。</w:t>
      </w:r>
    </w:p>
    <w:p w14:paraId="08BB836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样本被分为中世纪（1000–1350年）和早期现代（1500–1800年）两个时期，以捕捉理论预期中教皇影响与世俗影响之间的差异。</w:t>
      </w:r>
    </w:p>
    <w:p w14:paraId="7A9834A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主要结果（表2.1，第66页）显示，在中世纪时期的多种模型设定中（模型2–4），教皇冲突与领土碎片化呈统计显著的正相关，且在控制了议会、城市化、公社和神圣罗马帝国成员身份后仍然成立。长子继承制吸收了教皇冲突的效应（模型5），但作者论证长子继承制本身是教会家庭法改革的下游后果，使其成为中介变量而非混淆变量（第65页；附录表A.5的中介分析显示33%的效应通过长子继承制传导）。</w:t>
      </w:r>
    </w:p>
    <w:p w14:paraId="3C4A1B6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在早期现代时期，教皇冲突与新教地位共线性，效应消失（模型7–10）；世俗冲突与碎片化呈正相关——这与战争主义命题的预测相反（第65页）。</w:t>
      </w:r>
    </w:p>
    <w:p w14:paraId="64CF320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报告了Oster (2019年) 敏感性检验（δ = 0 = β），以评估遗漏变量偏误的风险。中世纪教皇冲突的负值表明，未观测变量需要运行在相反方向才能推翻结果（表2.1，第66页）。</w:t>
      </w:r>
    </w:p>
    <w:p w14:paraId="634F765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对绝罚统治者与未被绝罚统治者进行了Kaplan-Meier生存分析（图2.3，第47页）。</w:t>
      </w:r>
    </w:p>
    <w:p w14:paraId="4CD47E6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二级回归以公社为因变量，使用同一网格单元结构，发现教皇冲突和碎片化正向预测公社出现（图2.8，第69页）。</w:t>
      </w:r>
    </w:p>
    <w:p w14:paraId="7A18BD09">
      <w:pPr>
        <w:rPr>
          <w:rFonts w:hint="default" w:ascii="Times New Roman Regular" w:hAnsi="Times New Roman Regular" w:cs="Times New Roman Regular" w:eastAsiaTheme="minorEastAsia"/>
        </w:rPr>
      </w:pPr>
    </w:p>
    <w:p w14:paraId="0D1B8EB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Key assumptions for validity:</w:t>
      </w:r>
    </w:p>
    <w:p w14:paraId="6748DAB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Two-way fixed effects require that the relationship between papal conflict and fragmentation is not driven by unobserved time-varying, cell-specific confounders. This is the standard parallel trends-type assumption.</w:t>
      </w:r>
    </w:p>
    <w:p w14:paraId="0CB9435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author acknowledges the reverse causality concern—that popes targeted already-fragmented areas—but argues against it on historical grounds: popes targeted their biggest threats (powerful rulers), and fragmentation increased after papal efforts began in the 12th century, not before (p. 63, footnote 23).</w:t>
      </w:r>
    </w:p>
    <w:p w14:paraId="64F15AE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The operationalization of </w:t>
      </w:r>
      <w:r>
        <w:rPr>
          <w:rFonts w:hint="default" w:ascii="Times New Roman Regular" w:hAnsi="Times New Roman Regular" w:cs="Times New Roman Regular"/>
          <w:lang w:val="en-US"/>
        </w:rPr>
        <w:t>“papal conflict”</w:t>
      </w:r>
      <w:r>
        <w:rPr>
          <w:rFonts w:hint="default" w:ascii="Times New Roman Regular" w:hAnsi="Times New Roman Regular" w:cs="Times New Roman Regular" w:eastAsiaTheme="minorEastAsia"/>
        </w:rPr>
        <w:t xml:space="preserve"> must be exogenous conditional on the fixed effects and controls. Since popes targeted specific rulers based on geopolitical threat, there is a potential selection-into-treatment concern.</w:t>
      </w:r>
    </w:p>
    <w:p w14:paraId="46EADDE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有效性所需的关键假设：</w:t>
      </w:r>
    </w:p>
    <w:p w14:paraId="11945BA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双向固定效应要求教皇冲突与碎片化之间的关系不受未观测到的随时间变化且因单元而异的混淆因素驱动。这是标准的平行趋势类假设。</w:t>
      </w:r>
    </w:p>
    <w:p w14:paraId="54573EF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作者承认反向因果的问题——即教皇可能倾向于攻击已经碎片化的地区——但基于历史论据进行了反驳：教皇针对的是最大的威胁（强大的统治者），而且碎片化是在教皇行动于12世纪全面展开之后才增加的，而非之前（第63页，脚注23）。</w:t>
      </w:r>
    </w:p>
    <w:p w14:paraId="10EFD659">
      <w:pPr>
        <w:rPr>
          <w:rFonts w:hint="default" w:ascii="Times New Roman Regular" w:hAnsi="Times New Roman Regular" w:cs="Times New Roman Regular" w:eastAsiaTheme="minorEastAsia"/>
        </w:rPr>
      </w:pPr>
      <w:r>
        <w:rPr>
          <w:rFonts w:hint="default" w:ascii="Times New Roman Regular" w:hAnsi="Times New Roman Regular" w:cs="Times New Roman Regular"/>
          <w:lang w:val="en-US"/>
        </w:rPr>
        <w:t>“教皇冲突”</w:t>
      </w:r>
      <w:r>
        <w:rPr>
          <w:rFonts w:hint="default" w:ascii="Times New Roman Regular" w:hAnsi="Times New Roman Regular" w:cs="Times New Roman Regular" w:eastAsiaTheme="minorEastAsia"/>
        </w:rPr>
        <w:t>的操作化在控制了固定效应和控制变量后必须是外生的。由于教皇基于地缘政治威胁选择目标，存在潜在的选择进入处理（selection into treatment）问题。</w:t>
      </w:r>
    </w:p>
    <w:p w14:paraId="5EEA51F1">
      <w:pPr>
        <w:rPr>
          <w:rFonts w:hint="default" w:ascii="Times New Roman Regular" w:hAnsi="Times New Roman Regular" w:cs="Times New Roman Regular" w:eastAsiaTheme="minorEastAsia"/>
        </w:rPr>
      </w:pPr>
    </w:p>
    <w:p w14:paraId="10FDC88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Chapter 3 — Qualitative methods:</w:t>
      </w:r>
    </w:p>
    <w:p w14:paraId="6004348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Structured comparison of institutional development timelines across seven polities and the Church (Figures 3.1, 3.2).</w:t>
      </w:r>
    </w:p>
    <w:p w14:paraId="3E97193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Process tracing of specific causal mechanisms: how the Saladin Tithe shaped English taxation, how clerical personnel transmitted institutional models, how the papal petition system influenced royal chanceries and courts.</w:t>
      </w:r>
    </w:p>
    <w:p w14:paraId="26A31AE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Comparative case analysis of England (papal ally, early centralization), France (intermediate), and the Holy Roman Empire (papal enemy, delayed centralization) to demonstrate that where the papacy fragmented authority, central state institutions could not develop, while papal allies were free to centralize (pp. 80–82).</w:t>
      </w:r>
    </w:p>
    <w:p w14:paraId="72CF7D72">
      <w:pPr>
        <w:keepNext w:val="0"/>
        <w:keepLines w:val="0"/>
        <w:widowControl w:val="0"/>
        <w:suppressLineNumbers w:val="0"/>
        <w:spacing w:before="0" w:beforeAutospacing="0" w:after="0" w:afterAutospacing="0"/>
        <w:ind w:left="0" w:right="0"/>
        <w:jc w:val="both"/>
        <w:rPr>
          <w:rFonts w:hint="default" w:ascii="Times New Roman Regular" w:hAnsi="Times New Roman Regular" w:eastAsia="宋体" w:cs="Times New Roman Regular"/>
          <w:kern w:val="2"/>
          <w:sz w:val="21"/>
          <w:szCs w:val="21"/>
        </w:rPr>
      </w:pPr>
      <w:r>
        <w:rPr>
          <w:rFonts w:hint="eastAsia" w:ascii="宋体" w:hAnsi="宋体" w:eastAsia="宋体" w:cs="宋体"/>
          <w:kern w:val="2"/>
          <w:sz w:val="21"/>
          <w:szCs w:val="21"/>
          <w:lang w:val="en-US" w:eastAsia="zh-CN" w:bidi="ar"/>
        </w:rPr>
        <w:t>第三章</w:t>
      </w:r>
      <w:r>
        <w:rPr>
          <w:rFonts w:hint="default" w:ascii="Times New Roman Regular" w:hAnsi="Times New Roman Regular" w:eastAsia="Times New Roman Regular" w:cs="Times New Roman Regular"/>
          <w:kern w:val="2"/>
          <w:sz w:val="21"/>
          <w:szCs w:val="21"/>
          <w:lang w:val="en-US" w:eastAsia="zh-CN" w:bidi="ar"/>
        </w:rPr>
        <w:t>——</w:t>
      </w:r>
      <w:r>
        <w:rPr>
          <w:rFonts w:hint="eastAsia" w:ascii="宋体" w:hAnsi="宋体" w:eastAsia="宋体" w:cs="宋体"/>
          <w:kern w:val="2"/>
          <w:sz w:val="21"/>
          <w:szCs w:val="21"/>
          <w:lang w:val="en-US" w:eastAsia="zh-CN" w:bidi="ar"/>
        </w:rPr>
        <w:t>定性方法：</w:t>
      </w:r>
    </w:p>
    <w:p w14:paraId="5813F225">
      <w:pPr>
        <w:keepNext w:val="0"/>
        <w:keepLines w:val="0"/>
        <w:widowControl w:val="0"/>
        <w:suppressLineNumbers w:val="0"/>
        <w:spacing w:before="0" w:beforeAutospacing="0" w:after="0" w:afterAutospacing="0"/>
        <w:ind w:left="0" w:right="0"/>
        <w:jc w:val="both"/>
        <w:rPr>
          <w:rFonts w:hint="default" w:ascii="Times New Roman Regular" w:hAnsi="Times New Roman Regular" w:eastAsia="宋体" w:cs="Times New Roman Regular"/>
          <w:kern w:val="2"/>
          <w:sz w:val="21"/>
          <w:szCs w:val="21"/>
        </w:rPr>
      </w:pPr>
      <w:r>
        <w:rPr>
          <w:rFonts w:hint="eastAsia" w:ascii="宋体" w:hAnsi="宋体" w:eastAsia="宋体" w:cs="宋体"/>
          <w:kern w:val="2"/>
          <w:sz w:val="21"/>
          <w:szCs w:val="21"/>
          <w:lang w:val="en-US" w:eastAsia="zh-CN" w:bidi="ar"/>
        </w:rPr>
        <w:t>对七个政治体和教会的制度发展时间线进行了结构化比较（图</w:t>
      </w:r>
      <w:r>
        <w:rPr>
          <w:rFonts w:hint="default" w:ascii="Times New Roman Regular" w:hAnsi="Times New Roman Regular" w:eastAsia="宋体" w:cs="Times New Roman Regular"/>
          <w:kern w:val="2"/>
          <w:sz w:val="21"/>
          <w:szCs w:val="21"/>
          <w:lang w:val="en-US" w:eastAsia="zh-CN" w:bidi="ar"/>
        </w:rPr>
        <w:t>3.1, 3.2</w:t>
      </w:r>
      <w:r>
        <w:rPr>
          <w:rFonts w:hint="eastAsia" w:ascii="宋体" w:hAnsi="宋体" w:eastAsia="宋体" w:cs="宋体"/>
          <w:kern w:val="2"/>
          <w:sz w:val="21"/>
          <w:szCs w:val="21"/>
          <w:lang w:val="en-US" w:eastAsia="zh-CN" w:bidi="ar"/>
        </w:rPr>
        <w:t>）。</w:t>
      </w:r>
    </w:p>
    <w:p w14:paraId="56466E9F">
      <w:pPr>
        <w:keepNext w:val="0"/>
        <w:keepLines w:val="0"/>
        <w:widowControl w:val="0"/>
        <w:suppressLineNumbers w:val="0"/>
        <w:spacing w:before="0" w:beforeAutospacing="0" w:after="0" w:afterAutospacing="0"/>
        <w:ind w:left="0" w:right="0"/>
        <w:jc w:val="both"/>
        <w:rPr>
          <w:rFonts w:hint="default" w:ascii="Times New Roman Regular" w:hAnsi="Times New Roman Regular" w:eastAsia="宋体" w:cs="Times New Roman Regular"/>
          <w:kern w:val="2"/>
          <w:sz w:val="21"/>
          <w:szCs w:val="21"/>
        </w:rPr>
      </w:pPr>
      <w:r>
        <w:rPr>
          <w:rFonts w:hint="eastAsia" w:ascii="宋体" w:hAnsi="宋体" w:eastAsia="宋体" w:cs="宋体"/>
          <w:kern w:val="2"/>
          <w:sz w:val="21"/>
          <w:szCs w:val="21"/>
          <w:lang w:val="en-US" w:eastAsia="zh-CN" w:bidi="ar"/>
        </w:rPr>
        <w:t>对具体因果机制进行了过程追踪：萨拉丁什一税如何塑造了英格兰的税收，神职人员如何传递制度模式，教皇请愿制度如何影响了王室文书处和法院。</w:t>
      </w:r>
    </w:p>
    <w:p w14:paraId="1D433EFE">
      <w:pPr>
        <w:keepNext w:val="0"/>
        <w:keepLines w:val="0"/>
        <w:widowControl w:val="0"/>
        <w:suppressLineNumbers w:val="0"/>
        <w:spacing w:before="0" w:beforeAutospacing="0" w:after="0" w:afterAutospacing="0"/>
        <w:ind w:left="0" w:right="0"/>
        <w:jc w:val="both"/>
      </w:pPr>
      <w:r>
        <w:rPr>
          <w:rFonts w:hint="eastAsia" w:ascii="宋体" w:hAnsi="宋体" w:eastAsia="宋体" w:cs="宋体"/>
          <w:kern w:val="2"/>
          <w:sz w:val="21"/>
          <w:szCs w:val="21"/>
          <w:lang w:val="en-US" w:eastAsia="zh-CN" w:bidi="ar"/>
        </w:rPr>
        <w:t>对英格兰（教皇盟友，早期集权化）、法兰西（中间状态）和神圣罗马帝国（教皇敌人，延迟集权化）进行了比较案例分析，以证明教皇碎片化权威之处中央国家制度无法发展，而教皇盟友则可自由集权（第</w:t>
      </w:r>
      <w:r>
        <w:rPr>
          <w:rFonts w:hint="default" w:ascii="Times New Roman Regular" w:hAnsi="Times New Roman Regular" w:eastAsia="宋体" w:cs="Times New Roman Regular"/>
          <w:kern w:val="2"/>
          <w:sz w:val="21"/>
          <w:szCs w:val="21"/>
          <w:lang w:val="en-US" w:eastAsia="zh-CN" w:bidi="ar"/>
        </w:rPr>
        <w:t>80–82</w:t>
      </w:r>
      <w:r>
        <w:rPr>
          <w:rFonts w:hint="eastAsia" w:ascii="宋体" w:hAnsi="宋体" w:eastAsia="宋体" w:cs="宋体"/>
          <w:kern w:val="2"/>
          <w:sz w:val="21"/>
          <w:szCs w:val="21"/>
          <w:lang w:val="en-US" w:eastAsia="zh-CN" w:bidi="ar"/>
        </w:rPr>
        <w:t>页）。</w:t>
      </w:r>
    </w:p>
    <w:p w14:paraId="3D070647">
      <w:pPr>
        <w:rPr>
          <w:rFonts w:hint="default" w:ascii="Times New Roman Regular" w:hAnsi="Times New Roman Regular" w:cs="Times New Roman Regular" w:eastAsiaTheme="minorEastAsia"/>
        </w:rPr>
      </w:pPr>
    </w:p>
    <w:p w14:paraId="6934DE5E">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Contribution: What is the reading</w:t>
      </w:r>
      <w:r>
        <w:rPr>
          <w:rFonts w:hint="default" w:ascii="Times New Roman Regular" w:hAnsi="Times New Roman Regular" w:cs="Times New Roman Regular"/>
          <w:highlight w:val="yellow"/>
          <w:lang w:val="en-US"/>
        </w:rPr>
        <w:t>’s</w:t>
      </w:r>
      <w:r>
        <w:rPr>
          <w:rFonts w:hint="default" w:ascii="Times New Roman Regular" w:hAnsi="Times New Roman Regular" w:cs="Times New Roman Regular" w:eastAsiaTheme="minorEastAsia"/>
          <w:highlight w:val="yellow"/>
        </w:rPr>
        <w:t xml:space="preserve"> main contribution? / 贡献：该文献的主要学术贡献是什么？</w:t>
      </w:r>
    </w:p>
    <w:p w14:paraId="0BE6289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This work makes several significant contributions:</w:t>
      </w:r>
    </w:p>
    <w:p w14:paraId="62CDF99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New theory of state formation centered on the Church. The dominant theories in the state formation literature (Tilly</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bellicist thesis, Ertman</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constitutionalist approach, Hintze</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geopolitical argument) either ignore the church or treat it as a peripheral factor. Grzymala-Busse places the medieval Catholic Church at the center of European state formation, arguing it was the single most important institutional actor shaping the differentiation of authority, the patterns of fragmentation, and the forms of governing institutions. This directly challenges the temporal focus of the existing literature on early modern warfare (16th–18th centuries) by pushing the causal origins back to the 11th–13th centuries (pp. 42, 74–76, 112).</w:t>
      </w:r>
    </w:p>
    <w:p w14:paraId="63219F9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Reinterpretation of European fragmentation. Against the widespread assumption that the Carolingian collapse left behind a stable fragmented landscape that early modern warfare then consolidated, Grzymala-Busse shows that fragmentation was dynamic—it actively increased during the 12th and 13th centuries in areas of papal-imperial conflict, and it persisted long after the bellicist account predicts consolidation should have occurred. Moreover, early modern warfare is shown to increase rather than decrease fragmentation, directly contradicting Tilly (pp. 56, 65, 67).</w:t>
      </w:r>
    </w:p>
    <w:p w14:paraId="6ACAE42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Original quantitative data and analysis. The author constructs an original dataset of papal conflicts, combines it with Abramson</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(2017) GIS state boundary data and Dincecco and Onorato</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(2016) conflict data, and conducts systematic grid-cell regressions with two-way fixed effects. The Oster sensitivity tests and multiple robustness checks (appendix tables A.1–A.7) add credibility. The Kaplan-Meier survival analysis of excommunicated rulers and the quantitative analysis of communes are also novel contributions.</w:t>
      </w:r>
    </w:p>
    <w:p w14:paraId="0070D03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Documenting institutional isomorphism in the medieval period. Chapter 3 provides a systematic comparative account of how specific papal administrative innovations (chanceries, taxation, judiciary) were adopted by royal courts, with detailed attention to the mechanisms of transmission (clerical personnel, legal training, shared epistemic networks). The structured timeline comparison (Figures 3.1, 3.2) offers a clear visual summary of the Church</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institutional priority.</w:t>
      </w:r>
    </w:p>
    <w:p w14:paraId="2372A86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Highlighting the irony of unintended consequences. A recurring theme is that the Church</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very successes—sovereignty concepts, administrative models, fragmentation—backfired and ultimately empowered secular rulers at the Church</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expense (pp. 71, 74, 110–112). This contributes to broader institutional theory about how organizational innovations diffuse beyond their creator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control.</w:t>
      </w:r>
    </w:p>
    <w:p w14:paraId="1B0B8E46">
      <w:pPr>
        <w:rPr>
          <w:rFonts w:hint="default" w:ascii="Times New Roman Regular" w:hAnsi="Times New Roman Regular" w:cs="Times New Roman Regular" w:eastAsiaTheme="minorEastAsia"/>
        </w:rPr>
      </w:pPr>
    </w:p>
    <w:p w14:paraId="663BDFB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该研究做出了以下几项重要贡献：</w:t>
      </w:r>
    </w:p>
    <w:p w14:paraId="61516D8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以教会为中心的国家形成新理论。 国家形成文献中的主流理论（Tilly的战争主义命题、Ertman的宪政主义路径、Hintze的地缘政治论证）要么忽视教会，要么将其视为边缘因素。Grzymala-Busse将中世纪天主教会置于欧洲国家形成的中心位置，论证它是塑造权威分化、碎片化格局和治理制度形式的最重要的单一制度行为者。这直接挑战了现有文献将因果起点聚焦于早期现代战争（16–18世纪）的时间框架，将因果起源推前至11–13世纪（第42、74–76、112页）。</w:t>
      </w:r>
    </w:p>
    <w:p w14:paraId="3A60213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对欧洲碎片化的重新诠释。 与普遍假设——加洛林帝国崩溃留下了一个稳定的碎片化版图、随后被早期现代战争整合——相反，Grzymala-Busse证明碎片化是动态的——在教皇-帝国冲突地区，碎片化在12–13世纪积极增加，且在战争主义理论预测应已发生整合之后仍然持续。此外，早期现代战争被证明是增加而非减少碎片化的，直接反驳了Tilly（第56、65、67页）。</w:t>
      </w:r>
    </w:p>
    <w:p w14:paraId="2DC9386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原创定量数据与分析。 作者构建了教皇冲突的原创数据集，将其与Abramson (2017年) 的GIS国家边界数据和Dincecco &amp; Onorato (2016年) 的冲突数据相结合，进行了系统性的网格单元双向固定效应回归。Oster敏感性检验和多项稳健性检查（附录表A.1–A.7）增加了可信度。对绝罚统治者的Kaplan-Meier生存分析和对公社的定量分析也是新颖贡献。</w:t>
      </w:r>
    </w:p>
    <w:p w14:paraId="303C480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记录中世纪制度同构。 第三章系统地比较了教皇具体行政创新（文书处、税收、司法）如何被王室宫廷采纳，并详细关注了传播机制（神职人员、法律训练、共同知识网络）。结构化时间线比较（图3.1, 3.2）提供了教会制度领先地位的清晰可视化总结。</w:t>
      </w:r>
    </w:p>
    <w:p w14:paraId="2509B6A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揭示意外后果的讽刺性。 一个反复出现的主题是：教会的成功——主权概念、行政模式、碎片化——适得其反，最终在损害教会自身的情况下赋权世俗统治者（第71、74、110–112页）。这对更广泛的制度理论——即组织创新如何超出创造者控制而扩散——做出了贡献。</w:t>
      </w:r>
    </w:p>
    <w:p w14:paraId="56278DD9">
      <w:pPr>
        <w:rPr>
          <w:rFonts w:hint="default" w:ascii="Times New Roman Regular" w:hAnsi="Times New Roman Regular" w:cs="Times New Roman Regular" w:eastAsiaTheme="minorEastAsia"/>
        </w:rPr>
      </w:pPr>
    </w:p>
    <w:p w14:paraId="2C2F2A6C">
      <w:pPr>
        <w:rPr>
          <w:rFonts w:hint="default" w:ascii="Times New Roman Regular" w:hAnsi="Times New Roman Regular" w:cs="Times New Roman Regular" w:eastAsiaTheme="minorEastAsia"/>
        </w:rPr>
      </w:pPr>
    </w:p>
    <w:p w14:paraId="312032CF">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Suggestions: Limitations and how to address them / 建议：局限性及改进方式</w:t>
      </w:r>
    </w:p>
    <w:p w14:paraId="3F84210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 Endogeneity of papal conflict and the limits of the identification strategy.</w:t>
      </w:r>
    </w:p>
    <w:p w14:paraId="5EC4BDB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most fundamental methodological concern is that papal conflict is not exogenous to fragmentation. The author is fully aware of this problem and provides a multi-layered response: she argues on historical grounds that popes targeted their biggest threats—powerful rulers seeking to encircle the Papal States—rather than already-fragmented areas (p. 63, footnote 23); she shows that fragmentation intensified after the onset of papal campaigns in the 12th century rather than predating them; she includes a battery of control variables (parliaments, urbanization, communes, HRE membership, Protestant status) to absorb alternative explanations; and she reports Oster (2019) sensitivity tests suggesting that unobserved confounders would have to run in the opposite direction to overturn the results (Table 2.1, p. 66). This is a stronger defense than pure narrative plausibility—it combines historical reasoning, observable controls, and a semi-formal sensitivity diagnostic. Nevertheless, it falls short of a credible identification strategy. Two-way fixed effects absorb time-invariant spatial factors and space-invariant temporal shocks, but cannot address time-varying, unit-specific confounders—such as the evolving weakness of imperial authority within the HRE, which could both invite papal intervention and independently produce fragmentation. The Oster test assesses the magnitude of omitted variable bias relative to observables, but it cannot address highly correlated structural confounders of the kind the HRE case represents. A more convincing approach would exploit plausibly exogenous variation in papal capacity—for example, using the timing of papal schisms, papal vacancies, or the Avignon /ˌævɪnˈjɒn/ exile as instruments for the intensity of papal conflict, under the assumption that these events reduced papal capacity to fragment without directly affecting secular fragmentation through other channels. The challenge, as always with instrumental variables, is defending the exclusion restriction.</w:t>
      </w:r>
    </w:p>
    <w:p w14:paraId="1590E78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 closely related problem is that much of the cross-sectional variation driving the main result comes from the extreme cases of Germany</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eastAsiaTheme="minorEastAsia"/>
        </w:rPr>
        <w:t>and Italy . Figure 2.4 (p. 56) shows that Germany alone reaches nearly 200 states, while England , France , and Spain</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eastAsiaTheme="minorEastAsia"/>
        </w:rPr>
        <w:t xml:space="preserve">remain below 30. If the German and Italian cells were removed from the sample, it is unclear whether the relationship would survive. The author does not report such a robustness test. This creates a vulnerability to the critique that the finding is driven by </w:t>
      </w:r>
      <w:r>
        <w:rPr>
          <w:rFonts w:hint="default" w:ascii="Times New Roman Regular" w:hAnsi="Times New Roman Regular" w:cs="Times New Roman Regular"/>
          <w:lang w:val="en-US"/>
        </w:rPr>
        <w:t>“case-specific structural exceptionalism”</w:t>
      </w:r>
      <w:r>
        <w:rPr>
          <w:rFonts w:hint="default" w:ascii="Times New Roman Regular" w:hAnsi="Times New Roman Regular" w:cs="Times New Roman Regular" w:eastAsiaTheme="minorEastAsia"/>
        </w:rPr>
        <w:t>—that the HRE was predisposed to fragmentation due to its elective monarchy, weak royal domain, cross-Alpine /ˈælpaɪn/ governance challenges, and nested lordship structures, independent of papal action. The HRE dummy variable in the regressions is too coarse to absorb all of these time-varying structural features.</w:t>
      </w:r>
    </w:p>
    <w:p w14:paraId="3B4FEAE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 教皇冲突的内生性与识别策略的局限。</w:t>
      </w:r>
    </w:p>
    <w:p w14:paraId="2190D13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最根本的方法论问题是教皇冲突并非外生于碎片化。作者充分意识到这一问题，并提供了多层次的回应：她基于历史论据指出，教皇针对的是最大的威胁——即试图包围教皇国的强大统治者——而非已经碎片化的地区（第63页，脚注23）；她证明碎片化是在12世纪教皇行动全面展开之后才加剧的，而非先于教皇行动；她纳入了一系列控制变量（议会、城市化、公社、神圣罗马帝国成员身份、新教地位）以吸收替代解释；她还报告了Oster（2019）敏感性检验，表明未观测混淆因素需要反方向运行才能推翻结果（表2.1，第66页）。这比单纯的叙述性辩护更有力——它结合了历史推理、可观测控制变量和半正式敏感性诊断。然而，它仍未达到可信的因果识别标准。双向固定效应能吸收不随时间变化的空间因素和不随空间变化的时间冲击，但无法处理随时间变化且因单位而异的混淆因素——例如神圣罗马帝国内部皇权的不断削弱，这既可能招致教皇干预，也可能独立地产生碎片化。Oster检验评估的是遗漏变量偏误相对于可观测变量的大小，但无法应对神罗案例所代表的那种高度相关的结构性混淆因素。更有说服力的方法是利用教皇能力中可信的外生变动——例如利用教皇分裂、教皇空位期或阿维尼翁 /ˌævɪnˈjɒn/ 流亡的时机作为教皇冲突强度的工具变量——前提是这些事件降低了教皇碎片化能力但不通过其他渠道直接影响世俗碎片化。一如既往，工具变量方法的挑战在于排除性限制的可辩护性。</w:t>
      </w:r>
    </w:p>
    <w:p w14:paraId="686F192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一个密切相关的问题是，驱动主要结果的截面变异很大程度上来自德意志和意大利这两个极端案例。图2.4（第56页）显示仅德意志就接近200个国家，而英格兰、法兰西和西班牙保持在30以下。如果从样本中移除德意志和意大利的网格单元，结果能否存活尚不清楚。作者未报告此类稳健性检验。这使论证容易受到</w:t>
      </w:r>
      <w:r>
        <w:rPr>
          <w:rFonts w:hint="default" w:ascii="Times New Roman Regular" w:hAnsi="Times New Roman Regular" w:cs="Times New Roman Regular"/>
          <w:lang w:val="en-US"/>
        </w:rPr>
        <w:t>“案例特殊的结构异质性”</w:t>
      </w:r>
      <w:r>
        <w:rPr>
          <w:rFonts w:hint="default" w:ascii="Times New Roman Regular" w:hAnsi="Times New Roman Regular" w:cs="Times New Roman Regular" w:eastAsiaTheme="minorEastAsia"/>
        </w:rPr>
        <w:t>批评——即神圣罗马帝国因其选举制君主制、薄弱的王室领地、跨阿尔卑斯山 /ˈælpaɪn/ 治理挑战和嵌套式领主结构，本就倾向于碎片化，与教皇行动无关。回归中的HRE虚拟变量过于粗糙，无法吸收所有这些随时间变化的结构性特征。</w:t>
      </w:r>
    </w:p>
    <w:p w14:paraId="1B7A0FF5">
      <w:pPr>
        <w:rPr>
          <w:rFonts w:hint="default" w:ascii="Times New Roman Regular" w:hAnsi="Times New Roman Regular" w:cs="Times New Roman Regular" w:eastAsiaTheme="minorEastAsia"/>
        </w:rPr>
      </w:pPr>
    </w:p>
    <w:p w14:paraId="4D84018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2. Heterogeneous composition of the </w:t>
      </w:r>
      <w:r>
        <w:rPr>
          <w:rFonts w:hint="default" w:ascii="Times New Roman Regular" w:hAnsi="Times New Roman Regular" w:cs="Times New Roman Regular"/>
          <w:lang w:val="en-US"/>
        </w:rPr>
        <w:t>“papal conflict”</w:t>
      </w:r>
      <w:r>
        <w:rPr>
          <w:rFonts w:hint="default" w:ascii="Times New Roman Regular" w:hAnsi="Times New Roman Regular" w:cs="Times New Roman Regular" w:eastAsiaTheme="minorEastAsia"/>
        </w:rPr>
        <w:t xml:space="preserve"> variable.</w:t>
      </w:r>
    </w:p>
    <w:p w14:paraId="4565D08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author provides a clear coding definition: papal conflict includes proxy wars against papal enemies by allied rulers (including crusades against rulers), papal depositions of secular rulers, and attacks led or financed by popes directly, compiled from The New Cambridge Medieval History and Dupuy and Dupuy (1993) (p. 62). This is a well-defined composite indicator, not an ad hoc amalgamation. However, having a clear definition does not resolve the heterogeneity problem. These three types of action operate through manifestly different causal mechanisms: depositions are legitimacy shocks that may reallocate authority among competing claimants; proxy wars shift military-alliance equilibria; direct papal attacks are a different form of coercion altogether. Bundling them into a single variable assumes they have homogeneous effects on fragmentation, which is unlikely. Disaggregating by conflict type would allow the author to identify which specific mechanism drives the result—and would also help address the endogeneity concern, since some types (e.g., depositions) may be more clearly targeted at specific rulers and less confounded by pre-existing fragmentation than others (e.g., proxy wars in already-contested regions).</w:t>
      </w:r>
    </w:p>
    <w:p w14:paraId="5FBCB39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2. </w:t>
      </w:r>
      <w:r>
        <w:rPr>
          <w:rFonts w:hint="default" w:ascii="Times New Roman Regular" w:hAnsi="Times New Roman Regular" w:cs="Times New Roman Regular"/>
          <w:lang w:val="en-US"/>
        </w:rPr>
        <w:t>“教皇冲突”</w:t>
      </w:r>
      <w:r>
        <w:rPr>
          <w:rFonts w:hint="default" w:ascii="Times New Roman Regular" w:hAnsi="Times New Roman Regular" w:cs="Times New Roman Regular" w:eastAsiaTheme="minorEastAsia"/>
        </w:rPr>
        <w:t>变量的异质性构成。</w:t>
      </w:r>
    </w:p>
    <w:p w14:paraId="4BB9E88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作者提供了清晰的编码定义：教皇冲突包括盟友代表教皇对教皇敌人发动的代理战争（含针对统治者的十字军）、教皇废黜世俗统治者、以及教皇直接领导或资助的攻击，数据来源于《新剑桥中世纪史》和Dupuy &amp; Dupuy (1993年)（第62页）。这是一个定义明确的复合指标，而非随意拼凑。然而，定义清晰并不等于异质性问题被解决。这三类行动通过明显不同的因果机制发挥作用：废黜是合法性冲击，可能在相互竞争的要求者之间重新分配权威；代理战争改变军事-联盟均衡；教皇直接攻击是完全不同层面的强制。将它们捆绑为单一变量假定它们对碎片化具有同质效应，这不太可能。按冲突类型分解将使作者能够识别究竟哪种具体机制驱动了结果——同时也有助于解决内生性问题，因为某些类型（如废黜）可能更明确地针对特定统治者，且比其他类型（如已有争议地区的代理战争）更少受到先前碎片化的混淆。</w:t>
      </w:r>
    </w:p>
    <w:p w14:paraId="7FBEAA54">
      <w:pPr>
        <w:rPr>
          <w:rFonts w:hint="default" w:ascii="Times New Roman Regular" w:hAnsi="Times New Roman Regular" w:cs="Times New Roman Regular" w:eastAsiaTheme="minorEastAsia"/>
        </w:rPr>
      </w:pPr>
    </w:p>
    <w:p w14:paraId="6632BF7C">
      <w:pPr>
        <w:rPr>
          <w:rFonts w:hint="default" w:ascii="Times New Roman Regular" w:hAnsi="Times New Roman Regular" w:cs="Times New Roman Regular" w:eastAsiaTheme="minorEastAsia"/>
          <w:highlight w:val="lightGray"/>
        </w:rPr>
      </w:pPr>
      <w:r>
        <w:rPr>
          <w:rFonts w:hint="default" w:ascii="Times New Roman Regular" w:hAnsi="Times New Roman Regular" w:cs="Times New Roman Regular" w:eastAsiaTheme="minorEastAsia"/>
          <w:highlight w:val="lightGray"/>
        </w:rPr>
        <w:t>3. The primogeniture problem: mediator or confounder?</w:t>
      </w:r>
    </w:p>
    <w:p w14:paraId="2827014F">
      <w:pPr>
        <w:rPr>
          <w:rFonts w:hint="default" w:ascii="Times New Roman Regular" w:hAnsi="Times New Roman Regular" w:cs="Times New Roman Regular" w:eastAsiaTheme="minorEastAsia"/>
          <w:highlight w:val="lightGray"/>
        </w:rPr>
      </w:pPr>
      <w:r>
        <w:rPr>
          <w:rFonts w:hint="default" w:ascii="Times New Roman Regular" w:hAnsi="Times New Roman Regular" w:cs="Times New Roman Regular" w:eastAsiaTheme="minorEastAsia"/>
          <w:highlight w:val="lightGray"/>
        </w:rPr>
        <w:t>The author directly confronts this issue. She acknowledges that including primogeniture absorbs the papal conflict coefficient in model 5 (Table 2.1, p. 65) and immediately offers an interpretation: primogeniture is not an independent competing explanation but a downstream consequence of earlier changes in the Church</w:t>
      </w:r>
      <w:r>
        <w:rPr>
          <w:rFonts w:hint="default" w:ascii="Times New Roman Regular" w:hAnsi="Times New Roman Regular" w:cs="Times New Roman Regular"/>
          <w:highlight w:val="lightGray"/>
          <w:lang w:val="en-US"/>
        </w:rPr>
        <w:t>’s</w:t>
      </w:r>
      <w:r>
        <w:rPr>
          <w:rFonts w:hint="default" w:ascii="Times New Roman Regular" w:hAnsi="Times New Roman Regular" w:cs="Times New Roman Regular" w:eastAsiaTheme="minorEastAsia"/>
          <w:highlight w:val="lightGray"/>
        </w:rPr>
        <w:t xml:space="preserve"> family law regime—</w:t>
      </w:r>
      <w:r>
        <w:rPr>
          <w:rFonts w:hint="default" w:ascii="Times New Roman Regular" w:hAnsi="Times New Roman Regular" w:cs="Times New Roman Regular"/>
          <w:highlight w:val="lightGray"/>
          <w:lang w:val="en-US"/>
        </w:rPr>
        <w:t>“papal policy through a different channel”</w:t>
      </w:r>
      <w:r>
        <w:rPr>
          <w:rFonts w:hint="default" w:ascii="Times New Roman Regular" w:hAnsi="Times New Roman Regular" w:cs="Times New Roman Regular" w:eastAsiaTheme="minorEastAsia"/>
          <w:highlight w:val="lightGray"/>
        </w:rPr>
        <w:t xml:space="preserve"> (p. 65). She supports this with a mediation analysis (appendix table A.5) estimating that 33% of the effect of papal conflict on fragmentation is mediated through primogeniture. This is a substantive and self-aware response, not an oversight.</w:t>
      </w:r>
    </w:p>
    <w:p w14:paraId="309E192C">
      <w:pPr>
        <w:rPr>
          <w:rFonts w:hint="default" w:ascii="Times New Roman Regular" w:hAnsi="Times New Roman Regular" w:cs="Times New Roman Regular" w:eastAsiaTheme="minorEastAsia"/>
          <w:highlight w:val="lightGray"/>
        </w:rPr>
      </w:pPr>
      <w:r>
        <w:rPr>
          <w:rFonts w:hint="default" w:ascii="Times New Roman Regular" w:hAnsi="Times New Roman Regular" w:cs="Times New Roman Regular" w:eastAsiaTheme="minorEastAsia"/>
          <w:highlight w:val="lightGray"/>
        </w:rPr>
        <w:t>However, the response is insufficient for two reasons. First, the claim that primogeniture is primarily a product of Church family law, while historically grounded (the author cites Goody 1983, Kokkonen and Sundell 2014, Henrich 2020), is not established by the data in this study. Primogeniture emerged from a confluence of pressures—demographic, economic, and political—and the Church</w:t>
      </w:r>
      <w:r>
        <w:rPr>
          <w:rFonts w:hint="default" w:ascii="Times New Roman Regular" w:hAnsi="Times New Roman Regular" w:cs="Times New Roman Regular"/>
          <w:highlight w:val="lightGray"/>
          <w:lang w:val="en-US"/>
        </w:rPr>
        <w:t>’s</w:t>
      </w:r>
      <w:r>
        <w:rPr>
          <w:rFonts w:hint="default" w:ascii="Times New Roman Regular" w:hAnsi="Times New Roman Regular" w:cs="Times New Roman Regular" w:eastAsiaTheme="minorEastAsia"/>
          <w:highlight w:val="lightGray"/>
        </w:rPr>
        <w:t xml:space="preserve"> consanguinity rules and marriage restrictions were only one contributing factor. Without isolating the Church</w:t>
      </w:r>
      <w:r>
        <w:rPr>
          <w:rFonts w:hint="default" w:ascii="Times New Roman Regular" w:hAnsi="Times New Roman Regular" w:cs="Times New Roman Regular"/>
          <w:highlight w:val="lightGray"/>
          <w:lang w:val="en-US"/>
        </w:rPr>
        <w:t>’s</w:t>
      </w:r>
      <w:r>
        <w:rPr>
          <w:rFonts w:hint="default" w:ascii="Times New Roman Regular" w:hAnsi="Times New Roman Regular" w:cs="Times New Roman Regular" w:eastAsiaTheme="minorEastAsia"/>
          <w:highlight w:val="lightGray"/>
        </w:rPr>
        <w:t xml:space="preserve"> causal contribution to primogeniture itself, the mediation interpretation remains speculative. Second, there is a technical econometric problem: standard mediation analysis (Baron-Kenny or similar) requires the sequential ignorability assumption—that conditional on the treatment (papal conflict), the mediator (primogeniture) is as-if randomly assigned. In this context, that assumption is very difficult to defend, since primogeniture adoption was itself shaped by local political conditions that also determined fragmentation outcomes. A more rigorous approach would require structural equation modeling with explicit exclusion restrictions, or at minimum a sensitivity analysis for the mediation assumptions themselves (e.g., Imai, Keele, and Tingley 2010). Moreover, if primogeniture truly is a mediator, then model 5 mechanically underestimates the total effect of papal conflict by absorbing one of its causal channels—this </w:t>
      </w:r>
      <w:r>
        <w:rPr>
          <w:rFonts w:hint="default" w:ascii="Times New Roman Regular" w:hAnsi="Times New Roman Regular" w:cs="Times New Roman Regular"/>
          <w:highlight w:val="lightGray"/>
          <w:lang w:val="en-US"/>
        </w:rPr>
        <w:t>“over-controlling bias”</w:t>
      </w:r>
      <w:r>
        <w:rPr>
          <w:rFonts w:hint="default" w:ascii="Times New Roman Regular" w:hAnsi="Times New Roman Regular" w:cs="Times New Roman Regular" w:eastAsiaTheme="minorEastAsia"/>
          <w:highlight w:val="lightGray"/>
        </w:rPr>
        <w:t xml:space="preserve"> point should be acknowledged more explicitly.</w:t>
      </w:r>
    </w:p>
    <w:p w14:paraId="4227FD66">
      <w:pPr>
        <w:rPr>
          <w:rFonts w:hint="default" w:ascii="Times New Roman Regular" w:hAnsi="Times New Roman Regular" w:cs="Times New Roman Regular" w:eastAsiaTheme="minorEastAsia"/>
          <w:highlight w:val="lightGray"/>
        </w:rPr>
      </w:pPr>
      <w:r>
        <w:rPr>
          <w:rFonts w:hint="default" w:ascii="Times New Roman Regular" w:hAnsi="Times New Roman Regular" w:cs="Times New Roman Regular" w:eastAsiaTheme="minorEastAsia"/>
          <w:highlight w:val="lightGray"/>
        </w:rPr>
        <w:t>3. 长子继承制问题：中介变量还是混淆变量？</w:t>
      </w:r>
    </w:p>
    <w:p w14:paraId="2EEB705C">
      <w:pPr>
        <w:rPr>
          <w:rFonts w:hint="default" w:ascii="Times New Roman Regular" w:hAnsi="Times New Roman Regular" w:cs="Times New Roman Regular" w:eastAsiaTheme="minorEastAsia"/>
          <w:highlight w:val="lightGray"/>
        </w:rPr>
      </w:pPr>
      <w:r>
        <w:rPr>
          <w:rFonts w:hint="default" w:ascii="Times New Roman Regular" w:hAnsi="Times New Roman Regular" w:cs="Times New Roman Regular" w:eastAsiaTheme="minorEastAsia"/>
          <w:highlight w:val="lightGray"/>
        </w:rPr>
        <w:t>作者直接面对了这一问题。她承认在模型5中纳入长子继承制后教皇冲突系数被吸收（表2.1，第65页），并立即提出解释：长子继承制不是独立的替代解释，而是教会更早期家庭法变革的下游后果——</w:t>
      </w:r>
      <w:r>
        <w:rPr>
          <w:rFonts w:hint="default" w:ascii="Times New Roman Regular" w:hAnsi="Times New Roman Regular" w:cs="Times New Roman Regular"/>
          <w:highlight w:val="lightGray"/>
          <w:lang w:val="en-US"/>
        </w:rPr>
        <w:t>“通过不同渠道的教皇政策”</w:t>
      </w:r>
      <w:r>
        <w:rPr>
          <w:rFonts w:hint="default" w:ascii="Times New Roman Regular" w:hAnsi="Times New Roman Regular" w:cs="Times New Roman Regular" w:eastAsiaTheme="minorEastAsia"/>
          <w:highlight w:val="lightGray"/>
        </w:rPr>
        <w:t>（第65页）。她以中介分析（附录表A.5）为支撑，估计教皇冲突对碎片化的33%效应通过长子继承制传导。这是一个有实质性且自觉的回应，而非疏忽。</w:t>
      </w:r>
    </w:p>
    <w:p w14:paraId="63E1A8F6">
      <w:pPr>
        <w:rPr>
          <w:rFonts w:hint="default" w:ascii="Times New Roman Regular" w:hAnsi="Times New Roman Regular" w:cs="Times New Roman Regular" w:eastAsiaTheme="minorEastAsia"/>
          <w:highlight w:val="lightGray"/>
        </w:rPr>
      </w:pPr>
      <w:r>
        <w:rPr>
          <w:rFonts w:hint="default" w:ascii="Times New Roman Regular" w:hAnsi="Times New Roman Regular" w:cs="Times New Roman Regular" w:eastAsiaTheme="minorEastAsia"/>
          <w:highlight w:val="lightGray"/>
        </w:rPr>
        <w:t>然而，该回应因两个原因而不充分。第一，长子继承制主要是教会家庭法产物这一主张虽有历史依据（作者引用Goody 1983, Kokkonen and Sundell 2014, Henrich 2020），但并未被本研究的数据所证实。长子继承制的出现源于人口、经济和政治压力的汇合，教会的近亲婚姻限制和婚姻规范只是其中一个促成因素。在未能分离出教会对长子继承制本身的因果贡献的情况下，中介解释仍属推测性质。第二，存在一个技术性计量问题：标准中介分析（Baron-Kenny或类似方法）要求序贯可忽略性假设——即在控制了处理变量（教皇冲突）的条件下，中介变量（长子继承制）的赋值如同随机。在此语境下，该假设很难辩护，因为长子继承制的采纳本身受到同时决定碎片化结果的地方政治条件的塑造。更严格的方法需要带有明确排除性限制的结构方程模型，或至少对中介假设本身进行敏感性分析（如Imai, Keele, and Tingley 2010）。此外，如果长子继承制确实是中介变量，那么模型5通过吸收教皇冲突的一个因果渠道，机械性地低估了教皇冲突的总效应——这一</w:t>
      </w:r>
      <w:r>
        <w:rPr>
          <w:rFonts w:hint="default" w:ascii="Times New Roman Regular" w:hAnsi="Times New Roman Regular" w:cs="Times New Roman Regular"/>
          <w:highlight w:val="lightGray"/>
          <w:lang w:val="en-US"/>
        </w:rPr>
        <w:t>“过度控制偏误”</w:t>
      </w:r>
      <w:r>
        <w:rPr>
          <w:rFonts w:hint="default" w:ascii="Times New Roman Regular" w:hAnsi="Times New Roman Regular" w:cs="Times New Roman Regular" w:eastAsiaTheme="minorEastAsia"/>
          <w:highlight w:val="lightGray"/>
        </w:rPr>
        <w:t>应被更明确地承认。</w:t>
      </w:r>
    </w:p>
    <w:p w14:paraId="177BB90C">
      <w:pPr>
        <w:rPr>
          <w:rFonts w:hint="default" w:ascii="Times New Roman Regular" w:hAnsi="Times New Roman Regular" w:cs="Times New Roman Regular" w:eastAsiaTheme="minorEastAsia"/>
        </w:rPr>
      </w:pPr>
    </w:p>
    <w:p w14:paraId="29F67A4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4. Chapter 3</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asymmetry: strong process tracing but unresolved mechanism identification.</w:t>
      </w:r>
    </w:p>
    <w:p w14:paraId="2682C22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Chapter 3 rests entirely on qualitative comparison and process tracing, in contrast to Chapter 2</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quantitative analysis. This is a genuine asymmetry, but it should not be overstated: the author provides substantial historical evidence for the emulation claim, including detailed documentation of specific papal formulas, writing styles (cursus Romae curiae, ars dictaminis), and petition rules being precisely copied by royal chanceries (p. 88), as well as the flow of clerical personnel between the Curia and royal courts. In the 1140s, English bishops were already replicating papal document handwriting and invocations (p. 88). These are not vague assertions of parallel development—they are granular evidence of institutional borrowing.</w:t>
      </w:r>
    </w:p>
    <w:p w14:paraId="1E060EF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However, the evidence is unevenly distributed across institutional domains. The case for emulation is strongest in the chancery domain, where specific formats and procedures were demonstrably copied. In taxation and the judiciary, the line between </w:t>
      </w:r>
      <w:r>
        <w:rPr>
          <w:rFonts w:hint="default" w:ascii="Times New Roman Regular" w:hAnsi="Times New Roman Regular" w:cs="Times New Roman Regular"/>
          <w:lang w:val="en-US"/>
        </w:rPr>
        <w:t>“emulation of a papal template”</w:t>
      </w:r>
      <w:r>
        <w:rPr>
          <w:rFonts w:hint="default" w:ascii="Times New Roman Regular" w:hAnsi="Times New Roman Regular" w:cs="Times New Roman Regular" w:eastAsiaTheme="minorEastAsia"/>
        </w:rPr>
        <w:t xml:space="preserve"> and </w:t>
      </w:r>
      <w:r>
        <w:rPr>
          <w:rFonts w:hint="default" w:ascii="Times New Roman Regular" w:hAnsi="Times New Roman Regular" w:cs="Times New Roman Regular"/>
          <w:lang w:val="en-US"/>
        </w:rPr>
        <w:t>“convergent institutional response to common functional pressures”</w:t>
      </w:r>
      <w:r>
        <w:rPr>
          <w:rFonts w:hint="default" w:ascii="Times New Roman Regular" w:hAnsi="Times New Roman Regular" w:cs="Times New Roman Regular" w:eastAsiaTheme="minorEastAsia"/>
        </w:rPr>
        <w:t xml:space="preserve"> is harder to draw. The Saladin Tithe example (p. 93) shows a papal initiative being adopted by English kings, but English kings simultaneously faced independent fiscal pressures (ransoming Richard I /ˈrɪtʃɑːrd/, financing wars against France) that would have driven tax innovation regardless of any papal model. Similarly, the parallel expansion of the Rota and Common Pleas in the 1170s could reflect shared functional needs for dispute resolution rather than borrowing.</w:t>
      </w:r>
    </w:p>
    <w:p w14:paraId="187F3A9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More fundamentally, the deeper identification problem is distinguishing institutional emulation from a human capital supply constraint. In medieval Europe, virtually the only population with literacy, Latin competence, legal training, and administrative experience was concentrated in the Church. When royal courts staffed their chanceries with bishops and clerics—as the author abundantly documents—these personnel naturally brought the working methods they knew. This does not automatically mean that kings </w:t>
      </w:r>
      <w:r>
        <w:rPr>
          <w:rFonts w:hint="default" w:ascii="Times New Roman Regular" w:hAnsi="Times New Roman Regular" w:cs="Times New Roman Regular"/>
          <w:lang w:val="en-US"/>
        </w:rPr>
        <w:t>“consciously emulated papal organization”</w:t>
      </w:r>
      <w:r>
        <w:rPr>
          <w:rFonts w:hint="default" w:ascii="Times New Roman Regular" w:hAnsi="Times New Roman Regular" w:cs="Times New Roman Regular" w:eastAsiaTheme="minorEastAsia"/>
        </w:rPr>
        <w:t xml:space="preserve"> at the institutional level; it may simply mean that in an environment of extreme human capital scarcity, the Church</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monopoly on literate administrators dictated the forms of governance by default. The author acknowledges that bishops were </w:t>
      </w:r>
      <w:r>
        <w:rPr>
          <w:rFonts w:hint="default" w:ascii="Times New Roman Regular" w:hAnsi="Times New Roman Regular" w:cs="Times New Roman Regular"/>
          <w:lang w:val="en-US"/>
        </w:rPr>
        <w:t>“cost-effective”</w:t>
      </w:r>
      <w:r>
        <w:rPr>
          <w:rFonts w:hint="default" w:ascii="Times New Roman Regular" w:hAnsi="Times New Roman Regular" w:cs="Times New Roman Regular" w:eastAsiaTheme="minorEastAsia"/>
        </w:rPr>
        <w:t xml:space="preserve"> administrators paid through Church benefices (pp. 86, 89), but this observation actually supports the human capital supply explanation as much as the institutional emulation explanation. To separate these, one would need to show either (a) that royal courts adopted papal institutional forms beyond what the personnel channel would predict—for example, kings who hired non-clerical administrators still adopting papal formats—or (b) that in civilizations where literacy was not monopolized by a religious institution, secular administrative forms developed differently. The author hints at (b) in a footnote comparing China</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stage-of-process administrative division with Europe</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domain-based division (p. 77, footnote 4), but does not systematically develop this comparison.</w:t>
      </w:r>
    </w:p>
    <w:p w14:paraId="40367C7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4. 第三章的不对称性：过程追踪有力但机制识别未完成。</w:t>
      </w:r>
    </w:p>
    <w:p w14:paraId="1E34577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第三章完全依赖定性比较和过程追踪，与第二章的定量分析形成对比。这确实是一种不对称，但不应被夸大：作者为效仿主张提供了大量历史证据，包括教皇特定公式、书写风格（cursus Romae curiae, ars dictaminis）和请愿规则被王室文书处精确复制的详细记录（第88页），以及神职人员在教廷与王室宫廷之间的流动。1140年代，英格兰主教已在复制教皇文件的笔迹和格式（第88页）。这些不是关于平行发展的模糊断言——而是制度借用的精细证据。</w:t>
      </w:r>
    </w:p>
    <w:p w14:paraId="688F719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然而，证据在不同制度领域的分布是不均匀的。效仿的论据在文书处领域最为有力，在那里特定格式和程序被明确复制。在税收和司法领域，</w:t>
      </w:r>
      <w:r>
        <w:rPr>
          <w:rFonts w:hint="default" w:ascii="Times New Roman Regular" w:hAnsi="Times New Roman Regular" w:cs="Times New Roman Regular"/>
          <w:lang w:val="en-US"/>
        </w:rPr>
        <w:t>“效仿教皇模板”</w:t>
      </w:r>
      <w:r>
        <w:rPr>
          <w:rFonts w:hint="default" w:ascii="Times New Roman Regular" w:hAnsi="Times New Roman Regular" w:cs="Times New Roman Regular" w:eastAsiaTheme="minorEastAsia"/>
        </w:rPr>
        <w:t>与</w:t>
      </w:r>
      <w:r>
        <w:rPr>
          <w:rFonts w:hint="default" w:ascii="Times New Roman Regular" w:hAnsi="Times New Roman Regular" w:cs="Times New Roman Regular"/>
          <w:lang w:val="en-US"/>
        </w:rPr>
        <w:t>“对共同功能压力的趋同制度回应”</w:t>
      </w:r>
      <w:r>
        <w:rPr>
          <w:rFonts w:hint="default" w:ascii="Times New Roman Regular" w:hAnsi="Times New Roman Regular" w:cs="Times New Roman Regular" w:eastAsiaTheme="minorEastAsia"/>
        </w:rPr>
        <w:t>之间更难划分界限。萨拉丁什一税的例子（第93页）展示了教皇发起的措施被英格兰国王采纳，但英格兰国王同时面临独立的财政压力（赎回理查德一世 /ˈrɪtʃɑːrd/ 的赎金、对法战争融资），这些压力本身就会驱动税收创新，无论是否存在教皇模板。类似地，1170年代圣轮法院（Rota）和普通诉讼法院（Common Pleas）的平行扩展，可能反映的是共同的纠纷解决功能需求，而非借用。</w:t>
      </w:r>
    </w:p>
    <w:p w14:paraId="2392ACEE">
      <w:pPr>
        <w:rPr>
          <w:rFonts w:hint="default" w:ascii="Times New Roman Regular" w:hAnsi="Times New Roman Regular" w:cs="Times New Roman Regular" w:eastAsiaTheme="minorEastAsia"/>
          <w:color w:val="0000FF"/>
        </w:rPr>
      </w:pPr>
      <w:r>
        <w:rPr>
          <w:rFonts w:hint="default" w:ascii="Times New Roman Regular" w:hAnsi="Times New Roman Regular" w:cs="Times New Roman Regular" w:eastAsiaTheme="minorEastAsia"/>
          <w:color w:val="0000FF"/>
        </w:rPr>
        <w:t>更根本地，更深层的识别问题是区分制度效仿与人力资本供给约束。在中世纪欧洲，几乎唯一具备识字能力、拉丁文水平、法律训练和行政经验的人群都集中在教会中。当王室宫廷以主教和神职人员充任文书处人员时——作者充分记录了这一点——这些人员自然带来了他们熟悉的工作方式。这并不自动意味着国王在制度层面</w:t>
      </w:r>
      <w:r>
        <w:rPr>
          <w:rFonts w:hint="default" w:ascii="Times New Roman Regular" w:hAnsi="Times New Roman Regular" w:cs="Times New Roman Regular"/>
          <w:color w:val="0000FF"/>
          <w:lang w:val="en-US"/>
        </w:rPr>
        <w:t>“有意识地效仿了教皇的组织模式”</w:t>
      </w:r>
      <w:r>
        <w:rPr>
          <w:rFonts w:hint="default" w:ascii="Times New Roman Regular" w:hAnsi="Times New Roman Regular" w:cs="Times New Roman Regular" w:eastAsiaTheme="minorEastAsia"/>
          <w:color w:val="0000FF"/>
        </w:rPr>
        <w:t>；它可能仅仅意味着：在极端人力资本稀缺的环境中，教会对识字管理者的垄断默认决定了治理形式。作者承认主教是通过教会俸禄支付薪酬的</w:t>
      </w:r>
      <w:r>
        <w:rPr>
          <w:rFonts w:hint="default" w:ascii="Times New Roman Regular" w:hAnsi="Times New Roman Regular" w:cs="Times New Roman Regular"/>
          <w:color w:val="0000FF"/>
          <w:lang w:val="en-US"/>
        </w:rPr>
        <w:t>“成本效益高的”</w:t>
      </w:r>
      <w:r>
        <w:rPr>
          <w:rFonts w:hint="default" w:ascii="Times New Roman Regular" w:hAnsi="Times New Roman Regular" w:cs="Times New Roman Regular" w:eastAsiaTheme="minorEastAsia"/>
          <w:color w:val="0000FF"/>
        </w:rPr>
        <w:t>管理者（第86、89页），但这一观察实际上同样支持人力资本供给解释，与制度效仿解释不相上下。要分离这两者，需要证明以下之一：（a）王室宫廷采纳教皇制度形式的程度超出了人员渠道所能预测的——例如，雇用非神职管理者的国王仍然采用教皇格式；或（b）在识字能力不被宗教机构垄断的文明中，世俗行政形式发展方式不同。作者在脚注中暗示了（b），比较了中国按政策过程阶段划分的行政分工与欧洲按职能领域划分的行政分工（第77页，脚注4），但未系统性地展开这一比较。</w:t>
      </w:r>
    </w:p>
    <w:p w14:paraId="1A69D2E5">
      <w:pPr>
        <w:rPr>
          <w:rFonts w:hint="default" w:ascii="Times New Roman Regular" w:hAnsi="Times New Roman Regular" w:cs="Times New Roman Regular" w:eastAsiaTheme="minorEastAsia"/>
        </w:rPr>
      </w:pPr>
    </w:p>
    <w:p w14:paraId="7CADA1D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5. The tension between Chapter 2 and Chapter 3: under-theorized boundary conditions for rivalry vs. emulation.</w:t>
      </w:r>
    </w:p>
    <w:p w14:paraId="0CA06C7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Chapters 2 and 3 present two mechanisms—rivalry/fragmentation and emulation/institutional isomorphism—through which the same organization (the medieval Church) influenced state formation. But they point in opposite directions: rivalry retards centralized state building (Chapter 2), while emulation advances it (Chapter 3). The author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implicit resolution is that the mechanism activated depended on whether the papacy viewed a given ruler as a threat or an ally. Where rulers threatened papal territorial interests—above all the Hohenstaufen /ˈhoʊənʃtaʊfən/ emperors seeking to control both Northern Italy and Sicily /ˈsɪsɪli/—the papacy deployed rivalry strategies and produced fragmentation. Where the papacy needed support or at least non-interference—England, France, Spain—it tolerated or even facilitated royal centralization, and rulers were free to emulate papal institutional models (pp. 57, 82).</w:t>
      </w:r>
    </w:p>
    <w:p w14:paraId="3B944C1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This account is logically coherent, and the author states it fairly directly. But it is not sufficiently theorized as a conditional model with testable predictions. What determines </w:t>
      </w:r>
      <w:r>
        <w:rPr>
          <w:rFonts w:hint="default" w:ascii="Times New Roman Regular" w:hAnsi="Times New Roman Regular" w:cs="Times New Roman Regular"/>
          <w:lang w:val="en-US"/>
        </w:rPr>
        <w:t>“threat”</w:t>
      </w:r>
      <w:r>
        <w:rPr>
          <w:rFonts w:hint="default" w:ascii="Times New Roman Regular" w:hAnsi="Times New Roman Regular" w:cs="Times New Roman Regular" w:eastAsiaTheme="minorEastAsia"/>
        </w:rPr>
        <w:t xml:space="preserve"> vs. </w:t>
      </w:r>
      <w:r>
        <w:rPr>
          <w:rFonts w:hint="default" w:ascii="Times New Roman Regular" w:hAnsi="Times New Roman Regular" w:cs="Times New Roman Regular"/>
          <w:lang w:val="en-US"/>
        </w:rPr>
        <w:t>“ally”</w:t>
      </w:r>
      <w:r>
        <w:rPr>
          <w:rFonts w:hint="default" w:ascii="Times New Roman Regular" w:hAnsi="Times New Roman Regular" w:cs="Times New Roman Regular" w:eastAsiaTheme="minorEastAsia"/>
        </w:rPr>
        <w:t xml:space="preserve"> status? Is it geographic proximity to the Papal States? Territorial claims that overlap with papal domains? The author does not formalize these conditions or test them systematically. As a result, the theory risks becoming an ex post rationalization: when the Church is observed to fragment, invoke rivalry; when the Church is observed to facilitate state building, invoke emulation. Moreover, within the </w:t>
      </w:r>
      <w:r>
        <w:rPr>
          <w:rFonts w:hint="default" w:ascii="Times New Roman Regular" w:hAnsi="Times New Roman Regular" w:cs="Times New Roman Regular"/>
          <w:lang w:val="en-US"/>
        </w:rPr>
        <w:t>“ally”</w:t>
      </w:r>
      <w:r>
        <w:rPr>
          <w:rFonts w:hint="default" w:ascii="Times New Roman Regular" w:hAnsi="Times New Roman Regular" w:cs="Times New Roman Regular" w:eastAsiaTheme="minorEastAsia"/>
        </w:rPr>
        <w:t xml:space="preserve"> category, the author does not clearly distinguish between two very different dynamics: the papacy actively providing institutional templates to allied rulers, and the papacy merely not interfering while rulers developed their own institutions. If the papacy</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role with respect to England was primarily non-interference (as p. 82 suggests), then England</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institutional development is not evidence that the Church </w:t>
      </w:r>
      <w:r>
        <w:rPr>
          <w:rFonts w:hint="default" w:ascii="Times New Roman Regular" w:hAnsi="Times New Roman Regular" w:cs="Times New Roman Regular"/>
          <w:lang w:val="en-US"/>
        </w:rPr>
        <w:t>“drove”</w:t>
      </w:r>
      <w:r>
        <w:rPr>
          <w:rFonts w:hint="default" w:ascii="Times New Roman Regular" w:hAnsi="Times New Roman Regular" w:cs="Times New Roman Regular" w:eastAsiaTheme="minorEastAsia"/>
        </w:rPr>
        <w:t xml:space="preserve"> state formation there—only that the Church did not obstruct it. This distinction matters for the book</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overarching claim that the Church was a primary driver of European state formation: in the strongest cases for emulation, the Church may have been permissive rather than generative.</w:t>
      </w:r>
    </w:p>
    <w:p w14:paraId="1A4B935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 formal model—even a simple one—could discipline this argument considerably. For example, a two-player game in which the pope chooses rivalry or cooperation based on the ruler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threat level, and the ruler chooses to emulate or develop independent institutions based on the availability of alternative human capital, would generate clear comparative-static predictions about when each mechanism should activate and what observable patterns should follow. Without such formalization, the two chapters sit in tension rather than forming a unified theoretical framework.</w:t>
      </w:r>
    </w:p>
    <w:p w14:paraId="31A8806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5. 第二章与第三章之间的张力：竞争vs.效仿的边界条件理论化不足。</w:t>
      </w:r>
    </w:p>
    <w:p w14:paraId="070F9F5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二章和第三章呈现了同一组织（中世纪教会）影响国家形成的两个机制——竞争/碎片化和效仿/制度同构。但它们指向相反的方向：竞争延缓了集中化国家建设（第二章），而效仿则推进了它（第三章）。作者的隐含解决方案是：被激活的机制取决于教皇是否将某一统治者视为威胁或盟友。当统治者威胁到教皇的领土利益——尤其是试图控制北意大利和西西里 /ˈsɪsɪli/ 的霍亨施陶芬 /ˈhoʊənʃtaʊfən/ 皇帝——教皇部署竞争策略并产生碎片化。当教皇需要支持或至少不受干扰时——英格兰、法兰西、西班牙——它容忍甚至促进了王权集中化，统治者可以自由效仿教皇制度模式（第57、82页）。</w:t>
      </w:r>
    </w:p>
    <w:p w14:paraId="31BB81C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这一叙述在逻辑上是自洽的，作者也相当直接地陈述了它。但它并未充分理论化为一个具有可检验预测的条件化模型。什么决定了</w:t>
      </w:r>
      <w:r>
        <w:rPr>
          <w:rFonts w:hint="default" w:ascii="Times New Roman Regular" w:hAnsi="Times New Roman Regular" w:cs="Times New Roman Regular"/>
          <w:lang w:val="en-US"/>
        </w:rPr>
        <w:t>“威胁”</w:t>
      </w:r>
      <w:r>
        <w:rPr>
          <w:rFonts w:hint="default" w:ascii="Times New Roman Regular" w:hAnsi="Times New Roman Regular" w:cs="Times New Roman Regular" w:eastAsiaTheme="minorEastAsia"/>
        </w:rPr>
        <w:t>与</w:t>
      </w:r>
      <w:r>
        <w:rPr>
          <w:rFonts w:hint="default" w:ascii="Times New Roman Regular" w:hAnsi="Times New Roman Regular" w:cs="Times New Roman Regular"/>
          <w:lang w:val="en-US"/>
        </w:rPr>
        <w:t>“盟友”</w:t>
      </w:r>
      <w:r>
        <w:rPr>
          <w:rFonts w:hint="default" w:ascii="Times New Roman Regular" w:hAnsi="Times New Roman Regular" w:cs="Times New Roman Regular" w:eastAsiaTheme="minorEastAsia"/>
        </w:rPr>
        <w:t>的身份？是与教皇国的地理距离？是与教皇领地重叠的领土主张？作者既未形式化这些条件，也未系统性地检验它们。因此，该理论有沦为事后合理化的风险：当观察到教会造成碎片化时，调用竞争机制；当观察到教会促进国家建设时，调用效仿机制。此外，在</w:t>
      </w:r>
      <w:r>
        <w:rPr>
          <w:rFonts w:hint="default" w:ascii="Times New Roman Regular" w:hAnsi="Times New Roman Regular" w:cs="Times New Roman Regular"/>
          <w:lang w:val="en-US"/>
        </w:rPr>
        <w:t>“盟友”</w:t>
      </w:r>
      <w:r>
        <w:rPr>
          <w:rFonts w:hint="default" w:ascii="Times New Roman Regular" w:hAnsi="Times New Roman Regular" w:cs="Times New Roman Regular" w:eastAsiaTheme="minorEastAsia"/>
        </w:rPr>
        <w:t>类别内部，作者未清楚区分两种性质截然不同的动态：教皇主动向盟友统治者提供制度模板，与教皇仅仅不干预而统治者自行发展制度。如果教皇对英格兰的角色主要是不干预（如第82页所示），那么英格兰的制度发展就不是教会</w:t>
      </w:r>
      <w:r>
        <w:rPr>
          <w:rFonts w:hint="default" w:ascii="Times New Roman Regular" w:hAnsi="Times New Roman Regular" w:cs="Times New Roman Regular"/>
          <w:lang w:val="en-US"/>
        </w:rPr>
        <w:t>“驱动”</w:t>
      </w:r>
      <w:r>
        <w:rPr>
          <w:rFonts w:hint="default" w:ascii="Times New Roman Regular" w:hAnsi="Times New Roman Regular" w:cs="Times New Roman Regular" w:eastAsiaTheme="minorEastAsia"/>
        </w:rPr>
        <w:t>国家形成的证据——而仅仅是教会未加阻碍的证据。这一区分对该书的总体主张——教会是欧洲国家形成的主要驱动力量——至关重要：在效仿的最强案例中，教会的角色可能是许可性的而非生成性的。</w:t>
      </w:r>
    </w:p>
    <w:p w14:paraId="5C85CE1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一个形式模型——即使是简单的——可以显著规训这一论证。例如，一个教皇根据统治者的威胁程度选择竞争或合作、统治者根据替代人力资本的可获得性选择效仿或独立发展制度的双人博弈，可以生成关于每种机制何时应被激活以及应出现什么可观测模式的明确比较静态预测。缺少这种形式化，两章之间就处于张力状态，而非形成一个统一的理论框架。</w:t>
      </w:r>
    </w:p>
    <w:p w14:paraId="44D2695D">
      <w:pPr>
        <w:rPr>
          <w:rFonts w:hint="default" w:ascii="Times New Roman Regular" w:hAnsi="Times New Roman Regular" w:cs="Times New Roman Regular" w:eastAsiaTheme="minorEastAsia"/>
        </w:rPr>
      </w:pPr>
    </w:p>
    <w:p w14:paraId="27582A6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6. Conceptual ambiguity of fragmentation as a dependent variable.</w:t>
      </w:r>
    </w:p>
    <w:p w14:paraId="6B96345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author treats territorial fragmentation as the central outcome of papal-imperial rivalry and as a defining feature of the European state system. But fragmentation carries an ambiguous normative and analytical valence throughout the text. At times, the author frames it positively—as enabling the rise of communes, the equal standing of monarchs, and the competitive pluralism that scholars like Jones (1981), Mokyr (2017), and Hoffman (2015) credit with Europe</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subsequent economic dynamism (pp. 42, 55). At other times, she frames it as the papacy</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successful obstruction of centralized state building—Germany and Italy </w:t>
      </w:r>
      <w:r>
        <w:rPr>
          <w:rFonts w:hint="default" w:ascii="Times New Roman Regular" w:hAnsi="Times New Roman Regular" w:cs="Times New Roman Regular"/>
          <w:lang w:val="en-US"/>
        </w:rPr>
        <w:t>“remained decentralized, disorganized, and disunified until the 1870s”</w:t>
      </w:r>
      <w:r>
        <w:rPr>
          <w:rFonts w:hint="default" w:ascii="Times New Roman Regular" w:hAnsi="Times New Roman Regular" w:cs="Times New Roman Regular" w:eastAsiaTheme="minorEastAsia"/>
        </w:rPr>
        <w:t xml:space="preserve"> (p. 56), the HRE </w:t>
      </w:r>
      <w:r>
        <w:rPr>
          <w:rFonts w:hint="default" w:ascii="Times New Roman Regular" w:hAnsi="Times New Roman Regular" w:cs="Times New Roman Regular"/>
          <w:lang w:val="en-US"/>
        </w:rPr>
        <w:t>“never became a centralized territorial state”</w:t>
      </w:r>
      <w:r>
        <w:rPr>
          <w:rFonts w:hint="default" w:ascii="Times New Roman Regular" w:hAnsi="Times New Roman Regular" w:cs="Times New Roman Regular" w:eastAsiaTheme="minorEastAsia"/>
        </w:rPr>
        <w:t xml:space="preserve"> (p. 59). These are not the same analytical claim. The first treats fragmentation as a particular pathway of state formation (multi-centric, competitive); the second treats it as the absence of state formation (failed centralization). The operationalization—number of state boundaries per grid cell—does not distinguish between these two interpretations: a grid cell with many boundaries could reflect a vibrant ecology of self-governing communes or a chaotic patchwork of weak, contested jurisdictions.</w:t>
      </w:r>
    </w:p>
    <w:p w14:paraId="555646F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This conceptual tension is not fatal, but it needs to be explicitly managed. The author could resolve it by specifying that her DV measures the structure of political authority (centralized vs. fragmented), not its quality (effective vs. ineffective), and by treating fragmentation and centralization as distinct pathways rather than as success and failure on a single continuum.</w:t>
      </w:r>
    </w:p>
    <w:p w14:paraId="4EA0887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6. 碎片化作为因变量的概念模糊性。</w:t>
      </w:r>
    </w:p>
    <w:p w14:paraId="7D6544F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作者将领土碎片化视为教皇-帝国竞争的核心结果和欧洲国家体系的定义性特征。但碎片化在全文中承载着模糊的规范与分析含义。有时，作者将其正面框定——为公社的兴起、君主间的平等地位、以及Jones（1981）、Mokyr（2017）和Hoffman（2015）等学者认为带来欧洲后续经济活力的竞争性多元主义提供了条件（第42、55页）。有时，她将其框定为教皇成功阻断集中化国家建设——德意志和意大利</w:t>
      </w:r>
      <w:r>
        <w:rPr>
          <w:rFonts w:hint="default" w:ascii="Times New Roman Regular" w:hAnsi="Times New Roman Regular" w:cs="Times New Roman Regular"/>
          <w:lang w:val="en-US"/>
        </w:rPr>
        <w:t>“直到19世纪70年代仍然去中心化、无组织和不统一”</w:t>
      </w:r>
      <w:r>
        <w:rPr>
          <w:rFonts w:hint="default" w:ascii="Times New Roman Regular" w:hAnsi="Times New Roman Regular" w:cs="Times New Roman Regular" w:eastAsiaTheme="minorEastAsia"/>
        </w:rPr>
        <w:t>（第56页），神圣罗马帝国</w:t>
      </w:r>
      <w:r>
        <w:rPr>
          <w:rFonts w:hint="default" w:ascii="Times New Roman Regular" w:hAnsi="Times New Roman Regular" w:cs="Times New Roman Regular"/>
          <w:lang w:val="en-US"/>
        </w:rPr>
        <w:t>“从未成为集中化的领土国家”</w:t>
      </w:r>
      <w:r>
        <w:rPr>
          <w:rFonts w:hint="default" w:ascii="Times New Roman Regular" w:hAnsi="Times New Roman Regular" w:cs="Times New Roman Regular" w:eastAsiaTheme="minorEastAsia"/>
        </w:rPr>
        <w:t>（第59页）。这两种并非相同的分析主张。前者将碎片化视为国家形成的一种特定路径（多中心、竞争性的）；后者将其视为国家形成的缺失（集中化的失败）。操作化方式——每个网格单元中的国家边界数量——无法区分这两种解读：一个有许多边界的网格单元可能反映的是繁荣的自治公社生态，也可能是脆弱、争议性管辖权的混乱拼凑。</w:t>
      </w:r>
    </w:p>
    <w:p w14:paraId="7801A40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这种概念张力并非致命的，但需要被明确管理。作者可以通过以下方式加以解决：明确说明其因变量衡量的是政治权威的结构（集中化vs.碎片化），而非其质量（有效vs.无效），并将碎片化和集中化视为不同的路径，而非单一连续体上的成功与失败。</w:t>
      </w:r>
    </w:p>
    <w:p w14:paraId="7EEEC6D8">
      <w:pPr>
        <w:rPr>
          <w:rFonts w:hint="default" w:ascii="Times New Roman Regular" w:hAnsi="Times New Roman Regular" w:cs="Times New Roman Regular" w:eastAsiaTheme="minorEastAsia"/>
        </w:rPr>
      </w:pPr>
    </w:p>
    <w:p w14:paraId="799EEE81">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Extensions: Potential extensions and new research questions / 拓展：潜在的研究延伸与新研究问题</w:t>
      </w:r>
    </w:p>
    <w:p w14:paraId="1979DA5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Church fragmentation beyond Europe. A natural extension would test whether analogous religious-political dynamics produced similar fragmentation or institutional effects in other civilizations. Did competition between caliphs and local rulers in the Islamic world, or between the Orthodox Church and Byzantine emperors, produce comparable patterns? The negative case—why China, with no comparable autonomous religious institution, developed a centralized bureaucratic state much earlier—could be explored as a crucial test case.</w:t>
      </w:r>
    </w:p>
    <w:p w14:paraId="6BC9B16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Long-run economic consequences of Church-driven fragmentation. The </w:t>
      </w:r>
      <w:r>
        <w:rPr>
          <w:rFonts w:hint="default" w:ascii="Times New Roman Regular" w:hAnsi="Times New Roman Regular" w:cs="Times New Roman Regular"/>
          <w:lang w:val="en-US"/>
        </w:rPr>
        <w:t>“fragmentation as driver of economic dynamism”</w:t>
      </w:r>
      <w:r>
        <w:rPr>
          <w:rFonts w:hint="default" w:ascii="Times New Roman Regular" w:hAnsi="Times New Roman Regular" w:cs="Times New Roman Regular" w:eastAsiaTheme="minorEastAsia"/>
        </w:rPr>
        <w:t xml:space="preserve"> thesis (à la Jones 1981, Mokyr 2017) could be directly connected to the Church</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role. Did papal conflict areas subsequently exhibit higher economic growth, more innovation, or more competitive labor markets? Using Grzymala-Busse</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conflict data, one could test whether medieval papal conflict predicts long-run economic outcomes.</w:t>
      </w:r>
    </w:p>
    <w:p w14:paraId="6D6525E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Micro-level mechanisms of institutional transmission. Chapter 3</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argument about clerical-mediated institutional transfer could be tested with granular data on bishop careers, university enrollments, and the diffusion of specific administrative practices. Network analysis of bishop movements between Rome and royal courts could map the actual channels of institutional isomorphism. Prosopographic databases of medieval clergy would be valuable here.</w:t>
      </w:r>
    </w:p>
    <w:p w14:paraId="785B80A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Church and fiscal capacity. The Saladin Tithe story suggests a deeper exploration of the Church</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role in building fiscal capacity. One could test whether areas with denser Church infrastructure (parishes, monasteries, bishoprics) developed higher tax revenues earlier, controlling for other determinants of fiscal capacity.</w:t>
      </w:r>
    </w:p>
    <w:p w14:paraId="1403273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Endogenous papal strategy. The book treats papal strategy as the independent variable, but the papacy</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own institutional development and strategic choices were shaped by structural conditions. A formal model of papal-imperial bargaining—incorporating the information asymmetries, commitment problems, and alliance dynamics described in the text—could generate testable predictions about when popes chose spiritual vs. temporal weapons, and when fragmentation was an intended vs. unintended consequence.</w:t>
      </w:r>
    </w:p>
    <w:p w14:paraId="1B1F4D1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Post-Reformation divergence. The collinearity between papal conflict and Protestant status in the early modern period (models 7–10, Table 2.1) suggests a rich interaction between medieval Church-driven fragmentation and Reformation-era dynamics. One could explore whether the Reformation</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success itself was partly a consequence of prior papal fragmentation—i.e., whether areas most fragmented by medieval papal conflict were more likely to adopt Protestantism, creating a path-dependent feedback loop.</w:t>
      </w:r>
    </w:p>
    <w:p w14:paraId="57B6FF3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Church influence on representative institutions. Chapter 2 briefly notes that papal advocacy of royal elections empowered nobles against monarchs (p. 54), and Chapter 3 mentions parliaments as a control variable. But the Church</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role in the development of representative institutions—councils, diets, cortes—deserves its own systematic treatment, exploring whether conciliarism in the Church provided a model for secular constitutionalism.</w:t>
      </w:r>
    </w:p>
    <w:p w14:paraId="62CF051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教会碎片化效应的欧洲以外检验。 一个自然的延伸方向是检验类似的宗教-政治动态是否在其他文明中产生了类似的碎片化或制度效应。伊斯兰世界中哈里发与地方统治者之间的竞争，或东正教教会与拜占庭皇帝之间的竞争，是否产生了可比较的模式？反面案例——为什么没有可比拟的自治宗教机构的中国更早发展出集权化官僚国家——可以作为关键检验案例来探索。</w:t>
      </w:r>
    </w:p>
    <w:p w14:paraId="1E7A77A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教会驱动的碎片化的长期经济后果。 </w:t>
      </w:r>
      <w:r>
        <w:rPr>
          <w:rFonts w:hint="default" w:ascii="Times New Roman Regular" w:hAnsi="Times New Roman Regular" w:cs="Times New Roman Regular"/>
          <w:lang w:val="en-US"/>
        </w:rPr>
        <w:t>“碎片化作为经济活力驱动力”</w:t>
      </w:r>
      <w:r>
        <w:rPr>
          <w:rFonts w:hint="default" w:ascii="Times New Roman Regular" w:hAnsi="Times New Roman Regular" w:cs="Times New Roman Regular" w:eastAsiaTheme="minorEastAsia"/>
        </w:rPr>
        <w:t>的命题（Jones 1981, Mokyr 2017）可以直接与教会的角色联系起来。教皇冲突地区随后是否表现出更高的经济增长、更多的创新或更具竞争性的劳动力市场？利用Grzymala-Busse的冲突数据，可以检验中世纪教皇冲突是否预测长期经济结果。</w:t>
      </w:r>
    </w:p>
    <w:p w14:paraId="0305E2B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制度传播的微观机制。 第三章关于神职人员中介制度转移的论点可以通过主教职业生涯、大学入学和特定行政实践扩散的精细数据来检验。对主教在罗马与王室宫廷之间移动的网络分析可以映射制度同构的实际渠道。中世纪神职人员的群体传记数据库在此处很有价值。</w:t>
      </w:r>
    </w:p>
    <w:p w14:paraId="336C224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教会与财政能力。 萨拉丁什一税的故事提示可以更深入地探索教会在建设财政能力中的角色。可以检验教会基础设施（教区、修道院、主教区）更密集的地区是否更早发展出更高的税收收入，同时控制财政能力的其他决定因素。</w:t>
      </w:r>
    </w:p>
    <w:p w14:paraId="2A5FB4B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内生的教皇战略。 该书将教皇战略视为自变量，但教皇自身的制度发展和战略选择也受到结构性条件的塑造。一个关于教皇-帝国博弈的形式模型——纳入文本中描述的信息不对称、承诺问题和联盟动态——可以生成关于教皇何时选择精神武器与世俗武器、以及碎片化何时是预期后果与何时是意外后果的可检验预测。</w:t>
      </w:r>
    </w:p>
    <w:p w14:paraId="7243898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宗教改革后的分化。 早期现代时期教皇冲突与新教地位之间的共线性（模型7–10，表2.1）提示中世纪教会驱动的碎片化与宗教改革动态之间存在丰富的交互效应。可以探索宗教改革的成功本身是否部分是先前教皇碎片化的后果——即中世纪教皇冲突碎片化最严重的地区是否更可能采纳新教，形成路径依赖的反馈循环。</w:t>
      </w:r>
    </w:p>
    <w:p w14:paraId="5A2798C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教会对代议制度的影响。 第二章简要提到教皇倡导王室选举赋权贵族对抗君主（第54页），第三章提到议会作为控制变量。但教会在代议制度——教会会议、帝国议会、议会——发展中的角色值得自己的系统性研究，探索教会的公会主义（conciliarism）是否为世俗宪政主义提供了模板。</w:t>
      </w:r>
    </w:p>
    <w:p w14:paraId="58FF0F8C">
      <w:pPr>
        <w:rPr>
          <w:rFonts w:hint="default" w:ascii="Times New Roman Regular" w:hAnsi="Times New Roman Regular" w:cs="Times New Roman Regular" w:eastAsiaTheme="minorEastAsia"/>
        </w:rPr>
      </w:pPr>
    </w:p>
    <w:p w14:paraId="144528AD">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Note on Formal Models / 关于形式模型的说明</w:t>
      </w:r>
    </w:p>
    <w:p w14:paraId="619E062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These two chapters do not propose a formal (mathematical or game-theoretic) model. The empirical analysis in Chapter 2 relies on OLS regressions with two-way fixed effects, which is a standard reduced-form econometric approach rather than a structural model. No utility functions, equilibrium concepts, or optimization problems are specified. From an econometrics perspective, the key issues are: (1) the potential endogeneity of papal conflict (discussed above under Suggestions); (2) the reliance on two-way FE to absorb confounders, which requires strong assumptions about the absence of time-varying, unit-specific unobservables; and (3) the measurement-error-in-treatment problem, since </w:t>
      </w:r>
      <w:r>
        <w:rPr>
          <w:rFonts w:hint="default" w:ascii="Times New Roman Regular" w:hAnsi="Times New Roman Regular" w:cs="Times New Roman Regular"/>
          <w:lang w:val="en-US"/>
        </w:rPr>
        <w:t>“papal conflict”</w:t>
      </w:r>
      <w:r>
        <w:rPr>
          <w:rFonts w:hint="default" w:ascii="Times New Roman Regular" w:hAnsi="Times New Roman Regular" w:cs="Times New Roman Regular" w:eastAsiaTheme="minorEastAsia"/>
        </w:rPr>
        <w:t xml:space="preserve"> is coded from narrative sources and likely contains both false positives and false negatives. From a game-theoretic perspective, the interactions described—popes and emperors choosing spiritual vs. temporal strategies, rulers deciding whether to ally with the papacy—are rich bargaining and signaling games, but they are not formalized. This is a missed opportunity, as formal modeling could clarify under what conditions popes chose fragmentation as a deliberate strategy vs. when it was an unintended byproduct of other goals, and could generate sharper empirical predictions about the cross-sectional and temporal variation in papal strategies.</w:t>
      </w:r>
    </w:p>
    <w:p w14:paraId="1D5F901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这两章未提出形式（数学或博弈论）模型。第二章的实证分析依赖双向固定效应OLS回归，这是标准的简约式计量方法而非结构模型。未指定效用函数、均衡概念或优化问题。从计量经济学的角度看，关键问题是：（1）教皇冲突的潜在内生性（上文</w:t>
      </w:r>
      <w:r>
        <w:rPr>
          <w:rFonts w:hint="default" w:ascii="Times New Roman Regular" w:hAnsi="Times New Roman Regular" w:cs="Times New Roman Regular"/>
          <w:lang w:val="en-US"/>
        </w:rPr>
        <w:t>“建议”</w:t>
      </w:r>
      <w:r>
        <w:rPr>
          <w:rFonts w:hint="default" w:ascii="Times New Roman Regular" w:hAnsi="Times New Roman Regular" w:cs="Times New Roman Regular" w:eastAsiaTheme="minorEastAsia"/>
        </w:rPr>
        <w:t>部分已讨论）；（2）依赖双向固定效应吸收混淆因素，这要求关于不存在随时间变化且因单位而异的未观测变量的强假设；（3）处理变量中的测量误差问题，因为</w:t>
      </w:r>
      <w:r>
        <w:rPr>
          <w:rFonts w:hint="default" w:ascii="Times New Roman Regular" w:hAnsi="Times New Roman Regular" w:cs="Times New Roman Regular"/>
          <w:lang w:val="en-US"/>
        </w:rPr>
        <w:t>“教皇冲突”</w:t>
      </w:r>
      <w:r>
        <w:rPr>
          <w:rFonts w:hint="default" w:ascii="Times New Roman Regular" w:hAnsi="Times New Roman Regular" w:cs="Times New Roman Regular" w:eastAsiaTheme="minorEastAsia"/>
        </w:rPr>
        <w:t>从叙事性文献编码，可能包含假阳性和假阴性。从博弈论的角度看，文中描述的互动——教皇与皇帝选择精神vs.世俗策略、统治者决定是否与教皇结盟——构成了丰富的讨价还价和信号传递博弈，但未被形式化。这是一个遗漏的机会，因为形式建模可以厘清在什么条件下教皇将碎片化作为蓄意策略，何时它是其他目标的意外副产品，并可以对教皇策略的截面和时间变异生成更精确的实证预测。</w:t>
      </w:r>
    </w:p>
    <w:p w14:paraId="2E1BC984">
      <w:pPr>
        <w:rPr>
          <w:rFonts w:hint="default" w:ascii="Times New Roman Regular" w:hAnsi="Times New Roman Regular" w:cs="Times New Roman Regular" w:eastAsiaTheme="minorEastAsia"/>
        </w:rPr>
      </w:pPr>
    </w:p>
    <w:p w14:paraId="16FBE9D9">
      <w:pPr>
        <w:rPr>
          <w:rFonts w:hint="default" w:ascii="Times New Roman Regular" w:hAnsi="Times New Roman Regular" w:cs="Times New Roman Regular" w:eastAsiaTheme="minorEastAsia"/>
          <w:b/>
          <w:bCs/>
          <w:color w:val="0000FF"/>
          <w:kern w:val="44"/>
          <w:sz w:val="48"/>
          <w:szCs w:val="48"/>
          <w:lang w:val="en-US" w:eastAsia="zh-CN" w:bidi="ar"/>
        </w:rPr>
      </w:pPr>
      <w:r>
        <w:rPr>
          <w:rFonts w:hint="default" w:ascii="Times New Roman Regular" w:hAnsi="Times New Roman Regular" w:cs="Times New Roman Regular" w:eastAsiaTheme="minorEastAsia"/>
          <w:b/>
          <w:bCs/>
          <w:color w:val="0000FF"/>
          <w:kern w:val="44"/>
          <w:sz w:val="48"/>
          <w:szCs w:val="48"/>
          <w:lang w:val="en-US" w:eastAsia="zh-CN" w:bidi="ar"/>
        </w:rPr>
        <w:t xml:space="preserve">Lecture Notes: </w:t>
      </w:r>
      <w:r>
        <w:rPr>
          <w:rFonts w:hint="default" w:ascii="Times New Roman Regular" w:hAnsi="Times New Roman Regular" w:cs="Times New Roman Regular"/>
          <w:b/>
          <w:bCs/>
          <w:color w:val="0000FF"/>
          <w:kern w:val="44"/>
          <w:sz w:val="48"/>
          <w:szCs w:val="48"/>
          <w:lang w:val="en-US" w:eastAsia="zh-CN" w:bidi="ar"/>
        </w:rPr>
        <w:t>“From Investiture to Worms: European Development and the Rise of Political Authority”</w:t>
      </w:r>
    </w:p>
    <w:p w14:paraId="043B2DED">
      <w:pPr>
        <w:rPr>
          <w:rFonts w:hint="default" w:ascii="Times New Roman Regular" w:hAnsi="Times New Roman Regular" w:cs="Times New Roman Regular" w:eastAsiaTheme="minorEastAsia"/>
          <w:b/>
          <w:bCs/>
          <w:kern w:val="44"/>
          <w:sz w:val="48"/>
          <w:szCs w:val="48"/>
          <w:lang w:val="en-US" w:eastAsia="zh-CN" w:bidi="ar"/>
        </w:rPr>
      </w:pPr>
      <w:r>
        <w:rPr>
          <w:rFonts w:hint="default" w:ascii="Times New Roman Regular" w:hAnsi="Times New Roman Regular" w:cs="Times New Roman Regular" w:eastAsiaTheme="minorEastAsia"/>
          <w:b/>
          <w:bCs/>
          <w:color w:val="0000FF"/>
          <w:kern w:val="44"/>
          <w:sz w:val="48"/>
          <w:szCs w:val="48"/>
          <w:lang w:val="en-US" w:eastAsia="zh-CN" w:bidi="ar"/>
        </w:rPr>
        <w:t>讲义：</w:t>
      </w:r>
      <w:r>
        <w:rPr>
          <w:rFonts w:hint="default" w:ascii="Times New Roman Regular" w:hAnsi="Times New Roman Regular" w:cs="Times New Roman Regular"/>
          <w:b/>
          <w:bCs/>
          <w:color w:val="0000FF"/>
          <w:kern w:val="44"/>
          <w:sz w:val="48"/>
          <w:szCs w:val="48"/>
          <w:lang w:val="en-US" w:eastAsia="zh-CN" w:bidi="ar"/>
        </w:rPr>
        <w:t>“From Investiture to Worms：欧洲发展与政治权威的兴起”</w:t>
      </w:r>
    </w:p>
    <w:p w14:paraId="70DEAC7D">
      <w:pPr>
        <w:rPr>
          <w:rFonts w:hint="default" w:ascii="Times New Roman Regular" w:hAnsi="Times New Roman Regular" w:cs="Times New Roman Regular" w:eastAsiaTheme="minorEastAsia"/>
        </w:rPr>
      </w:pPr>
    </w:p>
    <w:p w14:paraId="5147707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Literature Name / 文献名称</w:t>
      </w:r>
    </w:p>
    <w:p w14:paraId="1BDFD2ED">
      <w:pPr>
        <w:rPr>
          <w:rFonts w:hint="default" w:ascii="Times New Roman Regular" w:hAnsi="Times New Roman Regular" w:cs="Times New Roman Regular" w:eastAsiaTheme="minorEastAsia"/>
        </w:rPr>
      </w:pPr>
      <w:r>
        <w:rPr>
          <w:rFonts w:hint="default" w:ascii="Times New Roman Regular" w:hAnsi="Times New Roman Regular" w:cs="Times New Roman Regular"/>
          <w:lang w:val="en-US"/>
        </w:rPr>
        <w:t>“From Investiture to Worms: European Development and the Rise of Political Authority,”</w:t>
      </w:r>
      <w:r>
        <w:rPr>
          <w:rFonts w:hint="default" w:ascii="Times New Roman Regular" w:hAnsi="Times New Roman Regular" w:cs="Times New Roman Regular" w:eastAsiaTheme="minorEastAsia"/>
        </w:rPr>
        <w:t xml:space="preserve"> published in The Journal of Politics, Volume 85, Number 3, July 2023, pp. 876–891.</w:t>
      </w:r>
    </w:p>
    <w:p w14:paraId="55E7F1E5">
      <w:pPr>
        <w:rPr>
          <w:rFonts w:hint="default" w:ascii="Times New Roman Regular" w:hAnsi="Times New Roman Regular" w:cs="Times New Roman Regular" w:eastAsiaTheme="minorEastAsia"/>
        </w:rPr>
      </w:pPr>
      <w:r>
        <w:rPr>
          <w:rFonts w:hint="default" w:ascii="Times New Roman Regular" w:hAnsi="Times New Roman Regular" w:cs="Times New Roman Regular"/>
          <w:lang w:val="en-US"/>
        </w:rPr>
        <w:t>“From Investiture to Worms: European Development and the Rise of Political Authority”</w:t>
      </w:r>
      <w:r>
        <w:rPr>
          <w:rFonts w:hint="default" w:ascii="Times New Roman Regular" w:hAnsi="Times New Roman Regular" w:cs="Times New Roman Regular" w:eastAsiaTheme="minorEastAsia"/>
        </w:rPr>
        <w:t>（</w:t>
      </w:r>
      <w:r>
        <w:rPr>
          <w:rFonts w:hint="default" w:ascii="Times New Roman Regular" w:hAnsi="Times New Roman Regular" w:cs="Times New Roman Regular"/>
          <w:lang w:val="en-US"/>
        </w:rPr>
        <w:t>“从叙任权之争到沃尔姆斯：欧洲发展与政治权威的兴起”</w:t>
      </w:r>
      <w:r>
        <w:rPr>
          <w:rFonts w:hint="default" w:ascii="Times New Roman Regular" w:hAnsi="Times New Roman Regular" w:cs="Times New Roman Regular" w:eastAsiaTheme="minorEastAsia"/>
        </w:rPr>
        <w:t>），发表于《The Journal of Politics》第85卷第3期，2023年7月，第876–891页。</w:t>
      </w:r>
    </w:p>
    <w:p w14:paraId="769B7AF0">
      <w:pPr>
        <w:rPr>
          <w:rFonts w:hint="default" w:ascii="Times New Roman Regular" w:hAnsi="Times New Roman Regular" w:cs="Times New Roman Regular" w:eastAsiaTheme="minorEastAsia"/>
        </w:rPr>
      </w:pPr>
    </w:p>
    <w:p w14:paraId="65E586B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Author(s) / 作者</w:t>
      </w:r>
    </w:p>
    <w:p w14:paraId="67DC7AB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Bruce Bueno de Mesquita /bruːs ˈbweɪnoʊ dɪ mɛˈskiːtə/, Silver Professor in the Wilf Family Department of Politics at New York University /njuː jɔːrk/; and Ethan Bueno de Mesquita /ˈiːθən ˈbweɪnoʊ dɪ mɛˈskiːtə/, Sydney Stein Professor in the Harris School of Public Policy at the University of Chicago /ʃɪˈkɑːɡoʊ/. The two authors are father and son. Bruce Bueno de Mesquita is one of the founders of the </w:t>
      </w:r>
      <w:r>
        <w:rPr>
          <w:rFonts w:hint="default" w:ascii="Times New Roman Regular" w:hAnsi="Times New Roman Regular" w:cs="Times New Roman Regular"/>
          <w:lang w:val="en-US"/>
        </w:rPr>
        <w:t>“selectorate theory”</w:t>
      </w:r>
      <w:r>
        <w:rPr>
          <w:rFonts w:hint="default" w:ascii="Times New Roman Regular" w:hAnsi="Times New Roman Regular" w:cs="Times New Roman Regular" w:eastAsiaTheme="minorEastAsia"/>
        </w:rPr>
        <w:t xml:space="preserve"> and is known for applying formal models to international relations and comparative politics. Ethan Bueno de Mesquita is a leading formal theorist in political economy.</w:t>
      </w:r>
    </w:p>
    <w:p w14:paraId="399B235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布鲁斯·布埃诺·德·梅斯基塔（Bruce Bueno de Mesquita /bruːs ˈbweɪnoʊ dɪ mɛˈskiːtə/），纽约大学（New York University /njuː jɔːrk/）政治学系Silver讲席教授；伊桑·布埃诺·德·梅斯基塔（Ethan Bueno de Mesquita /ˈiːθən ˈbweɪnoʊ dɪ mɛˈskiːtə/），芝加哥大学（University of Chicago /ʃɪˈkɑːɡoʊ/）哈里斯公共政策学院Sydney Stein讲席教授。两位作者是父子关系。布鲁斯是</w:t>
      </w:r>
      <w:r>
        <w:rPr>
          <w:rFonts w:hint="default" w:ascii="Times New Roman Regular" w:hAnsi="Times New Roman Regular" w:cs="Times New Roman Regular"/>
          <w:lang w:val="en-US"/>
        </w:rPr>
        <w:t>“选择者理论”</w:t>
      </w:r>
      <w:r>
        <w:rPr>
          <w:rFonts w:hint="default" w:ascii="Times New Roman Regular" w:hAnsi="Times New Roman Regular" w:cs="Times New Roman Regular" w:eastAsiaTheme="minorEastAsia"/>
        </w:rPr>
        <w:t>（selectorate theory）的创始人之一，以将形式模型应用于国际关系和比较政治学著称；伊桑是政治经济学形式理论领域的顶尖学者。</w:t>
      </w:r>
    </w:p>
    <w:p w14:paraId="1A86F675">
      <w:pPr>
        <w:rPr>
          <w:rFonts w:hint="default" w:ascii="Times New Roman Regular" w:hAnsi="Times New Roman Regular" w:cs="Times New Roman Regular" w:eastAsiaTheme="minorEastAsia"/>
        </w:rPr>
      </w:pPr>
    </w:p>
    <w:p w14:paraId="48431C1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Published Year / 出版年份</w:t>
      </w:r>
    </w:p>
    <w:p w14:paraId="088405C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2023 (published online April 27, 2023).</w:t>
      </w:r>
    </w:p>
    <w:p w14:paraId="7282422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2023年（2023年4月27日在线发表）。</w:t>
      </w:r>
    </w:p>
    <w:p w14:paraId="437E6D21">
      <w:pPr>
        <w:rPr>
          <w:rFonts w:hint="default" w:ascii="Times New Roman Regular" w:hAnsi="Times New Roman Regular" w:cs="Times New Roman Regular" w:eastAsiaTheme="minorEastAsia"/>
        </w:rPr>
      </w:pPr>
    </w:p>
    <w:p w14:paraId="746C8A0A">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DV: What is the main dependent variable? / 因变量：主要因变量是什么？</w:t>
      </w:r>
    </w:p>
    <w:p w14:paraId="0A153ED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main dependent variable is bishop alignment — whether a bishop in a given diocese was aligned with the church or with the lay political ruler. This is coded as a binary variable: Church Aligned equals 1 if the bishop</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prior position before appointment was a religious post (abbot, deacon, archdeacon) or if biographical information links the bishop specifically to the pope; it equals 0 if the bishop</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prior post was as an agent of the lay authorities (court ambassador, chancellor, etc.) or if biographical information specifically links the bishop to the secular ruler (p. 881). Of the 1,580 bishops whose alignment can be coded, 1,244 (79%) are classified as church aligned and 336 as lay aligned (p. 881). The broader theoretical dependent variable that bishop alignment proxies for is the relative political power of lay rulers versus the church — the rise of lay political authority. More aligned-with-the-ruler bishops in wealthier dioceses is taken as evidence that lay rulers had greater bargaining power there.</w:t>
      </w:r>
    </w:p>
    <w:p w14:paraId="0E683F8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主要因变量是主教的立场归属（bishop alignment）——即某教区的主教是与教会结盟还是与世俗政治统治者结盟。这被编码为二元变量：Church Aligned等于1，如果该主教在就任前担任的是宗教职位（如修道院院长、执事、副执事），或传记信息显示其与教皇有特别联系；等于0，如果该主教此前担任的是世俗当局的代理人（如宫廷大使、大臣等），或传记信息显示其与世俗统治者有特别联系（第881页）。在可以编码立场归属的1,580位主教中，1,244位（79%）被归类为教会结盟，336位为世俗统治者结盟（第881页）。主教立场归属所代理的更广泛的理论因变量是世俗统治者相对于教会的政治权力——即世俗政治权威的兴起。在较富裕教区出现更多亲统治者的主教，被视为世俗统治者在那里拥有更大议价权力的证据。</w:t>
      </w:r>
    </w:p>
    <w:p w14:paraId="12DDA900">
      <w:pPr>
        <w:rPr>
          <w:rFonts w:hint="default" w:ascii="Times New Roman Regular" w:hAnsi="Times New Roman Regular" w:cs="Times New Roman Regular" w:eastAsiaTheme="minorEastAsia"/>
        </w:rPr>
      </w:pPr>
    </w:p>
    <w:p w14:paraId="65BD1754">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IV: What is the main independent variable? / 自变量：主要自变量是什么？</w:t>
      </w:r>
    </w:p>
    <w:p w14:paraId="3DD7941C">
      <w:pPr>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eastAsiaTheme="minorEastAsia"/>
        </w:rPr>
        <w:t>The core causal shock in the paper is the adoption of the concordats, which changed bishop-selection rules by giving lay rulers veto power over bishop-nominees and making them residual claimants to diocesan revenues during interregna. Empirically, however, the paper’s key explanatory term is not concordat exposure alone but the interaction between concordat exposure and pre-concordat diocesan wealth. The authors’ claim is therefore about a heterogeneous institutional effect: the concordats increased lay rulers’ bargaining power more in wealthier dioceses than in poorer ones. In the regressions, this is captured by Concordats × Wealth</w:t>
      </w:r>
      <w:r>
        <w:rPr>
          <w:rFonts w:hint="default" w:ascii="Times New Roman Regular" w:hAnsi="Times New Roman Regular" w:cs="Times New Roman Regular"/>
          <w:lang w:val="en-US"/>
        </w:rPr>
        <w:t>.</w:t>
      </w:r>
    </w:p>
    <w:p w14:paraId="6627D8B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first is whether a concordat was in effect in a given diocese at the time a bishop was consecrated (the variable Concordats, coded as 1 for the concordat period and 0 otherwise). The second component is a time-invariant measure of diocesan wealth, measured in three ways: (1) whether the diocese</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seat was within 25 km of a major pre-concordat trade route (Traded); (2) whether the diocese had above-median pre-Columbian agricultural caloric potential (Calorie); and (3) whether the diocese contained a settlement of at least 5,000, 10,000, or 15,000 inhabitants before the concordats (Population5, Population10, Population15) (pp. 882–883). The key hypothesis is that the interaction coefficient β₂ (Concordats × Wealth) is negative — that is, the concordats caused bishops in wealthier dioceses to become more lay-aligned relative to bishops in poorer dioceses (p. 883).</w:t>
      </w:r>
    </w:p>
    <w:p w14:paraId="760225D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主要自变量是协约生效与教区财富之间的交互项。这不是一个简单的处理变量，而是一个双重差分的交互项。第一个成分是某教区在某主教被祝圣时是否有协约在效力范围内（变量Concordats，协约期间编码为1，否则为0）。第二个成分是教区财富的时间不变测度，通过三种方式衡量：（1）该教区的主教座堂是否在协约签订前的主要贸易路线25公里以内（Traded）；（2）该教区是否具有高于欧洲中位数的前哥伦布时期农业热量潜力（Calorie）；（3）该教区在协约签订前是否包含至少5,000、10,000或15,000居民的定居点（Population5, Population10, Population15）（第882–883页）。核心假说是交互项系数β₂（Concordats × Wealth）为负——即协约导致较富裕教区的主教相对于较贫穷教区的主教变得更加亲世俗统治者（第883页）。</w:t>
      </w:r>
    </w:p>
    <w:p w14:paraId="27B626C2">
      <w:pPr>
        <w:rPr>
          <w:rFonts w:hint="default" w:ascii="Times New Roman Regular" w:hAnsi="Times New Roman Regular" w:cs="Times New Roman Regular" w:eastAsiaTheme="minorEastAsia"/>
        </w:rPr>
      </w:pPr>
    </w:p>
    <w:p w14:paraId="698C3142">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 xml:space="preserve">Stateness: How is the </w:t>
      </w:r>
      <w:r>
        <w:rPr>
          <w:rFonts w:hint="default" w:ascii="Times New Roman Regular" w:hAnsi="Times New Roman Regular" w:cs="Times New Roman Regular"/>
          <w:highlight w:val="yellow"/>
          <w:lang w:val="en-US"/>
        </w:rPr>
        <w:t>“state”</w:t>
      </w:r>
      <w:r>
        <w:rPr>
          <w:rFonts w:hint="default" w:ascii="Times New Roman Regular" w:hAnsi="Times New Roman Regular" w:cs="Times New Roman Regular" w:eastAsiaTheme="minorEastAsia"/>
          <w:highlight w:val="yellow"/>
        </w:rPr>
        <w:t xml:space="preserve"> and/or </w:t>
      </w:r>
      <w:r>
        <w:rPr>
          <w:rFonts w:hint="default" w:ascii="Times New Roman Regular" w:hAnsi="Times New Roman Regular" w:cs="Times New Roman Regular"/>
          <w:highlight w:val="yellow"/>
          <w:lang w:val="en-US"/>
        </w:rPr>
        <w:t>“state building”</w:t>
      </w:r>
      <w:r>
        <w:rPr>
          <w:rFonts w:hint="default" w:ascii="Times New Roman Regular" w:hAnsi="Times New Roman Regular" w:cs="Times New Roman Regular" w:eastAsiaTheme="minorEastAsia"/>
          <w:highlight w:val="yellow"/>
        </w:rPr>
        <w:t xml:space="preserve"> conceptualized and measured? / 国家性：如何概念化和衡量</w:t>
      </w:r>
      <w:r>
        <w:rPr>
          <w:rFonts w:hint="default" w:ascii="Times New Roman Regular" w:hAnsi="Times New Roman Regular" w:cs="Times New Roman Regular"/>
          <w:highlight w:val="yellow"/>
          <w:lang w:val="en-US"/>
        </w:rPr>
        <w:t>“国家”</w:t>
      </w:r>
      <w:r>
        <w:rPr>
          <w:rFonts w:hint="default" w:ascii="Times New Roman Regular" w:hAnsi="Times New Roman Regular" w:cs="Times New Roman Regular" w:eastAsiaTheme="minorEastAsia"/>
          <w:highlight w:val="yellow"/>
        </w:rPr>
        <w:t>和/或</w:t>
      </w:r>
      <w:r>
        <w:rPr>
          <w:rFonts w:hint="default" w:ascii="Times New Roman Regular" w:hAnsi="Times New Roman Regular" w:cs="Times New Roman Regular"/>
          <w:highlight w:val="yellow"/>
          <w:lang w:val="en-US"/>
        </w:rPr>
        <w:t>“国家建设”</w:t>
      </w:r>
      <w:r>
        <w:rPr>
          <w:rFonts w:hint="default" w:ascii="Times New Roman Regular" w:hAnsi="Times New Roman Regular" w:cs="Times New Roman Regular" w:eastAsiaTheme="minorEastAsia"/>
          <w:highlight w:val="yellow"/>
        </w:rPr>
        <w:t>？</w:t>
      </w:r>
    </w:p>
    <w:p w14:paraId="74463C4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This paper does not adopt a conventional definition of the </w:t>
      </w:r>
      <w:r>
        <w:rPr>
          <w:rFonts w:hint="default" w:ascii="Times New Roman Regular" w:hAnsi="Times New Roman Regular" w:cs="Times New Roman Regular"/>
          <w:lang w:val="en-US"/>
        </w:rPr>
        <w:t>“state”</w:t>
      </w:r>
      <w:r>
        <w:rPr>
          <w:rFonts w:hint="default" w:ascii="Times New Roman Regular" w:hAnsi="Times New Roman Regular" w:cs="Times New Roman Regular" w:eastAsiaTheme="minorEastAsia"/>
        </w:rPr>
        <w:t xml:space="preserve"> as a Weberian territorial monopolist of legitimate violence. Instead, the paper conceptualizes the rise of lay political authority as a gradual, relational process in which secular rulers gained bargaining power vis-à-vis the Catholic Church. </w:t>
      </w:r>
      <w:r>
        <w:rPr>
          <w:rFonts w:hint="default" w:ascii="Times New Roman Regular" w:hAnsi="Times New Roman Regular" w:cs="Times New Roman Regular"/>
          <w:lang w:val="en-US"/>
        </w:rPr>
        <w:t>“State building”</w:t>
      </w:r>
      <w:r>
        <w:rPr>
          <w:rFonts w:hint="default" w:ascii="Times New Roman Regular" w:hAnsi="Times New Roman Regular" w:cs="Times New Roman Regular" w:eastAsiaTheme="minorEastAsia"/>
        </w:rPr>
        <w:t xml:space="preserve"> here means the accumulation of political control by lay rulers at the expense of the church, measured indirectly through the alignment of bishops. The paper is not about the emergence of bureaucratic states or the formation of territorial boundaries; it is about the shifting balance of power between two competing institutional authorities — church and crown — in local governance. The authors explicitly frame this as a story about the political preconditions for later developments such as the Protestant Reformation and parliamentary government, rather than about state formation per se (pp. 876–877, 890). In this sense,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contribution to the state formation literature is oblique: it identifies a mechanism — the concordat</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differential empowerment of lay rulers in wealthier dioceses — that preceded and potentially contributed to the emergence of sovereign, lay-controlled states, but it does not directly measure state capacity, territorial consolidation, or institutional development.</w:t>
      </w:r>
    </w:p>
    <w:p w14:paraId="614C126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本文并未采用韦伯式的</w:t>
      </w:r>
      <w:r>
        <w:rPr>
          <w:rFonts w:hint="default" w:ascii="Times New Roman Regular" w:hAnsi="Times New Roman Regular" w:cs="Times New Roman Regular"/>
          <w:lang w:val="en-US"/>
        </w:rPr>
        <w:t>“国家”</w:t>
      </w:r>
      <w:r>
        <w:rPr>
          <w:rFonts w:hint="default" w:ascii="Times New Roman Regular" w:hAnsi="Times New Roman Regular" w:cs="Times New Roman Regular" w:eastAsiaTheme="minorEastAsia"/>
        </w:rPr>
        <w:t>定义（即合法暴力的领土性垄断者）。相反，本文将世俗政治权威的兴起概念化为一个渐进的、关系性的过程，在此过程中世俗统治者相对于天主教会获得了议价权力。这里的</w:t>
      </w:r>
      <w:r>
        <w:rPr>
          <w:rFonts w:hint="default" w:ascii="Times New Roman Regular" w:hAnsi="Times New Roman Regular" w:cs="Times New Roman Regular"/>
          <w:lang w:val="en-US"/>
        </w:rPr>
        <w:t>“国家建设”</w:t>
      </w:r>
      <w:r>
        <w:rPr>
          <w:rFonts w:hint="default" w:ascii="Times New Roman Regular" w:hAnsi="Times New Roman Regular" w:cs="Times New Roman Regular" w:eastAsiaTheme="minorEastAsia"/>
        </w:rPr>
        <w:t>意味着世俗统治者以教会为代价积累政治控制权，通过主教的立场归属间接衡量。本文关注的不是官僚国家的出现或领土边界的形成，而是两个相互竞争的制度权威——教会与王权——在地方治理中的权力天平的移动。作者明确将此框定为关于后续发展（如宗教改革和议会政府）的政治前提条件的故事，而非关于国家形成本身（第876–877、890页）。从这个意义上说，本文对国家形成文献的贡献是间接的：它识别了一个机制——协约对较富裕教区世俗统治者的差异性赋权——这一机制先于并可能促成了主权的、世俗控制的国家的出现，但它并未直接衡量国家能力、领土整合或制度发展。</w:t>
      </w:r>
    </w:p>
    <w:p w14:paraId="77E9C989">
      <w:pPr>
        <w:rPr>
          <w:rFonts w:hint="default" w:ascii="Times New Roman Regular" w:hAnsi="Times New Roman Regular" w:cs="Times New Roman Regular" w:eastAsiaTheme="minorEastAsia"/>
        </w:rPr>
      </w:pPr>
    </w:p>
    <w:p w14:paraId="01BD66E2">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Argument: What is the core argument? / 论证：核心论点是什么？</w:t>
      </w:r>
    </w:p>
    <w:p w14:paraId="31F7E7D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core argument proceeds in three steps. First, the concordats of London /ˈlʌndən/ (1107), Paris /ˈpærɪs/ (1107), and Worms /wɜːrmz/ (1122) established a new institutional arrangement for appointing bishops: the church (specifically, the metropolitan archbishop) had the right to nominate a candidate, but the lay ruler had the right to accept or reject the nominee. Crucially, if the ruler rejected the nominee, the diocesan revenues during the resulting interregnum (the period without a bishop in office) would flow to the lay ruler rather than to the church. Before the concordats, under the canon established at the Council of Chalcedon /kælˈsiːdən/ in 451, interregnum revenues had been retained by the church</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own financial administrator (pp. 877–878).</w:t>
      </w:r>
    </w:p>
    <w:p w14:paraId="63EC15F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Second, this institutional change created a differential shift in bargaining power that depended on diocesan wealth. In wealthier dioceses, the revenue that the church stood to lose during an interregnum was larger, so the church had more to lose from having its nominee rejected. This meant the church faced stronger pressure to nominate bishops acceptable to the ruler in wealthier dioceses. In poorer dioceses, the revenue at stake was smaller, so the church could afford to be more insistent on its own preferred candidate. The net result: the concordats increased lay bargaining power in wealthier dioceses relative to poorer dioceses (pp. 877, 879–880).</w:t>
      </w:r>
    </w:p>
    <w:p w14:paraId="2BC9296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Third, this wealth-dependent bargaining dynamic created divergent incentives for economic development. Lay rulers had unambiguous incentives to promote economic growth, because increased diocesan wealth would further strengthen their bargaining position. The church, by contrast, had mixed or negative incentives: beyond a certain wealth threshold, increased local income cost the church more in lost bargaining power than it gained in additional revenue. This gave the church incentives to curtail economic development — for instance, through usury bans, restrictions on mechanization, and opposition to productive economic activity — or to divert revenues away from local bishops toward the papal center, where they would not affect bargaining under the concordats (pp. 880–881, 888–889).</w:t>
      </w:r>
    </w:p>
    <w:p w14:paraId="0446DAC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authors emphasize that their argument is about the relative shift in bargaining power between wealthy and poor dioceses, not about the absolute level of lay power. They do not claim the concordats necessarily increased lay power everywhere; they claim the concordats increased lay power more in wealthier places than in poorer ones (pp. 877, 883).</w:t>
      </w:r>
    </w:p>
    <w:p w14:paraId="333B50D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核心论证分三步展开。第一，伦敦（London /ˈlʌndən/，1107年）、巴黎（Paris /ˈpærɪs/，1107年）和沃尔姆斯（Worms /wɜːrmz/，1122年）协约确立了一套新的主教任命制度安排：教会（具体为大主教）拥有提名候选人的权利，但世俗统治者拥有接受或否决被提名者的权利。至关重要的是，如果统治者否决了被提名者，在由此产生的主教空缺期（interregnum，即无主教在任的时期）内，教区收入将流向世俗统治者而非教会。在协约之前，根据451年迦勒底公会议（Council of Chalcedon /kælˈsiːdən/）确立的教规，空缺期收入由教会自己的财务管理人保管（第877–878页）。</w:t>
      </w:r>
    </w:p>
    <w:p w14:paraId="64A6F1B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二，这一制度变迁产生了一种取决于教区财富的差异性议价权力转移。在较富裕的教区，教会在空缺期面临损失的收入更大，因此教会在被提名者被否决时承受更大损失。这意味着教会在较富裕教区面临更强的压力，需要提名统治者可以接受的主教。在较贫穷教区，涉及的收入较少，教会可以更坚持自己偏好的候选人。净结果是：协约增加了较富裕教区相对于较贫穷教区的世俗议价权力（第877、879–880页）。</w:t>
      </w:r>
    </w:p>
    <w:p w14:paraId="2F1DC61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三，这种依赖财富的议价动态为经济发展创造了分歧性激励。世俗统治者有明确的激励来促进经济增长，因为增加的教区财富将进一步加强他们的议价地位。教会则相反，拥有混合或负面的激励：超过一定的财富门槛后，地方收入的增加给教会带来的议价权力损失超过了额外收入的收益。这赋予了教会抑制经济发展的激励——例如，通过禁止高利贷、限制机械化、反对生产性经济活动——或者将收入从地方主教转移到教皇中心，使其不再影响协约框架下的议价（第880–881、888–889页）。</w:t>
      </w:r>
    </w:p>
    <w:p w14:paraId="498F492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作者强调，他们的论点是关于富裕教区与贫穷教区之间议价权力的相对转移，而非世俗权力的绝对水平。他们并不声称协约必然在所有地方都增加了世俗权力；他们声称协约在较富裕地区比在较贫穷地区更多地增加了世俗权力（第877、883页）。</w:t>
      </w:r>
    </w:p>
    <w:p w14:paraId="11F67594">
      <w:pPr>
        <w:rPr>
          <w:rFonts w:hint="default" w:ascii="Times New Roman Regular" w:hAnsi="Times New Roman Regular" w:cs="Times New Roman Regular" w:eastAsiaTheme="minorEastAsia"/>
        </w:rPr>
      </w:pPr>
    </w:p>
    <w:p w14:paraId="6F4DACBF">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Mechanisms: What mechanisms are proposed? / 机制：提出了哪些机制？</w:t>
      </w:r>
    </w:p>
    <w:p w14:paraId="64888BB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paper proposes one primary mechanism, formalized in a game-theoretic model, and one secondary mechanism supported by qualitative historical evidence.</w:t>
      </w:r>
    </w:p>
    <w:p w14:paraId="5319F32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Primary mechanism: Residual claimancy and bargaining power (pp. 878–880). The concordats made lay rulers the residual claimants of diocesan income during interregna. This meant that when the ruler rejected a bishop-nominee, the ruler gained income while the church lost it. The cost of disagreement was therefore higher for the church in wealthy dioceses than in poor ones. In the language of bargaining theory, the concordats shifted the </w:t>
      </w:r>
      <w:r>
        <w:rPr>
          <w:rFonts w:hint="default" w:ascii="Times New Roman Regular" w:hAnsi="Times New Roman Regular" w:cs="Times New Roman Regular"/>
          <w:lang w:val="en-US"/>
        </w:rPr>
        <w:t>“outside option”</w:t>
      </w:r>
      <w:r>
        <w:rPr>
          <w:rFonts w:hint="default" w:ascii="Times New Roman Regular" w:hAnsi="Times New Roman Regular" w:cs="Times New Roman Regular" w:eastAsiaTheme="minorEastAsia"/>
        </w:rPr>
        <w:t xml:space="preserve"> or </w:t>
      </w:r>
      <w:r>
        <w:rPr>
          <w:rFonts w:hint="default" w:ascii="Times New Roman Regular" w:hAnsi="Times New Roman Regular" w:cs="Times New Roman Regular"/>
          <w:lang w:val="en-US"/>
        </w:rPr>
        <w:t>“disagreement payoff”</w:t>
      </w:r>
      <w:r>
        <w:rPr>
          <w:rFonts w:hint="default" w:ascii="Times New Roman Regular" w:hAnsi="Times New Roman Regular" w:cs="Times New Roman Regular" w:eastAsiaTheme="minorEastAsia"/>
        </w:rPr>
        <w:t xml:space="preserve"> in favor of the ruler in wealthier dioceses. The church</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rational response was to nominate bishops who were more acceptable to the ruler in wealthier dioceses, in order to avoid costly interregna. The model formalizes this as an infinite-horizon bargaining game in which the church proposes and the ruler accepts or rejects.</w:t>
      </w:r>
    </w:p>
    <w:p w14:paraId="0C76056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本文提出了一个主要机制（通过博弈论模型形式化）和一个辅助机制（通过定性历史证据支持）。</w:t>
      </w:r>
    </w:p>
    <w:p w14:paraId="7C9727A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主要机制：剩余索取权与议价权力（第878–880页）。 协约使世俗统治者成为空缺期教区收入的剩余索取者。这意味着当统治者否决主教被提名者时，统治者获得收入而教会失去收入。因此，在富裕教区，分歧的成本对教会而言更高。用议价理论的语言来说，协约在较富裕教区将</w:t>
      </w:r>
      <w:r>
        <w:rPr>
          <w:rFonts w:hint="default" w:ascii="Times New Roman Regular" w:hAnsi="Times New Roman Regular" w:cs="Times New Roman Regular"/>
          <w:lang w:val="en-US"/>
        </w:rPr>
        <w:t>“外部选项”</w:t>
      </w:r>
      <w:r>
        <w:rPr>
          <w:rFonts w:hint="default" w:ascii="Times New Roman Regular" w:hAnsi="Times New Roman Regular" w:cs="Times New Roman Regular" w:eastAsiaTheme="minorEastAsia"/>
        </w:rPr>
        <w:t>或</w:t>
      </w:r>
      <w:r>
        <w:rPr>
          <w:rFonts w:hint="default" w:ascii="Times New Roman Regular" w:hAnsi="Times New Roman Regular" w:cs="Times New Roman Regular"/>
          <w:lang w:val="en-US"/>
        </w:rPr>
        <w:t>“分歧支付”</w:t>
      </w:r>
      <w:r>
        <w:rPr>
          <w:rFonts w:hint="default" w:ascii="Times New Roman Regular" w:hAnsi="Times New Roman Regular" w:cs="Times New Roman Regular" w:eastAsiaTheme="minorEastAsia"/>
        </w:rPr>
        <w:t>向有利于统治者的方向转移。教会的理性回应是在较富裕教区提名更能被统治者接受的主教，以避免代价高昂的空缺期。模型将此形式化为一个无限期议价博弈，其中教会提议、统治者接受或否决。</w:t>
      </w:r>
    </w:p>
    <w:p w14:paraId="6C70A0D7">
      <w:pPr>
        <w:rPr>
          <w:rFonts w:hint="default" w:ascii="Times New Roman Regular" w:hAnsi="Times New Roman Regular" w:cs="Times New Roman Regular" w:eastAsiaTheme="minorEastAsia"/>
        </w:rPr>
      </w:pPr>
    </w:p>
    <w:p w14:paraId="5B2B4EA9">
      <w:pPr>
        <w:rPr>
          <w:rFonts w:hint="default" w:ascii="Times New Roman Regular" w:hAnsi="Times New Roman Regular" w:cs="Times New Roman Regular" w:eastAsiaTheme="minorEastAsia"/>
          <w:highlight w:val="lightGray"/>
        </w:rPr>
      </w:pPr>
      <w:r>
        <w:rPr>
          <w:rFonts w:hint="default" w:ascii="Times New Roman Regular" w:hAnsi="Times New Roman Regular" w:cs="Times New Roman Regular" w:eastAsiaTheme="minorEastAsia"/>
          <w:highlight w:val="lightGray"/>
        </w:rPr>
        <w:t>To illustrate this mechanism with a historical example, the authors cite the case of Henry II /ˈhɛnri/ of England (reigned 1154–1189). After the assassination of Archbishop Becket /ˈbɛkɪt/, Henry held onto revenues from wealthy dioceses until he could appoint loyalist bishops. To the wealthy dioceses of Bath /bɑːθ/ and Norwich /ˈnɒrɪtʃ/, he appointed trusted royal agents — Reginald FitzJocelin /ˈrɛdʒɪnəld fɪtsˈdʒɒslɪn/ and John of Oxford /ˈdʒɒn əv ˈɒksfərd/ — but to the less wealthy and less important sees of Chichester /ˈtʃɪtʃɪstər/ and Hereford /ˈhɛrɪfərd/, he allowed obscure figures to be appointed (pp. 878, quoting Warren 1973).</w:t>
      </w:r>
    </w:p>
    <w:p w14:paraId="3EA8319A">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为阐明这一机制，作者引用了英格兰亨利二世（</w:t>
      </w:r>
      <w:r>
        <w:rPr>
          <w:rFonts w:hint="default" w:ascii="Times New Roman Regular" w:hAnsi="Times New Roman Regular" w:eastAsia="宋体" w:cs="Times New Roman Regular"/>
          <w:kern w:val="2"/>
          <w:sz w:val="21"/>
          <w:szCs w:val="21"/>
          <w:lang w:val="en-US" w:eastAsia="zh-CN" w:bidi="ar"/>
        </w:rPr>
        <w:t>Henry II /ˈhɛnri/</w:t>
      </w:r>
      <w:r>
        <w:rPr>
          <w:rFonts w:hint="eastAsia" w:ascii="宋体" w:hAnsi="宋体" w:eastAsia="宋体" w:cs="宋体"/>
          <w:kern w:val="2"/>
          <w:sz w:val="21"/>
          <w:szCs w:val="21"/>
          <w:lang w:val="en-US" w:eastAsia="zh-CN" w:bidi="ar"/>
        </w:rPr>
        <w:t>，在位</w:t>
      </w:r>
      <w:r>
        <w:rPr>
          <w:rFonts w:hint="default" w:ascii="Times New Roman Regular" w:hAnsi="Times New Roman Regular" w:eastAsia="Times New Roman Regular" w:cs="Times New Roman Regular"/>
          <w:kern w:val="2"/>
          <w:sz w:val="21"/>
          <w:szCs w:val="21"/>
          <w:lang w:val="en-US" w:eastAsia="zh-CN" w:bidi="ar"/>
        </w:rPr>
        <w:t>1154–1189</w:t>
      </w:r>
      <w:r>
        <w:rPr>
          <w:rFonts w:hint="eastAsia" w:ascii="宋体" w:hAnsi="宋体" w:eastAsia="宋体" w:cs="宋体"/>
          <w:kern w:val="2"/>
          <w:sz w:val="21"/>
          <w:szCs w:val="21"/>
          <w:lang w:val="en-US" w:eastAsia="zh-CN" w:bidi="ar"/>
        </w:rPr>
        <w:t>年）的历史案例。在坎特伯雷大主教贝克特（</w:t>
      </w:r>
      <w:r>
        <w:rPr>
          <w:rFonts w:hint="default" w:ascii="Times New Roman Regular" w:hAnsi="Times New Roman Regular" w:eastAsia="Times New Roman Regular" w:cs="Times New Roman Regular"/>
          <w:kern w:val="2"/>
          <w:sz w:val="21"/>
          <w:szCs w:val="21"/>
          <w:lang w:val="en-US" w:eastAsia="zh-CN" w:bidi="ar"/>
        </w:rPr>
        <w:t>Becket /ˈbɛkɪt/</w:t>
      </w:r>
      <w:r>
        <w:rPr>
          <w:rFonts w:hint="eastAsia" w:ascii="宋体" w:hAnsi="宋体" w:eastAsia="宋体" w:cs="宋体"/>
          <w:kern w:val="2"/>
          <w:sz w:val="21"/>
          <w:szCs w:val="21"/>
          <w:lang w:val="en-US" w:eastAsia="zh-CN" w:bidi="ar"/>
        </w:rPr>
        <w:t>）被刺杀后，亨利扣留了富裕教区的收入，直到他能够任命效忠于自己的主教。对于富裕的巴斯（</w:t>
      </w:r>
      <w:r>
        <w:rPr>
          <w:rFonts w:hint="default" w:ascii="Times New Roman Regular" w:hAnsi="Times New Roman Regular" w:eastAsia="Times New Roman Regular" w:cs="Times New Roman Regular"/>
          <w:kern w:val="2"/>
          <w:sz w:val="21"/>
          <w:szCs w:val="21"/>
          <w:lang w:val="en-US" w:eastAsia="zh-CN" w:bidi="ar"/>
        </w:rPr>
        <w:t>Bath /bɑːθ/</w:t>
      </w:r>
      <w:r>
        <w:rPr>
          <w:rFonts w:hint="eastAsia" w:ascii="宋体" w:hAnsi="宋体" w:eastAsia="宋体" w:cs="宋体"/>
          <w:kern w:val="2"/>
          <w:sz w:val="21"/>
          <w:szCs w:val="21"/>
          <w:lang w:val="en-US" w:eastAsia="zh-CN" w:bidi="ar"/>
        </w:rPr>
        <w:t>）和诺里奇（</w:t>
      </w:r>
      <w:r>
        <w:rPr>
          <w:rFonts w:hint="default" w:ascii="Times New Roman Regular" w:hAnsi="Times New Roman Regular" w:eastAsia="Times New Roman Regular" w:cs="Times New Roman Regular"/>
          <w:kern w:val="2"/>
          <w:sz w:val="21"/>
          <w:szCs w:val="21"/>
          <w:lang w:val="en-US" w:eastAsia="zh-CN" w:bidi="ar"/>
        </w:rPr>
        <w:t>Norwich /ˈnɒrɪtʃ/</w:t>
      </w:r>
      <w:r>
        <w:rPr>
          <w:rFonts w:hint="eastAsia" w:ascii="宋体" w:hAnsi="宋体" w:eastAsia="宋体" w:cs="宋体"/>
          <w:kern w:val="2"/>
          <w:sz w:val="21"/>
          <w:szCs w:val="21"/>
          <w:lang w:val="en-US" w:eastAsia="zh-CN" w:bidi="ar"/>
        </w:rPr>
        <w:t>）教区，他任命了可信赖的王室代理人</w:t>
      </w:r>
      <w:r>
        <w:rPr>
          <w:rFonts w:hint="default" w:ascii="Times New Roman Regular" w:hAnsi="Times New Roman Regular" w:eastAsia="Times New Roman Regular" w:cs="Times New Roman Regular"/>
          <w:kern w:val="2"/>
          <w:sz w:val="21"/>
          <w:szCs w:val="21"/>
          <w:lang w:val="en-US" w:eastAsia="zh-CN" w:bidi="ar"/>
        </w:rPr>
        <w:t>——</w:t>
      </w:r>
      <w:r>
        <w:rPr>
          <w:rFonts w:hint="eastAsia" w:ascii="宋体" w:hAnsi="宋体" w:eastAsia="宋体" w:cs="宋体"/>
          <w:kern w:val="2"/>
          <w:sz w:val="21"/>
          <w:szCs w:val="21"/>
          <w:lang w:val="en-US" w:eastAsia="zh-CN" w:bidi="ar"/>
        </w:rPr>
        <w:t>雷金纳德</w:t>
      </w:r>
      <w:r>
        <w:rPr>
          <w:rFonts w:hint="default" w:ascii="Times New Roman Regular" w:hAnsi="Times New Roman Regular" w:eastAsia="Times New Roman Regular" w:cs="Times New Roman Regular"/>
          <w:kern w:val="2"/>
          <w:sz w:val="21"/>
          <w:szCs w:val="21"/>
          <w:lang w:val="en-US" w:eastAsia="zh-CN" w:bidi="ar"/>
        </w:rPr>
        <w:t>·</w:t>
      </w:r>
      <w:r>
        <w:rPr>
          <w:rFonts w:hint="eastAsia" w:ascii="宋体" w:hAnsi="宋体" w:eastAsia="宋体" w:cs="宋体"/>
          <w:kern w:val="2"/>
          <w:sz w:val="21"/>
          <w:szCs w:val="21"/>
          <w:lang w:val="en-US" w:eastAsia="zh-CN" w:bidi="ar"/>
        </w:rPr>
        <w:t>菲茨约瑟林（</w:t>
      </w:r>
      <w:r>
        <w:rPr>
          <w:rFonts w:hint="default" w:ascii="Times New Roman Regular" w:hAnsi="Times New Roman Regular" w:eastAsia="Times New Roman Regular" w:cs="Times New Roman Regular"/>
          <w:kern w:val="2"/>
          <w:sz w:val="21"/>
          <w:szCs w:val="21"/>
          <w:lang w:val="en-US" w:eastAsia="zh-CN" w:bidi="ar"/>
        </w:rPr>
        <w:t>Reginald FitzJocelin /ˈrɛdʒɪnəld fɪtsˈdʒɒslɪn/</w:t>
      </w:r>
      <w:r>
        <w:rPr>
          <w:rFonts w:hint="eastAsia" w:ascii="宋体" w:hAnsi="宋体" w:eastAsia="宋体" w:cs="宋体"/>
          <w:kern w:val="2"/>
          <w:sz w:val="21"/>
          <w:szCs w:val="21"/>
          <w:lang w:val="en-US" w:eastAsia="zh-CN" w:bidi="ar"/>
        </w:rPr>
        <w:t>）和牛津的约翰（</w:t>
      </w:r>
      <w:r>
        <w:rPr>
          <w:rFonts w:hint="default" w:ascii="Times New Roman Regular" w:hAnsi="Times New Roman Regular" w:eastAsia="Times New Roman Regular" w:cs="Times New Roman Regular"/>
          <w:kern w:val="2"/>
          <w:sz w:val="21"/>
          <w:szCs w:val="21"/>
          <w:lang w:val="en-US" w:eastAsia="zh-CN" w:bidi="ar"/>
        </w:rPr>
        <w:t>John of Oxford /ˈdʒɒn əv ˈɒksfərd/</w:t>
      </w:r>
      <w:r>
        <w:rPr>
          <w:rFonts w:hint="eastAsia" w:ascii="宋体" w:hAnsi="宋体" w:eastAsia="宋体" w:cs="宋体"/>
          <w:kern w:val="2"/>
          <w:sz w:val="21"/>
          <w:szCs w:val="21"/>
          <w:lang w:val="en-US" w:eastAsia="zh-CN" w:bidi="ar"/>
        </w:rPr>
        <w:t>）</w:t>
      </w:r>
      <w:r>
        <w:rPr>
          <w:rFonts w:hint="default" w:ascii="Times New Roman Regular" w:hAnsi="Times New Roman Regular" w:eastAsia="Times New Roman Regular" w:cs="Times New Roman Regular"/>
          <w:kern w:val="2"/>
          <w:sz w:val="21"/>
          <w:szCs w:val="21"/>
          <w:lang w:val="en-US" w:eastAsia="zh-CN" w:bidi="ar"/>
        </w:rPr>
        <w:t>——</w:t>
      </w:r>
      <w:r>
        <w:rPr>
          <w:rFonts w:hint="eastAsia" w:ascii="宋体" w:hAnsi="宋体" w:eastAsia="宋体" w:cs="宋体"/>
          <w:kern w:val="2"/>
          <w:sz w:val="21"/>
          <w:szCs w:val="21"/>
          <w:lang w:val="en-US" w:eastAsia="zh-CN" w:bidi="ar"/>
        </w:rPr>
        <w:t>但对于较不富裕且不太重要的奇切斯特（</w:t>
      </w:r>
      <w:r>
        <w:rPr>
          <w:rFonts w:hint="default" w:ascii="Times New Roman Regular" w:hAnsi="Times New Roman Regular" w:eastAsia="Times New Roman Regular" w:cs="Times New Roman Regular"/>
          <w:kern w:val="2"/>
          <w:sz w:val="21"/>
          <w:szCs w:val="21"/>
          <w:lang w:val="en-US" w:eastAsia="zh-CN" w:bidi="ar"/>
        </w:rPr>
        <w:t>Chichester /ˈtʃɪtʃɪstər/</w:t>
      </w:r>
      <w:r>
        <w:rPr>
          <w:rFonts w:hint="eastAsia" w:ascii="宋体" w:hAnsi="宋体" w:eastAsia="宋体" w:cs="宋体"/>
          <w:kern w:val="2"/>
          <w:sz w:val="21"/>
          <w:szCs w:val="21"/>
          <w:lang w:val="en-US" w:eastAsia="zh-CN" w:bidi="ar"/>
        </w:rPr>
        <w:t>）和赫里福德（</w:t>
      </w:r>
      <w:r>
        <w:rPr>
          <w:rFonts w:hint="default" w:ascii="Times New Roman Regular" w:hAnsi="Times New Roman Regular" w:eastAsia="Times New Roman Regular" w:cs="Times New Roman Regular"/>
          <w:kern w:val="2"/>
          <w:sz w:val="21"/>
          <w:szCs w:val="21"/>
          <w:lang w:val="en-US" w:eastAsia="zh-CN" w:bidi="ar"/>
        </w:rPr>
        <w:t>Hereford /ˈhɛrɪfərd/</w:t>
      </w:r>
      <w:r>
        <w:rPr>
          <w:rFonts w:hint="eastAsia" w:ascii="宋体" w:hAnsi="宋体" w:eastAsia="宋体" w:cs="宋体"/>
          <w:kern w:val="2"/>
          <w:sz w:val="21"/>
          <w:szCs w:val="21"/>
          <w:lang w:val="en-US" w:eastAsia="zh-CN" w:bidi="ar"/>
        </w:rPr>
        <w:t>）教区，他允许默默无闻的人物被任命（第</w:t>
      </w:r>
      <w:r>
        <w:rPr>
          <w:rFonts w:hint="default" w:ascii="Times New Roman Regular" w:hAnsi="Times New Roman Regular" w:eastAsia="Times New Roman Regular" w:cs="Times New Roman Regular"/>
          <w:kern w:val="2"/>
          <w:sz w:val="21"/>
          <w:szCs w:val="21"/>
          <w:lang w:val="en-US" w:eastAsia="zh-CN" w:bidi="ar"/>
        </w:rPr>
        <w:t>878</w:t>
      </w:r>
      <w:r>
        <w:rPr>
          <w:rFonts w:hint="eastAsia" w:ascii="宋体" w:hAnsi="宋体" w:eastAsia="宋体" w:cs="宋体"/>
          <w:kern w:val="2"/>
          <w:sz w:val="21"/>
          <w:szCs w:val="21"/>
          <w:lang w:val="en-US" w:eastAsia="zh-CN" w:bidi="ar"/>
        </w:rPr>
        <w:t>页，引用</w:t>
      </w:r>
      <w:r>
        <w:rPr>
          <w:rFonts w:hint="default" w:ascii="Times New Roman Regular" w:hAnsi="Times New Roman Regular" w:eastAsia="Times New Roman Regular" w:cs="Times New Roman Regular"/>
          <w:kern w:val="2"/>
          <w:sz w:val="21"/>
          <w:szCs w:val="21"/>
          <w:lang w:val="en-US" w:eastAsia="zh-CN" w:bidi="ar"/>
        </w:rPr>
        <w:t>Warren 1973</w:t>
      </w:r>
      <w:r>
        <w:rPr>
          <w:rFonts w:hint="eastAsia" w:ascii="宋体" w:hAnsi="宋体" w:eastAsia="宋体" w:cs="宋体"/>
          <w:kern w:val="2"/>
          <w:sz w:val="21"/>
          <w:szCs w:val="21"/>
          <w:lang w:val="en-US" w:eastAsia="zh-CN" w:bidi="ar"/>
        </w:rPr>
        <w:t>）。</w:t>
      </w:r>
    </w:p>
    <w:p w14:paraId="5A444D42">
      <w:pPr>
        <w:keepNext w:val="0"/>
        <w:keepLines w:val="0"/>
        <w:widowControl w:val="0"/>
        <w:suppressLineNumbers w:val="0"/>
        <w:spacing w:before="0" w:beforeAutospacing="0" w:after="0" w:afterAutospacing="0"/>
        <w:ind w:left="0" w:right="0"/>
        <w:jc w:val="both"/>
        <w:rPr>
          <w:rFonts w:hint="default" w:ascii="宋体" w:hAnsi="宋体" w:eastAsia="宋体" w:cs="宋体"/>
          <w:kern w:val="2"/>
          <w:sz w:val="21"/>
          <w:szCs w:val="21"/>
          <w:lang w:val="en-US" w:eastAsia="zh-CN" w:bidi="ar"/>
        </w:rPr>
      </w:pPr>
    </w:p>
    <w:p w14:paraId="735F571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Secondary mechanism: a wedge in incentives over economic development.</w:t>
      </w:r>
    </w:p>
    <w:p w14:paraId="680CC29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model also implies that the concordats created at least one force pushing lay rulers and church leaders toward different development incentives. Lay rulers benefit politically from greater diocesan wealth because it strengthens their bargaining position. The church faces more mixed incentives: at higher levels of wealth, greater local income can reduce its bargaining power enough to offset the gains from higher revenue. On this basis, the authors suggest that church leaders could have had incentives to restrain development, while lay rulers had incentives to promote it. However, this second mechanism is more speculative and more weakly supported empirically than the primary bargaining mechanism; the paper explores it with qualitative illustrations and limited quantitative evidence rather than establishing it decisively.</w:t>
      </w:r>
    </w:p>
    <w:p w14:paraId="6DE4419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模型进一步表明，协约至少创造出一种力量，使世俗统治者与教会在经济发展问题上的激励出现分化。世俗统治者会从更高的教区财富中获得政治上的好处，因为财富增长会增强他们的议价地位；而教会的激励则更复杂：当财富较高时，地方收入增加带来的议价权力损失，可能超过它从收入本身获得的收益。基于这一点，作者提出教会可能有动力限制经济发展，而世俗统治者则有动力促进经济发展。但需要强调，这第二条机制的证据明显弱于第一条：作者只是用模型推导、一些历史例证和有限的定量分析来加以探索，而不是对其进行了强有力的因果证明。</w:t>
      </w:r>
    </w:p>
    <w:p w14:paraId="5A08131D">
      <w:pPr>
        <w:rPr>
          <w:rFonts w:hint="default" w:ascii="Times New Roman Regular" w:hAnsi="Times New Roman Regular" w:cs="Times New Roman Regular" w:eastAsiaTheme="minorEastAsia"/>
          <w:highlight w:val="lightGray"/>
        </w:rPr>
      </w:pPr>
      <w:r>
        <w:rPr>
          <w:rFonts w:hint="default" w:ascii="Times New Roman Regular" w:hAnsi="Times New Roman Regular" w:cs="Times New Roman Regular" w:eastAsiaTheme="minorEastAsia"/>
          <w:highlight w:val="lightGray"/>
        </w:rPr>
        <w:t>On the church side: the Lateran Councils /ˈlætərən/ (1123, 1139, 1179, 1215) banned usury, restricting credit and slowing economic development; the church opposed labor-saving mechanization (e.g., mills) during the 12th century; and the church diverted revenues from local bishops to the papal center through new monastic orders (Cistercians /sɪˈstɜːrʃənz/, Knights Templar /ˈtɛmplər/, Knights Hospitaler /ˈhɒspɪtələr/) that were exempted from local episcopal control and taxation (pp. 888–889). On the lay ruler side: Henry II of England introduced legal reforms (writs protecting tenant farmer</w:t>
      </w:r>
      <w:r>
        <w:rPr>
          <w:rFonts w:hint="default" w:ascii="Times New Roman Regular" w:hAnsi="Times New Roman Regular" w:cs="Times New Roman Regular"/>
          <w:highlight w:val="lightGray"/>
          <w:lang w:val="en-US"/>
        </w:rPr>
        <w:t>s’</w:t>
      </w:r>
      <w:r>
        <w:rPr>
          <w:rFonts w:hint="default" w:ascii="Times New Roman Regular" w:hAnsi="Times New Roman Regular" w:cs="Times New Roman Regular" w:eastAsiaTheme="minorEastAsia"/>
          <w:highlight w:val="lightGray"/>
        </w:rPr>
        <w:t xml:space="preserve"> property rights, writs restricting ecclesiastical rights) that promoted economic development; Richard the Lionheart /ˈrɪtʃərd/ increased taxes on church property; King John /dʒɒn/ seized church lands; Philip IV /ˈfɪlɪp/ of France followed a similar path (pp. 889–890).</w:t>
      </w:r>
    </w:p>
    <w:p w14:paraId="17EF788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highlight w:val="lightGray"/>
        </w:rPr>
        <w:t>作者为双方提供了定性证据。教会方面：拉特兰公会议（Lateran Councils /ˈlætərən/，1123、1139、1179、1215年）禁止高利贷，限制了信贷并减缓了经济发展；教会在12世纪反对节省劳动力的机械化（如水磨）；教会通过新的修道院组织（熙笃会 Cistercians /sɪˈstɜːrʃənz/、圣殿骑士团 Knights Templar /ˈtɛmplər/、医院骑士团 Knights Hospitaler /ˈhɒspɪtələr/）将收入从地方主教转移到教皇中心，这些修道会被免除了地方主教管辖和税收（第888–889页）。世俗统治者方面：英格兰亨利二世引入法律改革（保护佃农产权的令状、限制教会权利的令状）促进了经济发展；狮心王理查（Richard the Lionheart /ˈrɪtʃərd/）增加了对教会财产的征税；约翰王（King John /dʒɒn/）没收教会土地；法国腓力四世（Philip IV /ˈfɪlɪp/）采取了类似路径（第889–890页）。</w:t>
      </w:r>
    </w:p>
    <w:p w14:paraId="33EB12CF">
      <w:pPr>
        <w:rPr>
          <w:rFonts w:hint="default" w:ascii="Times New Roman Regular" w:hAnsi="Times New Roman Regular" w:cs="Times New Roman Regular" w:eastAsiaTheme="minorEastAsia"/>
        </w:rPr>
      </w:pPr>
    </w:p>
    <w:p w14:paraId="150C4E9F">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Formal Model Appendix / 形式模型附录</w:t>
      </w:r>
    </w:p>
    <w:p w14:paraId="5DAA43D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paper presents a formal (game-theoretic) model of bishop selection under the concordats. Here we lay out its structure, key results, and a critical assessment.</w:t>
      </w:r>
    </w:p>
    <w:p w14:paraId="230578C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Setup (pp. 879–880). There are two players: the church and the (lay) ruler. The game is an infinite-horizon, discrete-time game with discounting (discount factor δ ∈ (0,1)). At the start of each period in which no bishop is in office, the church nominates a candidate with policy position r_t ∈ [r̲, r̄] ⊂ ℝ. The ruler then accepts or rejects. If accepted, the nominated bishop serves for the remainder of the game. If rejected, there is no bishop in that period, and the game continues to the next period. In each period, the diocese generates income y &gt; 0. When a bishop of position r is in office, the church receives λ_C · r + (1 − λ_C) · y per period, where λ_C ∈ (0,1) is the weight the church puts on policy relative to income. When no bishop is in office, the church receives only λ_C · q (where q is a status quo policy) — crucially, the church receives no income during interregna. The ruler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payoff when rejecting is −λ_R · q + (1 − λ_R) · y − c, where c &gt; 0 represents the church</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punishment costs (e.g., excommunication). The ruler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payoff from accepting a bishop of position r in period t is −λ_R · r + ε_t (where ε_t is an i.i.d. random shock drawn from a log-concave distribution F). The ruler values lower r (i.e., bishops more aligned with himself), while the church values higher r (bishops more aligned with itself). Lower r on the scale [r̲, r̄] means the bishop is more lay-aligned; higher r means more church-aligned.</w:t>
      </w:r>
    </w:p>
    <w:p w14:paraId="2515977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Key institutional feature modeled. The critical concordat rule is captured by the asymmetry in income allocation: during interregna, the ruler receives the diocesan income y (the </w:t>
      </w:r>
      <w:r>
        <w:rPr>
          <w:rFonts w:hint="default" w:ascii="Times New Roman Regular" w:hAnsi="Times New Roman Regular" w:cs="Times New Roman Regular"/>
          <w:lang w:val="en-US"/>
        </w:rPr>
        <w:t>“residual claimant”</w:t>
      </w:r>
      <w:r>
        <w:rPr>
          <w:rFonts w:hint="default" w:ascii="Times New Roman Regular" w:hAnsi="Times New Roman Regular" w:cs="Times New Roman Regular" w:eastAsiaTheme="minorEastAsia"/>
        </w:rPr>
        <w:t xml:space="preserve"> feature), while the church receives none. Before the concordats, the church would have retained this income.</w:t>
      </w:r>
    </w:p>
    <w:p w14:paraId="1CF9669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Equilibrium (pp. 879–880). The authors study pure strategy subgame perfect Nash equilibria in stationary strategies. Lemma 1 establishes that the ruler always uses a cutoff rule: accept if ε_t exceeds a threshold ε*(r_t), reject otherwise. Lemma 2 shows that if the church uses a stationary strategy, the ruler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best response is also stationary. Lemma 3 shows the church has a unique stationary best response r* to the ruler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stationary strategy. The church</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optimal nomination depends on y: there exist thresholds y̲ &lt; ȳ such that r* = r̄ (full church alignment) if y &lt; y̲, r* = r̲ (full ruler alignment) if y &gt; ȳ, and r* is interior and determined by a first-order condition for intermediate y. Proposition 1 combines these lemmas to establish existence of a stationary equilibrium.</w:t>
      </w:r>
    </w:p>
    <w:p w14:paraId="3A776FE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Key comparative statics (pp. 880–881):</w:t>
      </w:r>
    </w:p>
    <w:p w14:paraId="19654A2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Proposition 2: In equilibrium, if the nominated bishop</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alignment r* is interior, it is strictly decreasing in y. That is, the wealthier the diocese, the more lay-aligned the nominated bishop. This is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central testable prediction.</w:t>
      </w:r>
    </w:p>
    <w:p w14:paraId="53A3228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Proposition 3: The ruler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expected payoff is strictly increasing in y — lay rulers always benefit from greater diocesan wealth. The church</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expected payoff is nonmonotone in y: it increases for sufficiently low y (where the church has enough bargaining power to retain the income) and decreases for sufficiently high y (where the ruler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bargaining power is strong enough that the church loses more in political control than it gains in income). There exists a unique ŷ at which the church</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payoff is maximized, and beyond which the church is harmed by further increases in wealth.</w:t>
      </w:r>
    </w:p>
    <w:p w14:paraId="62D2ADE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Critical assessment of the model:</w:t>
      </w:r>
    </w:p>
    <w:p w14:paraId="78341EE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 Strengths. The model is parsimonious and captures the key institutional innovation — the shift of interregnum revenues to the ruler — in a clean way. The comparative static on y (Proposition 2) generates a clear, testable prediction about the interaction of wealth and concordat treatment. The nonmonotonicity result for the church (Proposition 3) is theoretically interesting and generates the secondary prediction about divergent development incentives.</w:t>
      </w:r>
    </w:p>
    <w:p w14:paraId="6E5D477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(2) The payoff shock ε_t. The authors acknowledge that without the shock, the model would predict no rejections ever occur (fn. 4, p. 879). The shock is introduced purely to generate rejections and interregna. This is a standard modeling device but raises the question of what the shock substantively represents. The authors suggest it could be </w:t>
      </w:r>
      <w:r>
        <w:rPr>
          <w:rFonts w:hint="default" w:ascii="Times New Roman Regular" w:hAnsi="Times New Roman Regular" w:cs="Times New Roman Regular"/>
          <w:lang w:val="en-US"/>
        </w:rPr>
        <w:t>“unforeseen local political, economic, and social conditions”</w:t>
      </w:r>
      <w:r>
        <w:rPr>
          <w:rFonts w:hint="default" w:ascii="Times New Roman Regular" w:hAnsi="Times New Roman Regular" w:cs="Times New Roman Regular" w:eastAsiaTheme="minorEastAsia"/>
        </w:rPr>
        <w:t xml:space="preserve"> or </w:t>
      </w:r>
      <w:r>
        <w:rPr>
          <w:rFonts w:hint="default" w:ascii="Times New Roman Regular" w:hAnsi="Times New Roman Regular" w:cs="Times New Roman Regular"/>
          <w:lang w:val="en-US"/>
        </w:rPr>
        <w:t>“a shock to the costs the church can impose on the ruler.”</w:t>
      </w:r>
      <w:r>
        <w:rPr>
          <w:rFonts w:hint="default" w:ascii="Times New Roman Regular" w:hAnsi="Times New Roman Regular" w:cs="Times New Roman Regular" w:eastAsiaTheme="minorEastAsia"/>
        </w:rPr>
        <w:t xml:space="preserve"> This is fine for generating equilibrium predictions, but it means the model cannot speak to the determinants of interregna duration or frequency without specifying the shock distribution more precisely.</w:t>
      </w:r>
    </w:p>
    <w:p w14:paraId="2B3D31B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(3) One-shot appointment. The model assumes that once a bishop is accepted, he serves </w:t>
      </w:r>
      <w:r>
        <w:rPr>
          <w:rFonts w:hint="default" w:ascii="Times New Roman Regular" w:hAnsi="Times New Roman Regular" w:cs="Times New Roman Regular"/>
          <w:lang w:val="en-US"/>
        </w:rPr>
        <w:t>“for the remainder of the game.”</w:t>
      </w:r>
      <w:r>
        <w:rPr>
          <w:rFonts w:hint="default" w:ascii="Times New Roman Regular" w:hAnsi="Times New Roman Regular" w:cs="Times New Roman Regular" w:eastAsiaTheme="minorEastAsia"/>
        </w:rPr>
        <w:t xml:space="preserve"> In reality, bishops died, were transferred, or were removed. This simplification means the model cannot capture repeated renegotiation or the evolution of bargaining power within a single ruler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reign. However, for the comparative-static purpose of the paper (comparing wealthy vs. poor dioceses), this simplification is acceptable because it applies equally to both types.</w:t>
      </w:r>
    </w:p>
    <w:p w14:paraId="56B93A5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(4) No outside options for the church. The model gives the church no tools beyond nomination — it cannot depose rulers, excommunicate, or use crusades as leverage. In reality, as both Grzymala-Busse (2020) and the author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own historical narrative acknowledge, the church had powerful spiritual and temporal weapons. The model thus captures only the concordat-specific bargaining mechanism and abstracts away from the broader strategic interaction, which could attenuate or amplify the wealth-bargaining-power channel depending on the correlation between diocesan wealth and the church</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ability to deploy these other tools.</w:t>
      </w:r>
    </w:p>
    <w:p w14:paraId="441B38E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(5) Policy position as unidimensional. The bishop</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w:t>
      </w:r>
      <w:r>
        <w:rPr>
          <w:rFonts w:hint="default" w:ascii="Times New Roman Regular" w:hAnsi="Times New Roman Regular" w:cs="Times New Roman Regular"/>
          <w:lang w:val="en-US"/>
        </w:rPr>
        <w:t>“alignment”</w:t>
      </w:r>
      <w:r>
        <w:rPr>
          <w:rFonts w:hint="default" w:ascii="Times New Roman Regular" w:hAnsi="Times New Roman Regular" w:cs="Times New Roman Regular" w:eastAsiaTheme="minorEastAsia"/>
        </w:rPr>
        <w:t xml:space="preserve"> is modeled as a single point on ℝ. In reality, bishops made decisions on many dimensions (fiscal policy, land management, ecclesiastical law, political loyalty, military support). The unidimensional assumption is standard but may miss important complementarities or conflicts across dimensions.</w:t>
      </w:r>
    </w:p>
    <w:p w14:paraId="04918A2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本文提出了一个关于协约框架下主教选任的形式（博弈论）模型。以下阐述其结构、关键结果和批判性评估。</w:t>
      </w:r>
    </w:p>
    <w:p w14:paraId="329CC33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设定（第879–880页）。 有两个参与者：教会和（世俗）统治者。博弈为无限期、离散时间博弈，带有折现因子δ ∈ (0,1)。在每个无主教在任的期间开始时，教会提名一个政策立场为r_t ∈ [r̲, r̄] ⊂ ℝ的候选人。统治者随后接受或否决。如果被接受，被提名的主教将在博弈的剩余时间任职。如果被否决，该期间没有主教，博弈进入下一期。每期教区产生收入y &gt; 0。当一个立场为r的主教在任时，教会每期获得λ_C · r + (1 − λ_C) · y，其中λ_C ∈ (0,1)是教会对政策相对于收入的权重。当没有主教在任时，教会仅获得λ_C · q（q为现状政策）——关键是，教会在空缺期不获得任何收入。统治者否决时的支付为−λ_R · q + (1 − λ_R) · y − c，其中c &gt; 0代表教会的惩罚成本（如绝罚）。统治者接受一个立场为r的主教在t期的支付为−λ_R · r + ε_t（ε_t是从对数凹分布F中抽取的独立同分布随机冲击）。统治者偏好较低的r（即更亲世俗的主教），教会偏好较高的r（更亲教会的主教）。[r̲, r̄]尺度上r越低意味着主教越亲世俗；r越高意味着越亲教会。</w:t>
      </w:r>
    </w:p>
    <w:p w14:paraId="00E0CE2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模型化的关键制度特征。 协约的关键规则通过收入分配的不对称性来体现：在空缺期，统治者获得教区收入y（</w:t>
      </w:r>
      <w:r>
        <w:rPr>
          <w:rFonts w:hint="default" w:ascii="Times New Roman Regular" w:hAnsi="Times New Roman Regular" w:cs="Times New Roman Regular"/>
          <w:lang w:val="en-US"/>
        </w:rPr>
        <w:t>“剩余索取者”</w:t>
      </w:r>
      <w:r>
        <w:rPr>
          <w:rFonts w:hint="default" w:ascii="Times New Roman Regular" w:hAnsi="Times New Roman Regular" w:cs="Times New Roman Regular" w:eastAsiaTheme="minorEastAsia"/>
        </w:rPr>
        <w:t>特征），而教会不获得任何收入。在协约之前，教会本可保留这些收入。</w:t>
      </w:r>
    </w:p>
    <w:p w14:paraId="34AD49A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均衡（第879–880页）。 作者研究稳态策略下的纯策略子博弈完美纳什均衡。引理1确立统治者总是使用截断规则：如果ε_t超过阈值ε*(r_t)则接受，否则否决。引理2表明如果教会使用稳态策略，统治者的最优反应也是稳态的。引理3表明教会对统治者的稳态策略有唯一的稳态最优反应r*。教会的最优提名取决于y：存在阈值y̲ &lt; ȳ，使得当y &lt; y̲时r* = r̄（完全教会结盟），当y &gt; ȳ时r* = r̲（完全统治者结盟），对于中间的y，r*由一阶条件决定。命题1结合这些引理确立了稳态均衡的存在性。</w:t>
      </w:r>
    </w:p>
    <w:p w14:paraId="082F022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关键比较静态（第880–881页）：</w:t>
      </w:r>
    </w:p>
    <w:p w14:paraId="07C567B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命题2： 在均衡中，如果被提名主教的立场r是内点解，则r关于y严格递减。即教区越富裕，被提名的主教越亲世俗。这是本文的核心可检验预测。</w:t>
      </w:r>
    </w:p>
    <w:p w14:paraId="7534733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命题3： 统治者的期望支付关于y严格递增——世俗统治者总是从更大的教区财富中获益。教会的期望支付关于y非单调：在y足够低时递增（教会有足够议价权力保留收入），在y足够高时递减（统治者的议价权力足够强，使教会在政治控制上的损失超过收入增加的收益）。存在唯一的ŷ使教会的支付最大化，超过此点教会受到财富进一步增加的损害。</w:t>
      </w:r>
    </w:p>
    <w:p w14:paraId="56D1C35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模型的批判性评估：</w:t>
      </w:r>
    </w:p>
    <w:p w14:paraId="43A2FD1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（1）优势。 模型简洁，以清晰的方式捕捉了关键的制度创新——空缺期收入转移给统治者。关于y的比较静态（命题2）生成了一个清晰的、可检验的关于财富与协约处理交互作用的预测。教会的非单调性结果（命题3）在理论上有趣，并生成了关于分歧性发展激励的次要预测。</w:t>
      </w:r>
    </w:p>
    <w:p w14:paraId="0E16B78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（2）支付冲击ε_t。 作者承认如果没有冲击，模型将预测被提名者永远不会被否决（注4，第879页）。冲击纯粹是为了产生否决和空缺期而引入的。这是标准的建模手法，但引发了冲击在实质上代表什么的问题。作者建议它可能代表</w:t>
      </w:r>
      <w:r>
        <w:rPr>
          <w:rFonts w:hint="default" w:ascii="Times New Roman Regular" w:hAnsi="Times New Roman Regular" w:cs="Times New Roman Regular"/>
          <w:lang w:val="en-US"/>
        </w:rPr>
        <w:t>“未预见的地方政治、经济和社会条件”</w:t>
      </w:r>
      <w:r>
        <w:rPr>
          <w:rFonts w:hint="default" w:ascii="Times New Roman Regular" w:hAnsi="Times New Roman Regular" w:cs="Times New Roman Regular" w:eastAsiaTheme="minorEastAsia"/>
        </w:rPr>
        <w:t>或</w:t>
      </w:r>
      <w:r>
        <w:rPr>
          <w:rFonts w:hint="default" w:ascii="Times New Roman Regular" w:hAnsi="Times New Roman Regular" w:cs="Times New Roman Regular"/>
          <w:lang w:val="en-US"/>
        </w:rPr>
        <w:t>“教会能够施加给统治者的成本的冲击”</w:t>
      </w:r>
      <w:r>
        <w:rPr>
          <w:rFonts w:hint="default" w:ascii="Times New Roman Regular" w:hAnsi="Times New Roman Regular" w:cs="Times New Roman Regular" w:eastAsiaTheme="minorEastAsia"/>
        </w:rPr>
        <w:t>。这对于生成均衡预测是可以的，但意味着如果不更精确地指定冲击分布，模型无法说明空缺期持续时间或频率的决定因素。</w:t>
      </w:r>
    </w:p>
    <w:p w14:paraId="42A6670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（3）一次性任命。 模型假设一旦主教被接受，他将</w:t>
      </w:r>
      <w:r>
        <w:rPr>
          <w:rFonts w:hint="default" w:ascii="Times New Roman Regular" w:hAnsi="Times New Roman Regular" w:cs="Times New Roman Regular"/>
          <w:lang w:val="en-US"/>
        </w:rPr>
        <w:t>“在博弈的剩余时间”</w:t>
      </w:r>
      <w:r>
        <w:rPr>
          <w:rFonts w:hint="default" w:ascii="Times New Roman Regular" w:hAnsi="Times New Roman Regular" w:cs="Times New Roman Regular" w:eastAsiaTheme="minorEastAsia"/>
        </w:rPr>
        <w:t>任职。现实中，主教会死亡、调任或被撤职。这一简化意味着模型无法捕捉单一统治者任期内的反复重新谈判或议价权力的演变。然而，就本文的比较静态目的（比较富裕与贫穷教区）而言，这一简化是可接受的，因为它同样适用于两种类型。</w:t>
      </w:r>
    </w:p>
    <w:p w14:paraId="0759B97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（4）教会没有外部选项。 模型只赋予教会提名权——它不能废黜统治者、施行绝罚或利用十字军作为筹码。现实中，正如Grzymala-Busse (2020)和作者自己的历史叙事所承认的，教会拥有强大的精神和世俗武器。因此，模型仅捕捉了协约特有的议价机制，而抽象掉了更广泛的战略互动，这可能会减弱或放大财富-议价权力渠道的效果。</w:t>
      </w:r>
    </w:p>
    <w:p w14:paraId="47B0AA2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（5）政策立场为一维的。 主教的</w:t>
      </w:r>
      <w:r>
        <w:rPr>
          <w:rFonts w:hint="default" w:ascii="Times New Roman Regular" w:hAnsi="Times New Roman Regular" w:cs="Times New Roman Regular"/>
          <w:lang w:val="en-US"/>
        </w:rPr>
        <w:t>“立场归属”</w:t>
      </w:r>
      <w:r>
        <w:rPr>
          <w:rFonts w:hint="default" w:ascii="Times New Roman Regular" w:hAnsi="Times New Roman Regular" w:cs="Times New Roman Regular" w:eastAsiaTheme="minorEastAsia"/>
        </w:rPr>
        <w:t>被建模为ℝ上的单一点。现实中，主教在多个维度上做出决策（财政政策、土地管理、教会法、政治忠诚、军事支持）。一维假设是标准的，但可能遗漏跨维度的重要互补性或冲突。</w:t>
      </w:r>
    </w:p>
    <w:p w14:paraId="4ABBF58E">
      <w:pPr>
        <w:rPr>
          <w:rFonts w:hint="default" w:ascii="Times New Roman Regular" w:hAnsi="Times New Roman Regular" w:cs="Times New Roman Regular" w:eastAsiaTheme="minorEastAsia"/>
        </w:rPr>
      </w:pPr>
    </w:p>
    <w:p w14:paraId="5BC66C3B">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Data: What data is used? / 数据：使用了什么数据？</w:t>
      </w:r>
    </w:p>
    <w:p w14:paraId="4DC75A5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data cover Roman Catholic dioceses and their bishops from 325 (Council of Nicaea /naɪˈsiːə/) to 1309 (the beginning of the Avignon /ˌævɪnˈjɒn/ papacy). The dataset includes 427 unique dioceses, of which 292 are covered by a concordat at some point and 181 are never covered. There are 6,947 diocese-bishop pairs, approximately 76% from covered dioceses (p. 881).</w:t>
      </w:r>
    </w:p>
    <w:p w14:paraId="69F2103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Dependent variable — Bishop alignment. Coded from scraped Catholic Church websites and Wikipedia in English, German, and occasionally French, Spanish, or Swedish. Of all bishops in the dataset, 1,580 have sufficient biographical detail for alignment coding. Of these, 1,244 (79%) are church aligned and 336 are lay aligned (p. 881).</w:t>
      </w:r>
    </w:p>
    <w:p w14:paraId="4ECCC6F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Independent variable — Concordats. Coded as 1 if a concordat was in effect in the diocese at the time the bishop was consecrated. For England and France (excluding Burgundy /ˈbɜːrɡəndi/), this is 1107–1309. For Ireland /ˈaɪərlənd/, 1171–1309 (after Henry II</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invasion). For the Holy Roman Empire, 1122–1309. For uncovered dioceses (Spain , Portugal /ˈpɔːrtʃʊɡəl/, southern Italy, Venice /ˈvɛnɪs/, much of eastern and northern Europe), always 0 (p. 882).</w:t>
      </w:r>
    </w:p>
    <w:p w14:paraId="006CEFF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Wealth measures (all time-invariant, measured before the concordats):</w:t>
      </w:r>
    </w:p>
    <w:p w14:paraId="6BD230D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 Trade (Traded): Coded as 1 if the diocese seat was within 25 km of a major pre-concordat trade or pilgrimage route, had a port or river route, or produced and exported goods. Source: Old World Trade Routes Project, supplemented by historical maps. 71 of 427 dioceses are coded as trade-exposed (p. 882).</w:t>
      </w:r>
    </w:p>
    <w:p w14:paraId="05CF8ED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 Caloric potential (Calorie): Above- or below-median pre-Columbian agricultural caloric potential per hectare, from the UN FAO (Galor and Özak 2016). A fixed geographic characteristic (p. 882).</w:t>
      </w:r>
    </w:p>
    <w:p w14:paraId="11062B3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 Settlement population (Population5, Population10, Population15): Whether the diocese contained a settlement of at least 5,000 / 10,000 / 15,000 inhabitants at any time before the concordats. Source: Buringh (2021), expanding Bairoch (1991) and Bairoch, Batou, and Chèvre (1988). These thresholds correspond roughly to the 75th, 90th, and 95th percentiles of European settlement size (pp. 882–883).</w:t>
      </w:r>
    </w:p>
    <w:p w14:paraId="6861D97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Controls: Crusade routes (four dummy variables for four crusades, coded from GIS data); kingdom assignment (from the Digital Atlas of Roman and Medieval Civilizations, two snapshots at 1000 and 1200); monarch identity (from Wikipedia, available for 61% of bishops); 400 km² grid cell dummies (66 cells) (pp. 883–884).</w:t>
      </w:r>
    </w:p>
    <w:p w14:paraId="7909F3D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Geographic coverage: All of Catholic Europe, including England, France, the Holy Roman Empire, Ireland, plus uncovered dioceses in Iberia /aɪˈbɪəriə/, southern Italy, Venice, Scandinavia /ˌskændɪˈneɪviə/, and eastern Europe. The Papal States are excluded because the pope was both civil and religious authority there (p. 882).</w:t>
      </w:r>
    </w:p>
    <w:p w14:paraId="69E0682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数据涵盖325年（尼西亚公会议 Council of Nicaea /naɪˈsiːə/）至1309年（阿维尼翁 Avignon /ˌævɪnˈjɒn/ 教廷开始）的罗马天主教教区及其主教。数据集包含427个独特教区，其中292个在某一时期受协约约束，181个从未受约束。共有6,947个教区-主教配对，约76%来自受约束教区（第881页）。</w:t>
      </w:r>
    </w:p>
    <w:p w14:paraId="01ED626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因变量——主教立场归属。 从天主教会网站和英语、德语（偶尔法语、西班牙语或瑞典语）维基百科抓取编码。在数据集中所有主教中，1,580位有足够详细的传记信息可供编码立场归属。其中1,244位（79%）为教会结盟，336位为世俗统治者结盟（第881页）。</w:t>
      </w:r>
    </w:p>
    <w:p w14:paraId="736DC4F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自变量——协约。 如果在主教被祝圣时教区有协约生效则编码为1。对于英格兰和法国（不含勃艮第 Burgundy /ˈbɜːrɡəndi/），为1107–1309年。对于爱尔兰（Ireland /ˈaɪərlənd/），为1171–1309年（亨利二世入侵后）。对于神圣罗马帝国，为1122–1309年。对于未受约束的教区（西班牙 Spain 、葡萄牙 Portugal /ˈpɔːrtʃʊɡəl/、南意大利 Italy、威尼斯 Venice /ˈvɛnɪs/、东欧和北欧大部），始终为0（第882页）。</w:t>
      </w:r>
    </w:p>
    <w:p w14:paraId="321772E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财富测度（均为时间不变的，在协约之前测量）：</w:t>
      </w:r>
    </w:p>
    <w:p w14:paraId="6E9794E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（1）贸易（Traded）： 如果教区主教座堂在协约前的主要贸易或朝圣路线25公里以内、拥有港口或河流路线、或生产并出口商品，则编码为1。来源：旧世界贸易路线项目（Old World Trade Routes Project），辅以历史地图。427个教区中71个被编码为有贸易暴露（第882页）。</w:t>
      </w:r>
    </w:p>
    <w:p w14:paraId="2A4E823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（2）热量潜力（Calorie）： 根据联合国粮农组织（FAO）估算的前哥伦布时期每公顷农业热量潜力高于或低于欧洲中位数（Galor and Özak 2016）。是固定的地理特征（第882页）。</w:t>
      </w:r>
    </w:p>
    <w:p w14:paraId="5BE6C73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（3）定居点人口（Population5, Population10, Population15）： 该教区在协约签订前是否包含至少5,000/10,000/15,000居民的定居点。来源：Buringh (2021)，扩展了Bairoch (1991)和Bairoch, Batou, and Chèvre (1988)。这些阈值大致对应欧洲定居点规模的第75、90和95百分位（第882–883页）。</w:t>
      </w:r>
    </w:p>
    <w:p w14:paraId="6B76C39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控制变量： 十字军路线（四次十字军的四个虚拟变量，从GIS数据编码）；王国归属（来自罗马和中世纪文明数字地图集，1000年和1200年两个时间截面）；君主身份（来自维基百科，可用于61%的主教）；400平方公里网格单元虚拟变量（66个单元）（第883–884页）。</w:t>
      </w:r>
    </w:p>
    <w:p w14:paraId="31F7C18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地理覆盖： 整个天主教欧洲，包括英格兰、法国、神圣罗马帝国、爱尔兰，加上伊比利亚半岛（Iberia /aɪˈbɪəriə/）、南意大利、威尼斯、斯堪的纳维亚（Scandinavia /ˌskændɪˈneɪviə/）和东欧的未受约束教区。教皇国（Papal States）被排除，因为教皇同时是世俗和宗教当局（第882页）。</w:t>
      </w:r>
    </w:p>
    <w:p w14:paraId="117E41E8">
      <w:pPr>
        <w:rPr>
          <w:rFonts w:hint="default" w:ascii="Times New Roman Regular" w:hAnsi="Times New Roman Regular" w:cs="Times New Roman Regular" w:eastAsiaTheme="minorEastAsia"/>
        </w:rPr>
      </w:pPr>
    </w:p>
    <w:p w14:paraId="2327F5A3">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Methods: What methods are employed? / 方法：使用了什么方法？</w:t>
      </w:r>
    </w:p>
    <w:p w14:paraId="194BE7C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empirical strategy is a difference-in-differences (DiD) design implemented through a linear probability model (LPM). The key equation is (p. 883):</w:t>
      </w:r>
    </w:p>
    <w:p w14:paraId="12E57FD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Church Aligned_db = β₀ + β₁ · Concordats_db + β₂ · Concordats_db · Wealth_d + γ · X_db + ω · Diocese + θ · HalfCentury + ε_db</w:t>
      </w:r>
    </w:p>
    <w:p w14:paraId="33AF76D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coefficient of interest is β₂, the interaction of Concordats and Wealth. Because Wealth is a time-invariant diocese characteristic, its main effect is absorbed by the diocese fixed effect. The paper runs five specifications for each wealth measure: (1) diocese + half century FE; (2) diocese + half century + monarch FE; (3) diocese + kingdom × half century FE; (4) diocese + grid cell × half century FE; (5) diocese + half century FE + linear time trend × wealth (p. 883).</w:t>
      </w:r>
    </w:p>
    <w:p w14:paraId="37F289F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unit of analysis is a diocese-bishop pair. Standard errors are clustered by diocese.</w:t>
      </w:r>
    </w:p>
    <w:p w14:paraId="1F17FE1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Timing / placebo tests (pp. 887–888). To assess whether the divergence between wealthier and poorer dioceses coincides with the concordat</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adoption, the authors run a series of placebo regressions using moving treatment windows. For each possible starting year from 800 to 1275, they re-estimate the regression with that year as the start of the treatment period (keeping 1309 as the endpoint). They plot the estimated β₂ across starting years. For trade, caloric potential, and the 5,000-inhabitant threshold, the estimated effect is minimized around the true concordat dates, consistent with the concordats being the relevant event. For the 10,000 and 15,000 thresholds, the pattern is less clear (p. 888).</w:t>
      </w:r>
    </w:p>
    <w:p w14:paraId="48BF99B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Economic growth analysis (p. 889–890). For the secondary hypothesis about divergent development incentives, the authors estimate a simple DiD regression: Growth_d = β₀ + β₁ · Covered_d × LayStrength_d + β₂ · Covered_d + β₃ · LayStrength_d + ε. Growth is measured as the difference in the population of the largest settlement in a diocese before and after the concordats. Lay strength is measured three ways: (1) whether the first post-concordat bishop was lay-aligned; (2) a dummy for being far from Rome /roʊm/; (3) continuous distance to Rome in megameters. Results are directionally consistent but not statistically significant (Table 2, p. 890).</w:t>
      </w:r>
    </w:p>
    <w:p w14:paraId="5C0176D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Assumptions required for validity:</w:t>
      </w:r>
    </w:p>
    <w:p w14:paraId="3F71F44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 Parallel trends: The key identifying assumption is that, absent the concordats, wealthier and poorer dioceses (within both covered and uncovered groups) would have followed parallel trends in bishop alignment. The placebo tests and the specification with wealth × linear time trend partially address this, but cannot rule out divergent pre-trends driven by unobserved factors.</w:t>
      </w:r>
    </w:p>
    <w:p w14:paraId="0EB3C64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 No endogenous wealth changes: The use of time-invariant wealth measures (pre-concordat trade routes, caloric potential, pre-concordat settlements) is designed to avoid the concern that wealth itself was affected by the concordats. This is a strong design choice. However, caloric potential is determined by geography and truly exogenous; trade exposure and settlement size, while measured before the concordats, may reflect earlier institutional or political conditions that also affected later bishop selection through channels other than the concordats.</w:t>
      </w:r>
    </w:p>
    <w:p w14:paraId="18C75BF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 No differential selection into the concordats: The concordats applied to all dioceses within a given kingdom, so there was no diocese-level selection into treatment. However, the different timing of adoption (1107 for England/France, 1122 for the HRE, 1171 for Ireland) could be correlated with kingdom-level confounders, which the kingdom × half century FE address.</w:t>
      </w:r>
    </w:p>
    <w:p w14:paraId="18600E1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(4) SUTVA (Stable Unit Treatment Value Assumption): The assumption that one diocese</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treatment does not affect another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outcome. This could be violated if, for example, the church strategically allocated pro-church bishops across dioceses in response to the concordat</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overall pattern.</w:t>
      </w:r>
    </w:p>
    <w:p w14:paraId="2978A92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(5) Correct functional form: The LPM assumes a linear relationship between the binary outcome and the covariates. For a binary DV, logit or probit would be more natural, but in DiD designs with many fixed effects, LPM is standard and the linear approximation is generally acceptable.</w:t>
      </w:r>
    </w:p>
    <w:p w14:paraId="3E7A192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实证策略是通过线性概率模型（LPM）实施的双重差分（DiD）设计。核心方程为（第883页）：</w:t>
      </w:r>
    </w:p>
    <w:p w14:paraId="6A4E3B1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Church Aligned_db = β₀ + β₁ · Concordats_db + β₂ · Concordats_db · Wealth_d + γ · X_db + ω · Diocese + θ · HalfCentury + ε_db</w:t>
      </w:r>
    </w:p>
    <w:p w14:paraId="47B6282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关注的系数是β₂，即协约与财富的交互项。因为Wealth是教区的时间不变特征，其主效应被教区固定效应吸收。本文对每个财富测度运行五个设定：（1）教区+半世纪固定效应；（2）教区+半世纪+君主固定效应；（3）教区+王国×半世纪固定效应；（4）教区+网格单元×半世纪固定效应；（5）教区+半世纪固定效应+线性时间趋势×财富（第883页）。</w:t>
      </w:r>
    </w:p>
    <w:p w14:paraId="5C73DCD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分析单位是教区-主教配对。标准误按教区聚类。</w:t>
      </w:r>
    </w:p>
    <w:p w14:paraId="093A9FE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时序/安慰剂检验（第887–888页）。 为评估富裕教区与贫穷教区之间的分歧是否与协约的采纳时间一致，作者使用移动处理窗口进行一系列安慰剂回归。对于从800年到1275年的每个可能起始年份，他们以该年作为处理期起始（保持1309年为终点）重新估计回归。他们绘制了β₂在各起始年份上的估计值。对于贸易、热量潜力和5,000居民阈值，估计效应在真实协约日期附近最小化，与协约是相关事件一致。对于10,000和15,000阈值，模式不太清晰（第888页）。</w:t>
      </w:r>
    </w:p>
    <w:p w14:paraId="7ABE1F0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经济增长分析（第889–890页）。 对于关于分歧性发展激励的次要假说，作者估计了一个简单的DiD回归：Growth_d = β₀ + β₁ · Covered_d × LayStrength_d + β₂ · Covered_d + β₃ · LayStrength_d + ε。增长通过教区最大定居点在协约前后的人口差异来衡量。世俗力量强度通过三种方式衡量：（1）协约后的第一位主教是否亲世俗；（2）是否远离罗马（Rome /roʊm/）的虚拟变量；（3）到罗马的连续距离（百万米）。结果方向一致但统计上不显著（表2，第890页）。</w:t>
      </w:r>
    </w:p>
    <w:p w14:paraId="17800D0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方法有效性所需的假设：</w:t>
      </w:r>
    </w:p>
    <w:p w14:paraId="58D22A4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（1）平行趋势： 关键识别假设是，如果没有协约，较富裕和较贫穷的教区（在受约束和未受约束的群组内）将在主教立场归属上遵循平行趋势。安慰剂检验和财富×线性时间趋势的设定部分解决了这一问题，但无法排除由未观测因素驱动的分歧性前期趋势。</w:t>
      </w:r>
    </w:p>
    <w:p w14:paraId="66DD492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（2）财富无内生变化： 使用时间不变的财富测度（协约前的贸易路线、热量潜力、协约前的定居点）旨在避免财富本身受协约影响的担忧。这是一个强有力的设计选择。然而，热量潜力由地理决定，确实是外生的；贸易暴露和定居点规模虽在协约前测量，但可能反映了更早的制度或政治条件，这些条件也可能通过协约以外的渠道影响后来的主教选任。</w:t>
      </w:r>
    </w:p>
    <w:p w14:paraId="1A6569F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（3）不存在对协约的差异性选入： 协约适用于给定王国内的所有教区，因此不存在教区层面对处理的选入。然而，采纳的不同时间（英格兰/法国1107年，神圣罗马帝国1122年，爱尔兰1171年）可能与王国层面的混淆因素相关，王国×半世纪固定效应对此有所处理。</w:t>
      </w:r>
    </w:p>
    <w:p w14:paraId="0AF5DF7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（4）SUTVA（稳定单位处理值假设）： 一个教区的处理不影响另一个教区结果的假设。如果教会在面对协约的整体格局时战略性地在各教区间分配亲教会主教，则此假设可能被违反。</w:t>
      </w:r>
    </w:p>
    <w:p w14:paraId="61A7D93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（5）正确的函数形式： LPM假设二元结果与协变量之间存在线性关系。对于二元因变量，logit或probit更自然，但在包含大量固定效应的DiD设计中，LPM是标准做法，线性近似一般可接受。</w:t>
      </w:r>
    </w:p>
    <w:p w14:paraId="0AB70BD7">
      <w:pPr>
        <w:rPr>
          <w:rFonts w:hint="default" w:ascii="Times New Roman Regular" w:hAnsi="Times New Roman Regular" w:cs="Times New Roman Regular" w:eastAsiaTheme="minorEastAsia"/>
        </w:rPr>
      </w:pPr>
    </w:p>
    <w:p w14:paraId="4CB0E43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highlight w:val="yellow"/>
        </w:rPr>
        <w:t>Contribution: What is the main contribution? / 贡献：主要贡献是什么？</w:t>
      </w:r>
    </w:p>
    <w:p w14:paraId="0105A56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A formal mechanism linking economic development to the rise of lay political power. The existing literature has long recognized a correlation between economic prosperity and the growth of secular authority (since at least Weber 1930), and historians have noted the importance of the Investiture Controversy (Cantor 1993; Spruyt 1994). However, previous accounts have provided </w:t>
      </w:r>
      <w:r>
        <w:rPr>
          <w:rFonts w:hint="default" w:ascii="Times New Roman Regular" w:hAnsi="Times New Roman Regular" w:cs="Times New Roman Regular"/>
          <w:lang w:val="en-US"/>
        </w:rPr>
        <w:t>“little by way of an explanatory mechanism”</w:t>
      </w:r>
      <w:r>
        <w:rPr>
          <w:rFonts w:hint="default" w:ascii="Times New Roman Regular" w:hAnsi="Times New Roman Regular" w:cs="Times New Roman Regular" w:eastAsiaTheme="minorEastAsia"/>
        </w:rPr>
        <w:t xml:space="preserve"> linking the concordats to the wealth-dependent rise of lay power (p. 876).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game-theoretic model specifies a precise mechanism: the residual-claimancy rule created a wealth-dependent bargaining advantage for lay rulers. This is a genuine theoretical advance — it transforms a descriptive historical observation into a testable comparative-static prediction.</w:t>
      </w:r>
    </w:p>
    <w:p w14:paraId="32BCA13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Reinterpreting the relationship between the Protestant Reformation and economic development. The Weber thesis holds that Protestantism caused economic prosperity. Recent revisionist work (Becker, Pfaff, and Rubin 2016; Cantoni 2015) suggests reverse causality: economic development made Protestantism more attractive. The present paper adds a further layer: the concordats, signed 200 years before the Reformation, had already created political preconditions for lay assertion of control in economically thriving areas. Thus, the adoption of Protestantism may have been the culmination of a much longer political process, not its beginning (pp. 877, 890). This enriches the endogeneity debate substantially.</w:t>
      </w:r>
    </w:p>
    <w:p w14:paraId="6212022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Original historical dataset. The paper assembles a novel dataset of 6,947 diocese-bishop pairs spanning nearly a millennium (325–1309), with alignment coding for 1,580 bishops. This dataset, combining information from church records, Wikipedia, the Old World Trade Routes Project, FAO caloric estimates, and Buringh</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settlement data, is a significant data contribution in its own right (p. 881).</w:t>
      </w:r>
    </w:p>
    <w:p w14:paraId="048F7DE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 credible difference-in-differences design for medieval political institutions. Quantitative analysis of medieval political institutions is rare because of data limitations and the difficulty of establishing causal identification.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DiD design — exploiting the staggered adoption of the concordats across kingdoms interacted with pre-concordat diocesan wealth — is a creative approach that brings modern causal inference methods to a period rarely subjected to such analysis. The placebo timing tests and multiple robustness specifications strengthen the credibility of the findings (pp. 883, 887–888).</w:t>
      </w:r>
    </w:p>
    <w:p w14:paraId="1484E9D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A challenge to Grzymala-Busse (2020) on the net effect of the concordats. Grzymala-Busse argues that the concordats </w:t>
      </w:r>
      <w:r>
        <w:rPr>
          <w:rFonts w:hint="default" w:ascii="Times New Roman Regular" w:hAnsi="Times New Roman Regular" w:cs="Times New Roman Regular"/>
          <w:lang w:val="en-US"/>
        </w:rPr>
        <w:t>“on net weakened lay leaders.”</w:t>
      </w:r>
      <w:r>
        <w:rPr>
          <w:rFonts w:hint="default" w:ascii="Times New Roman Regular" w:hAnsi="Times New Roman Regular" w:cs="Times New Roman Regular" w:eastAsiaTheme="minorEastAsia"/>
        </w:rPr>
        <w:t xml:space="preserve"> The present paper argues that this assessment overlooks heterogeneous effects: while the concordats may have empowered the church in some ways, they differentially strengthened lay rulers in wealthier dioceses. The paper thus calls for a more nuanced assessment that considers how a single institutional change can simultaneously strengthen and weaken different actors depending on local conditions (p. 877).</w:t>
      </w:r>
    </w:p>
    <w:p w14:paraId="53B47C74">
      <w:pPr>
        <w:rPr>
          <w:rFonts w:hint="default" w:ascii="Times New Roman Regular" w:hAnsi="Times New Roman Regular" w:cs="Times New Roman Regular" w:eastAsiaTheme="minorEastAsia"/>
        </w:rPr>
      </w:pPr>
    </w:p>
    <w:p w14:paraId="2ABE29D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本文对欧洲政治发展和国家形成文献做出了多项贡献：</w:t>
      </w:r>
    </w:p>
    <w:p w14:paraId="2F3850A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一个将经济发展与世俗政治权力兴起联系起来的形式机制。 现有文献长期以来认识到经济繁荣与世俗权威增长之间的相关性（至少自Weber 1930年以来），历史学家也注意到了叙任权之争的重要性（Cantor 1993; Spruyt 1994）。然而，先前的论述几乎没有提供</w:t>
      </w:r>
      <w:r>
        <w:rPr>
          <w:rFonts w:hint="default" w:ascii="Times New Roman Regular" w:hAnsi="Times New Roman Regular" w:cs="Times New Roman Regular"/>
          <w:lang w:val="en-US"/>
        </w:rPr>
        <w:t>“解释性机制”</w:t>
      </w:r>
      <w:r>
        <w:rPr>
          <w:rFonts w:hint="default" w:ascii="Times New Roman Regular" w:hAnsi="Times New Roman Regular" w:cs="Times New Roman Regular" w:eastAsiaTheme="minorEastAsia"/>
        </w:rPr>
        <w:t>来连接协约与依赖财富的世俗权力兴起（第876页）。本文的博弈论模型指定了一个精确的机制：剩余索取权规则为世俗统治者创造了一种依赖财富的议价优势。这是一个真正的理论进步——它将一个描述性的历史观察转化为一个可检验的比较静态预测。</w:t>
      </w:r>
    </w:p>
    <w:p w14:paraId="008AFA3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重新诠释宗教改革与经济发展之间的关系。 韦伯命题认为新教导致了经济繁荣。近期的修正主义研究（Becker, Pfaff, and Rubin 2016; Cantoni 2015）提出了反向因果关系：经济发展使新教更具吸引力。本文增加了另一层：在宗教改革前200年签署的协约已经在经济繁荣地区为世俗主张控制权创造了政治前提条件。因此，新教的采纳可能是一个更长期政治过程的高潮，而非其起点（第877、890页）。这实质性地丰富了内生性辩论。</w:t>
      </w:r>
    </w:p>
    <w:p w14:paraId="023CA71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原创性历史数据集。 本文组建了一个包含6,947个教区-主教配对、跨越近一千年（325–1309年）的新数据集，其中1,580位主教的立场归属被编码。这一数据集结合了教会记录、维基百科、旧世界贸易路线项目、FAO热量估计和Buringh的定居点数据等信息，本身就是一个重要的数据贡献（第881页）。</w:t>
      </w:r>
    </w:p>
    <w:p w14:paraId="4E9673D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一个针对中世纪政治制度的可信双重差分设计。 由于数据限制和建立因果识别的困难，对中世纪政治制度的定量分析很少。本文的DiD设计——利用协约在各王国的错时采纳与协约前教区财富的交互——是一种创造性的方法，将现代因果推断方法引入一个很少接受此类分析的时期。安慰剂时序检验和多种稳健性设定增强了发现的可信度（第883、887–888页）。</w:t>
      </w:r>
    </w:p>
    <w:p w14:paraId="1AD9927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对Grzymala-Busse (2020)关于协约净效应的挑战。 Grzymala-Busse认为协约</w:t>
      </w:r>
      <w:r>
        <w:rPr>
          <w:rFonts w:hint="default" w:ascii="Times New Roman Regular" w:hAnsi="Times New Roman Regular" w:cs="Times New Roman Regular"/>
          <w:lang w:val="en-US"/>
        </w:rPr>
        <w:t>“在净效应上削弱了世俗领袖”</w:t>
      </w:r>
      <w:r>
        <w:rPr>
          <w:rFonts w:hint="default" w:ascii="Times New Roman Regular" w:hAnsi="Times New Roman Regular" w:cs="Times New Roman Regular" w:eastAsiaTheme="minorEastAsia"/>
        </w:rPr>
        <w:t>。本文论证这一评估忽视了异质性效应：虽然协约在某些方面可能赋予了教会权力，但它在较富裕教区差异性地增强了世俗统治者的力量。本文因此呼吁进行更为细致的评估，考虑单一制度变迁如何根据地方条件同时增强和削弱不同行为者（第877页）。</w:t>
      </w:r>
    </w:p>
    <w:p w14:paraId="05807046">
      <w:pPr>
        <w:rPr>
          <w:rFonts w:hint="default" w:ascii="Times New Roman Regular" w:hAnsi="Times New Roman Regular" w:cs="Times New Roman Regular" w:eastAsiaTheme="minorEastAsia"/>
        </w:rPr>
      </w:pPr>
    </w:p>
    <w:p w14:paraId="0CE67268">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Suggestions: What are the limitations and how to address them? / 建议：有哪些局限性及如何改进？</w:t>
      </w:r>
    </w:p>
    <w:p w14:paraId="0B1E37C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 Construct validity: the gap between the theoretical quantity and the empirical measure is wider than acknowledged. The formal model predicts the equilibrium policy position (r*) of the nominated bishop — a continuous variable reflecting the outcome of strategic bargaining between church and ruler. The empirical measure, however, is a binary classification of the consecrated bishop</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pre-appointment career background (religious post = church-aligned; secular post = lay-aligned). Between the theoretical construct and the empirical indicator lie at least three unvalidated inferential steps. First, career background does not necessarily predict political loyalty: a bishop who previously served as an abbot may have owed his appointment to royal patronage and remained loyal to the crown; conversely, a bishop drawn from the royal chancery may have been devout and sympathetic to Rome. Second, even if background predicted loyalty at the time of appointment, loyalty does not necessarily predict actual policy behavior during tenure — bishops could and did switch allegiances in response to evolving political circumstances. Third, even if policy behavior were measured, it would not straightforwardly map onto the model</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unidimensional policy position r, since real bishops made multidimensional decisions (fiscal, legal, military, ecclesiastical). This is not a measurement error problem that can be solved by collecting more data or refining coding rules; it is a conceptual gap between the theoretical bargaining outcome the model describes and the career-history proxy the data provide. The authors are aware of the </w:t>
      </w:r>
      <w:r>
        <w:rPr>
          <w:rFonts w:hint="default" w:ascii="Times New Roman Regular" w:hAnsi="Times New Roman Regular" w:cs="Times New Roman Regular"/>
          <w:lang w:val="en-US"/>
        </w:rPr>
        <w:t>“candidate pool”</w:t>
      </w:r>
      <w:r>
        <w:rPr>
          <w:rFonts w:hint="default" w:ascii="Times New Roman Regular" w:hAnsi="Times New Roman Regular" w:cs="Times New Roman Regular" w:eastAsiaTheme="minorEastAsia"/>
        </w:rPr>
        <w:t xml:space="preserve"> confound (p. 885) but do not directly address why prior office should reliably proxy for the bargaining outcome their model predicts. A more convincing approach would involve measuring bishop</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actual behavior in office — such as how they allocated diocesan revenues, whether they attended royal or papal councils, or how they voted at church synods — but such data may simply not survive from this period.</w:t>
      </w:r>
    </w:p>
    <w:p w14:paraId="1698DE3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 构念效度：理论量与经验测量之间的差距比作者承认的更大。 形式模型预测的是被提名主教的均衡政策立场（r*）——一个反映教会与统治者之间战略议价结果的连续变量。然而，经验测量是对被祝圣主教就任前职业背景的二元分类（宗教职位=教会结盟；世俗职位=世俗统治者结盟）。在理论构念与经验指标之间，至少存在三个未经验证的推断步骤。第一，职业背景不一定预测政治忠诚：一个此前担任修道院院长的主教可能靠王室庇护获得任命并始终忠于国王；反之，一个来自王室文书处的主教可能虔诚且同情罗马。第二，即使背景在任命时能预测忠诚，忠诚也不一定预测任期内的实际政策行为——主教可以而且确实会在不断变化的政治环境中转换立场。第三，即使衡量了政策行为，它也不能直接映射到模型的一维政策立场r上，因为真实的主教在财政、法律、军事、教会等多个维度上做出决策。这不是一个可以通过收集更多数据或细化编码规则来解决的测量误差问题，而是模型描述的理论性议价结果与数据提供的职业史代理变量之间的概念性鸿沟。作者意识到了</w:t>
      </w:r>
      <w:r>
        <w:rPr>
          <w:rFonts w:hint="default" w:ascii="Times New Roman Regular" w:hAnsi="Times New Roman Regular" w:cs="Times New Roman Regular"/>
          <w:lang w:val="en-US"/>
        </w:rPr>
        <w:t>“候选人池”</w:t>
      </w:r>
      <w:r>
        <w:rPr>
          <w:rFonts w:hint="default" w:ascii="Times New Roman Regular" w:hAnsi="Times New Roman Regular" w:cs="Times New Roman Regular" w:eastAsiaTheme="minorEastAsia"/>
        </w:rPr>
        <w:t>混淆问题（第885页），但并未直接说明为什么先前职务能够可靠地代理他们模型预测的议价结果。更有说服力的方法是衡量主教任期内的实际行为——例如他们如何分配教区收入、是否出席王室或教皇会议、在教会主教会议上如何投票——但这样的数据可能在这一时期根本无法留存。</w:t>
      </w:r>
    </w:p>
    <w:p w14:paraId="13DC4712">
      <w:pPr>
        <w:rPr>
          <w:rFonts w:hint="default" w:ascii="Times New Roman Regular" w:hAnsi="Times New Roman Regular" w:cs="Times New Roman Regular" w:eastAsiaTheme="minorEastAsia"/>
        </w:rPr>
      </w:pPr>
    </w:p>
    <w:p w14:paraId="79EA857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2. Control group comparability and the deep fragility of parallel trends. The difference-in-differences design compares covered dioceses (in England, France, the Holy Roman Empire, and Ireland) to uncovered dioceses (in Iberia /aɪˈbɪəriə/, Portugal /ˈpɔːrtʃʊɡəl/, southern Italy, Venice /ˈvɛnɪs/, and parts of eastern and northern Europe). The identifying assumption is that, absent the concordats, bishop alignment in wealthier versus poorer dioceses would have followed parallel trends across covered and uncovered regions. The problem is that these regions differ not merely in </w:t>
      </w:r>
      <w:r>
        <w:rPr>
          <w:rFonts w:hint="default" w:ascii="Times New Roman Regular" w:hAnsi="Times New Roman Regular" w:cs="Times New Roman Regular"/>
          <w:lang w:val="en-US"/>
        </w:rPr>
        <w:t>“background characteristics”</w:t>
      </w:r>
      <w:r>
        <w:rPr>
          <w:rFonts w:hint="default" w:ascii="Times New Roman Regular" w:hAnsi="Times New Roman Regular" w:cs="Times New Roman Regular" w:eastAsiaTheme="minorEastAsia"/>
        </w:rPr>
        <w:t xml:space="preserve"> amenable to fixed-effect absorption, but in the fundamental structure of church-state relations. Iberian kingdoms operated under patronato real arrangements that gave monarchs extraordinary ecclesiastical appointment powers independently of any concordat. Southern Italian dioceses were under Norman and later Angevin rule with a distinct papal-vassal relationship (the pope was the feudal overlord of the Kingdom of Sicily). Venice had sui generis ecclesiastical politics in which the Republic exercised tight control over its clergy regardless of papal directives. Scandinavian and eastern European dioceses were on the frontier of Latin Christendom, with thinner institutional networks and very different trajectories of Christianization. These are not incidental differences; they go to the heart of what the concordats were supposed to change — the rules governing bishop selection and the allocation of interregnum revenues. If the uncovered regions already had alternative institutional mechanisms achieving similar or different distributions of church-lay power, the parallel trends assumption is compromised at its foundation. The authors use kingdom × half-century and grid-cell × half-century fixed effects, which help compare dioceses within the same covered kingdom at the same time, but the covered-versus-uncovered comparison — which is doing heavy structural lifting in the DiD — cannot be rescued by any within-group fixed effect. A stronger design might restrict the control group to regions with more comparable church-state structures (e.g., Burgundy /ˈbɜːrɡəndi/ before and after it came under concordat coverage), or use a regression discontinuity approach at the geographic boundaries of concordat coverage.</w:t>
      </w:r>
    </w:p>
    <w:p w14:paraId="12DDAD5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 对照组可比性与平行趋势的深层脆弱性。 双重差分设计将受协约约束的教区（英格兰、法国、神圣罗马帝国、爱尔兰）与未受约束的教区（伊比利亚半岛 Iberia /aɪˈbɪəriə/、葡萄牙 Portugal /ˈpɔːrtʃʊɡəl/、南意大利、威尼斯 Venice /ˈvɛnɪs/、以及东欧和北欧部分地区）进行比较。识别假设是，如果没有协约，较富裕与较贫穷教区的主教立场归属在受约束与未受约束地区之间会遵循平行趋势。问题在于，这些地区的差异不仅仅是可被固定效应吸收的</w:t>
      </w:r>
      <w:r>
        <w:rPr>
          <w:rFonts w:hint="default" w:ascii="Times New Roman Regular" w:hAnsi="Times New Roman Regular" w:cs="Times New Roman Regular"/>
          <w:lang w:val="en-US"/>
        </w:rPr>
        <w:t>“背景特征”</w:t>
      </w:r>
      <w:r>
        <w:rPr>
          <w:rFonts w:hint="default" w:ascii="Times New Roman Regular" w:hAnsi="Times New Roman Regular" w:cs="Times New Roman Regular" w:eastAsiaTheme="minorEastAsia"/>
        </w:rPr>
        <w:t>差异，而是教会-国家关系的根本结构差异。伊比利亚各王国在patronato real安排下赋予了国王独立于任何协约的非凡教会任命权力。南意大利教区处于诺曼和后来的安茹统治之下，与教皇有独特的封臣关系（教皇是西西里王国的封建宗主）。威尼斯有其独特的教会政治，共和国不论教皇指令如何都对神职人员实行严密控制。斯堪的纳维亚和东欧教区处于拉丁基督教世界的边缘，制度网络更薄弱，基督教化轨迹截然不同。这些不是附带差异，它们直接涉及协约所要改变的核心——主教选任规则和空缺期收入分配。如果未受约束地区已经拥有替代性的制度机制实现了相似或不同的教会-世俗权力分配，那么平行趋势假设在根基上就已被损害。作者使用了王国×半世纪和网格单元×半世纪固定效应，这有助于在同一受约束王国内比较同期教区，但受约束与未受约束之间的比较——在DiD中承担着重大结构性功能——无法被任何组内固定效应挽救。更强的设计可以将对照组限制在教会-国家结构更可比的地区（例如勃艮第 Burgundy /ˈbɜːrɡəndi/ 在纳入和未纳入协约覆盖之前后），或在协约覆盖的地理边界处使用断点回归方法。</w:t>
      </w:r>
    </w:p>
    <w:p w14:paraId="57814EEC">
      <w:pPr>
        <w:rPr>
          <w:rFonts w:hint="default" w:ascii="Times New Roman Regular" w:hAnsi="Times New Roman Regular" w:cs="Times New Roman Regular" w:eastAsiaTheme="minorEastAsia"/>
        </w:rPr>
      </w:pPr>
    </w:p>
    <w:p w14:paraId="6406BFC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 The development claim is much weaker than the political authority claim, creating a title-evidence asymmetry.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title and abstract frame the contribution as being about </w:t>
      </w:r>
      <w:r>
        <w:rPr>
          <w:rFonts w:hint="default" w:ascii="Times New Roman Regular" w:hAnsi="Times New Roman Regular" w:cs="Times New Roman Regular"/>
          <w:lang w:val="en-US"/>
        </w:rPr>
        <w:t>“European Development and the Rise of Political Authority,”</w:t>
      </w:r>
      <w:r>
        <w:rPr>
          <w:rFonts w:hint="default" w:ascii="Times New Roman Regular" w:hAnsi="Times New Roman Regular" w:cs="Times New Roman Regular" w:eastAsiaTheme="minorEastAsia"/>
        </w:rPr>
        <w:t xml:space="preserve"> placing economic development on equal footing with the shift in political power. The quantitative evidence, however, supports only the political authority half. The regressions on bishop alignment (Table 1) are generally in the predicted direction and often statistically significant across multiple specifications. The regressions on economic growth (Table 2), by contrast, are not statistically significant, and the authors themselves describe the evidence as </w:t>
      </w:r>
      <w:r>
        <w:rPr>
          <w:rFonts w:hint="default" w:ascii="Times New Roman Regular" w:hAnsi="Times New Roman Regular" w:cs="Times New Roman Regular"/>
          <w:lang w:val="en-US"/>
        </w:rPr>
        <w:t>“limited”</w:t>
      </w:r>
      <w:r>
        <w:rPr>
          <w:rFonts w:hint="default" w:ascii="Times New Roman Regular" w:hAnsi="Times New Roman Regular" w:cs="Times New Roman Regular" w:eastAsiaTheme="minorEastAsia"/>
        </w:rPr>
        <w:t xml:space="preserve"> and </w:t>
      </w:r>
      <w:r>
        <w:rPr>
          <w:rFonts w:hint="default" w:ascii="Times New Roman Regular" w:hAnsi="Times New Roman Regular" w:cs="Times New Roman Regular"/>
          <w:lang w:val="en-US"/>
        </w:rPr>
        <w:t>“noisy”</w:t>
      </w:r>
      <w:r>
        <w:rPr>
          <w:rFonts w:hint="default" w:ascii="Times New Roman Regular" w:hAnsi="Times New Roman Regular" w:cs="Times New Roman Regular" w:eastAsiaTheme="minorEastAsia"/>
        </w:rPr>
        <w:t xml:space="preserve"> (p. 889). The qualitative evidence for the development channel — usury bans, restrictions on mechanization, the behavior of specific English and French kings — is suggestive but anecdotal. This creates a structural asymmetry: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narrative frame promises to explain how institutional incentives drove economic divergence, but the actual evidence only supports the narrower claim that concordats shifted bishop alignment differentially by wealth. A reader who takes the evidence at face value should conclude that the paper demonstrates a plausible political consequence of the concordats but only conjectures about the economic one. The authors could address this either by downscaling the development framing to match the evidence, or by seeking stronger empirical tests — for instance, using the growth of trade routes, market charters, or urbanization rates as outcomes and exploiting within-kingdom variation in concordat coverage timing.</w:t>
      </w:r>
    </w:p>
    <w:p w14:paraId="1B9168E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 经济发展的论断远弱于政治权威的论断，造成了标题与证据的不对称。 论文的标题和摘要将贡献框定为关于</w:t>
      </w:r>
      <w:r>
        <w:rPr>
          <w:rFonts w:hint="default" w:ascii="Times New Roman Regular" w:hAnsi="Times New Roman Regular" w:cs="Times New Roman Regular"/>
          <w:lang w:val="en-US"/>
        </w:rPr>
        <w:t>“欧洲发展与政治权威的兴起”</w:t>
      </w:r>
      <w:r>
        <w:rPr>
          <w:rFonts w:hint="default" w:ascii="Times New Roman Regular" w:hAnsi="Times New Roman Regular" w:cs="Times New Roman Regular" w:eastAsiaTheme="minorEastAsia"/>
        </w:rPr>
        <w:t>，将经济发展与政治权力的转移并列。然而，定量证据仅支持政治权威这一半。关于主教立场归属的回归（表1）总体上与预测方向一致，且在多个设定中经常具有统计显著性。相比之下，关于经济增长的回归（表2）在统计上不显著，作者自己也将证据描述为</w:t>
      </w:r>
      <w:r>
        <w:rPr>
          <w:rFonts w:hint="default" w:ascii="Times New Roman Regular" w:hAnsi="Times New Roman Regular" w:cs="Times New Roman Regular"/>
          <w:lang w:val="en-US"/>
        </w:rPr>
        <w:t>“有限的”</w:t>
      </w:r>
      <w:r>
        <w:rPr>
          <w:rFonts w:hint="default" w:ascii="Times New Roman Regular" w:hAnsi="Times New Roman Regular" w:cs="Times New Roman Regular" w:eastAsiaTheme="minorEastAsia"/>
        </w:rPr>
        <w:t>和</w:t>
      </w:r>
      <w:r>
        <w:rPr>
          <w:rFonts w:hint="default" w:ascii="Times New Roman Regular" w:hAnsi="Times New Roman Regular" w:cs="Times New Roman Regular"/>
          <w:lang w:val="en-US"/>
        </w:rPr>
        <w:t>“噪声大的”</w:t>
      </w:r>
      <w:r>
        <w:rPr>
          <w:rFonts w:hint="default" w:ascii="Times New Roman Regular" w:hAnsi="Times New Roman Regular" w:cs="Times New Roman Regular" w:eastAsiaTheme="minorEastAsia"/>
        </w:rPr>
        <w:t>（第889页）。发展渠道的定性证据——高利贷禁令、对机械化的限制、特定英法国王的行为——具有暗示性但属轶事。这造成了一个结构性不对称：论文的叙事框架承诺解释制度激励如何驱动经济分化，但实际证据仅支持更狭窄的论断，即协约按财富差异性地改变了主教立场归属。一个按证据面值评判的读者应得出结论：本文展示了协约的一个合理的政治后果，但对经济后果仅属推测。作者可以通过降低发展框架的力度使其与证据匹配来解决这一问题，或者通过寻求更强的实证检验——例如使用贸易路线增长、市场特许权或城市化率作为结果变量，并利用王国内协约覆盖时间的变异。</w:t>
      </w:r>
    </w:p>
    <w:p w14:paraId="751ADB59">
      <w:pPr>
        <w:rPr>
          <w:rFonts w:hint="default" w:ascii="Times New Roman Regular" w:hAnsi="Times New Roman Regular" w:cs="Times New Roman Regular" w:eastAsiaTheme="minorEastAsia"/>
        </w:rPr>
      </w:pPr>
    </w:p>
    <w:p w14:paraId="089E8847">
      <w:pPr>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eastAsiaTheme="minorEastAsia"/>
        </w:rPr>
        <w:t>4. The mechanism evidence is geographically mismatched with the quantitative identification. The quantitative analysis claims to identify a pattern across all of Catholic Europe — 427 dioceses spanning England, France, the HRE, Ireland, Iberia, Italy, and beyond. The qualitative mechanism evidence, however, is drawn almost entirely from England and France: Henry II /ˈhɛnri/ holding vacant bishoprics to install loyalists, Richard the Lionheart /ˈrɪtʃərd/ taxing church property, Philip IV /ˈfɪlɪp/ of France clashing with Boniface VIII /ˈbɒnɪfəs/. This creates a methodological tension. The statistical estimates depend on variation across the entire sample, including regions — the HRE, Ireland — where the mechanism may have operated quite differently. In the HRE, prince-bishops (Fürstbischöfe) simultaneously held secular and ecclesiastical authority, making the church-vs.-crown bargaining framework less straightforwardly applicable. In Ireland, the concordat was imposed through conquest (Henry II</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1171 invasion), not negotiated — which may have altered the bargaining dynamics. The paper would benefit from systematic mechanism evidence drawn from the HRE and other regions, or at minimum an explicit discussion of why the English and French cases should be taken as representative of a continent-wide process. Without this, the paper is doing something closer to </w:t>
      </w:r>
      <w:r>
        <w:rPr>
          <w:rFonts w:hint="default" w:ascii="Times New Roman Regular" w:hAnsi="Times New Roman Regular" w:cs="Times New Roman Regular"/>
          <w:lang w:val="en-US"/>
        </w:rPr>
        <w:t>“illustrating the plausibility of a mechanism with convenient cases”</w:t>
      </w:r>
      <w:r>
        <w:rPr>
          <w:rFonts w:hint="default" w:ascii="Times New Roman Regular" w:hAnsi="Times New Roman Regular" w:cs="Times New Roman Regular" w:eastAsiaTheme="minorEastAsia"/>
        </w:rPr>
        <w:t xml:space="preserve"> than </w:t>
      </w:r>
      <w:r>
        <w:rPr>
          <w:rFonts w:hint="default" w:ascii="Times New Roman Regular" w:hAnsi="Times New Roman Regular" w:cs="Times New Roman Regular"/>
          <w:lang w:val="en-US"/>
        </w:rPr>
        <w:t>“demonstrating that a particular mechanism generated the observed statistical pattern.”</w:t>
      </w:r>
    </w:p>
    <w:p w14:paraId="5E0F127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4. 机制证据的地理分布与定量识别不匹配。 定量分析声称识别了一个遍及整个天主教欧洲的模式——427个教区横跨英格兰、法国、神圣罗马帝国、爱尔兰、伊比利亚、意大利等地。然而，定性机制证据几乎完全来自英格兰和法国：亨利二世（Henry II /ˈhɛnri/）扣留空缺主教职位以安插忠臣、狮心王理查（Richard the Lionheart /ˈrɪtʃərd/）对教会财产征税、法国腓力四世（Philip IV /ˈfɪlɪp/）与博尼法斯八世（Boniface VIII /ˈbɒnɪfəs/）的冲突。这造成了方法论上的张力。统计估计依赖于整个样本的变异，包括机制可能以相当不同方式运作的地区——神圣罗马帝国、爱尔兰。在神圣罗马帝国，采邑主教（Fürstbischöfe）同时拥有世俗和教会权威，使得教会对王权的议价框架不那么直接适用。在爱尔兰，协约是通过征服（亨利二世1171年入侵）强加的，而非谈判达成的——这可能改变了议价动态。本文将受益于从神圣罗马帝国和其他地区汲取的系统性机制证据，或至少明确讨论为什么英法案例应被视为全欧洲进程的代表。否则，本文所做的更接近于</w:t>
      </w:r>
      <w:r>
        <w:rPr>
          <w:rFonts w:hint="default" w:ascii="Times New Roman Regular" w:hAnsi="Times New Roman Regular" w:cs="Times New Roman Regular"/>
          <w:lang w:val="en-US"/>
        </w:rPr>
        <w:t>“用方便的案例说明机制的合理性”</w:t>
      </w:r>
      <w:r>
        <w:rPr>
          <w:rFonts w:hint="default" w:ascii="Times New Roman Regular" w:hAnsi="Times New Roman Regular" w:cs="Times New Roman Regular" w:eastAsiaTheme="minorEastAsia"/>
        </w:rPr>
        <w:t>，而非</w:t>
      </w:r>
      <w:r>
        <w:rPr>
          <w:rFonts w:hint="default" w:ascii="Times New Roman Regular" w:hAnsi="Times New Roman Regular" w:cs="Times New Roman Regular"/>
          <w:lang w:val="en-US"/>
        </w:rPr>
        <w:t>“证明某一特定机制产生了观测到的统计模式”</w:t>
      </w:r>
      <w:r>
        <w:rPr>
          <w:rFonts w:hint="default" w:ascii="Times New Roman Regular" w:hAnsi="Times New Roman Regular" w:cs="Times New Roman Regular" w:eastAsiaTheme="minorEastAsia"/>
        </w:rPr>
        <w:t>。</w:t>
      </w:r>
    </w:p>
    <w:p w14:paraId="2C9831E7">
      <w:pPr>
        <w:rPr>
          <w:rFonts w:hint="default" w:ascii="Times New Roman Regular" w:hAnsi="Times New Roman Regular" w:cs="Times New Roman Regular" w:eastAsiaTheme="minorEastAsia"/>
        </w:rPr>
      </w:pPr>
    </w:p>
    <w:p w14:paraId="46B8041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5. Wealth measures: the author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mitigation is substantial but incomplete. The authors are explicitly aware that wealth could be endogenous and take deliberate steps to address it: all wealth measures are fixed, pre-concordat characteristics, and they use caloric potential — a geographic endowment determined by soil and climate — as their most exogenous measure (p. 882). This is a genuine strength of the research design. However, the concern is not fully eliminated. The deeper problem is not that the concordats might have influenced wealth (which the pre-concordat measurement addresses), but that earlier processes of state-building, commercialization, or Roman-era urbanization may have simultaneously shaped both pre-concordat wealth and the subsequent trajectory of church-state relations through channels independent of the concordats. For instance, dioceses on major Roman roads may have been wealthier, better connected to Rome, more institutionally developed, and subject to different patterns of episcopal appointment even before the concordats — not because of the concordat</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incentives, but because of deep historical path dependencies. Caloric potential helps, since it is determined by geography rather than human history, but the results using caloric potential are less consistent than those using trade (compare rows in Table 1). Addressing this fully would require an instrumental variable for diocesan wealth that is correlated with pre-concordat economic potential but uncorrelated with pre-concordat church-state bargaining dynamics — a tall order for medieval data.</w:t>
      </w:r>
    </w:p>
    <w:p w14:paraId="4F74835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5. 财富测度：作者的处理实质性但不完整。 作者明确意识到财富可能是内生的，并采取了审慎步骤加以处理：所有财富测度都是固定的、协约前的特征，他们使用热量潜力——一种由土壤和气候决定的地理禀赋——作为最外生的测度（第882页）。这是研究设计的真正优势。然而，这一担忧并未被完全消除。更深层的问题不是协约可能影响了财富（协约前的测量解决了这一点），而是更早期的国家建设、商业化或罗马时代的城市化进程可能通过独立于协约的渠道同时塑造了协约前的财富和随后的教会-国家关系轨迹。例如，位于主要罗马大道上的教区可能更富裕、与罗马联系更紧密、制度上更发达，并且即使在协约之前就受到不同的主教任命模式的影响——不是因为协约的激励，而是因为深层的历史路径依赖。热量潜力有所帮助，因为它由地理而非人类历史决定，但使用热量潜力的结果不如使用贸易的结果一致（比较表1各行）。完全解决这一问题需要一个与协约前经济潜力相关但与协约前教会-国家议价动态不相关的教区财富工具变量——对中世纪数据而言这是一个很高的要求。</w:t>
      </w:r>
    </w:p>
    <w:p w14:paraId="164053A0">
      <w:pPr>
        <w:rPr>
          <w:rFonts w:hint="default" w:ascii="Times New Roman Regular" w:hAnsi="Times New Roman Regular" w:cs="Times New Roman Regular" w:eastAsiaTheme="minorEastAsia"/>
        </w:rPr>
      </w:pPr>
    </w:p>
    <w:p w14:paraId="47D1821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6. Missing data: the author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test is necessary but not sufficient. The authors test whether missingness in bishop alignment data is systematically correlated with the Wealth × Concordats interaction and report no significant relationship (Table C.1, p. 884). This is a responsible check and rules out the most worrisome form of selective attrition — that alignment is systematically unobservable precisely where the concordat</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effect on wealthy dioceses is strongest. However, this test does not rule out all forms of informative missingness. Biography richness — the availability of sufficient detail to code a bishop</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alignment — is itself likely correlated with the institutional importance, wealth, and political salience of a diocese, as well as with the region</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historiographic tradition and the survival of archival records. If wealthier dioceses in concordat-covered regions have richer surviving records (which is plausible, given that wealthier institutions tend to produce and preserve more documentation), then the sample of codeable bishops may over-represent precisely those cases where the concordat mechanism was most operative. The correction would require modeling the missingness process jointly with the outcome, for instance through a Heckman-type selection model, though the lack of a convincing exclusion restriction makes this difficult in practice.</w:t>
      </w:r>
    </w:p>
    <w:p w14:paraId="39E01D8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6. 缺失数据：作者的检验是必要的但不充分的。 作者检验了主教立场归属数据的缺失是否与Wealth × Concordats交互项系统相关，并报告无显著关系（表C.1，第884页）。这是一项负责任的检查，排除了最令人担忧的选择性流失形式——即立场归属恰好在协约对富裕教区影响最强的地方系统性地不可观测。然而，这一检验并不排除所有形式的信息性缺失。传记丰富性——编码主教立场归属的充分细节的可获得性——本身可能与教区的制度重要性、财富和政治显著性相关，也与该地区的史学传统和档案记录的存续相关。如果受协约约束地区的较富裕教区有更丰富的存世记录（这是合理的，因为更富裕的机构倾向于产生和保存更多文献），那么可编码主教的样本可能恰恰过度代表了协约机制最活跃的那些案例。纠正方法需要将缺失过程与结果联合建模，例如通过赫克曼型选择模型，但在实践中，缺乏有说服力的排除限制使这一做法困难重重。</w:t>
      </w:r>
    </w:p>
    <w:p w14:paraId="16EFB7FF">
      <w:pPr>
        <w:rPr>
          <w:rFonts w:hint="default" w:ascii="Times New Roman Regular" w:hAnsi="Times New Roman Regular" w:cs="Times New Roman Regular" w:eastAsiaTheme="minorEastAsia"/>
        </w:rPr>
      </w:pPr>
    </w:p>
    <w:p w14:paraId="6817434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7. A data count inconsistency signals the need for greater transparency. The paper states there are </w:t>
      </w:r>
      <w:r>
        <w:rPr>
          <w:rFonts w:hint="default" w:ascii="Times New Roman Regular" w:hAnsi="Times New Roman Regular" w:cs="Times New Roman Regular"/>
          <w:lang w:val="en-US"/>
        </w:rPr>
        <w:t>“427 unique dioceses of which 292 are covered by a concordat at some point and 181 never are”</w:t>
      </w:r>
      <w:r>
        <w:rPr>
          <w:rFonts w:hint="default" w:ascii="Times New Roman Regular" w:hAnsi="Times New Roman Regular" w:cs="Times New Roman Regular" w:eastAsiaTheme="minorEastAsia"/>
        </w:rPr>
        <w:t xml:space="preserve"> (p. 881). But 292 + 181 = 473, not 427. This discrepancy is never explained. It may reflect dioceses that changed coverage status over time due to territorial shifts, or dioceses counted in both categories because they merged or split across the sample period. Alternatively, it may be a typographical or editorial error. Whatever its source, this inconsistency in the most basic sample description — the total number of observations — is a credibility signal that raises questions about data construction and sample definition transparency. It does not necessarily undermine the main results, but it warrants clarification. Readers and reviewers should be able to reconstruct the exact sample from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description, and here they cannot.</w:t>
      </w:r>
    </w:p>
    <w:p w14:paraId="0036FFD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7. 数据计数不一致表明需要更大的透明度。 论文声称有</w:t>
      </w:r>
      <w:r>
        <w:rPr>
          <w:rFonts w:hint="default" w:ascii="Times New Roman Regular" w:hAnsi="Times New Roman Regular" w:cs="Times New Roman Regular"/>
          <w:lang w:val="en-US"/>
        </w:rPr>
        <w:t>“427个独特教区，其中292个在某一时期受协约约束，181个从未受约束”</w:t>
      </w:r>
      <w:r>
        <w:rPr>
          <w:rFonts w:hint="default" w:ascii="Times New Roman Regular" w:hAnsi="Times New Roman Regular" w:cs="Times New Roman Regular" w:eastAsiaTheme="minorEastAsia"/>
        </w:rPr>
        <w:t>（第881页）。但292 + 181 = 473，不等于427。这一差异从未被解释。它可能反映了由于领土变动而在覆盖范围之间切换的教区，或者因为在样本时期内合并或分裂而被计入两个类别的教区。或者，它可能是排版或编辑错误。无论其来源如何，在最基本的样本描述——观测值总数——中的这一不一致是一个可信度信号，引发了关于数据构建和样本定义透明度的疑问。它不一定损害主要结果，但值得澄清。读者和审稿人应能从论文的描述中重建确切的样本，而在此他们无法做到。</w:t>
      </w:r>
    </w:p>
    <w:p w14:paraId="7F2CBBB0">
      <w:pPr>
        <w:rPr>
          <w:rFonts w:hint="default" w:ascii="Times New Roman Regular" w:hAnsi="Times New Roman Regular" w:cs="Times New Roman Regular" w:eastAsiaTheme="minorEastAsia"/>
        </w:rPr>
      </w:pPr>
    </w:p>
    <w:p w14:paraId="7C9FA62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8. The 1309 endpoint is theoretically motivated but still involves authorial judgment. The authors argue that the Avignon papacy, beginning in 1309, effectively ended the period in which the concordats defined church-lay relations in an observable way, because the popes became </w:t>
      </w:r>
      <w:r>
        <w:rPr>
          <w:rFonts w:hint="default" w:ascii="Times New Roman Regular" w:hAnsi="Times New Roman Regular" w:cs="Times New Roman Regular"/>
          <w:lang w:val="en-US"/>
        </w:rPr>
        <w:t>“little more than vassals of the French monarchs”</w:t>
      </w:r>
      <w:r>
        <w:rPr>
          <w:rFonts w:hint="default" w:ascii="Times New Roman Regular" w:hAnsi="Times New Roman Regular" w:cs="Times New Roman Regular" w:eastAsiaTheme="minorEastAsia"/>
        </w:rPr>
        <w:t xml:space="preserve"> (p. 879, quoting Stephen 1855). This is a defensible theoretical cutoff, not an arbitrary one. However, </w:t>
      </w:r>
      <w:r>
        <w:rPr>
          <w:rFonts w:hint="default" w:ascii="Times New Roman Regular" w:hAnsi="Times New Roman Regular" w:cs="Times New Roman Regular"/>
          <w:lang w:val="en-US"/>
        </w:rPr>
        <w:t>“observable way”</w:t>
      </w:r>
      <w:r>
        <w:rPr>
          <w:rFonts w:hint="default" w:ascii="Times New Roman Regular" w:hAnsi="Times New Roman Regular" w:cs="Times New Roman Regular" w:eastAsiaTheme="minorEastAsia"/>
        </w:rPr>
        <w:t xml:space="preserve"> is a judgment call, not a bright-line empirical criterion. The concordats were never formally abrogated; the institutional rules continued to exist on paper. The question of whether the Avignon papacy fully suppressed the concordat mechanism, or merely altered the parameter values (e.g., reducing c, the church</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punishment capacity, in the model), is an empirical question that the 1309 cutoff forecloses. Extending the sample through 1378 (the Great Schism) or 1417 (the end of the Schism) with appropriate period indicators would test whether the concordat-wealth interaction persists, attenuates, or reverses during the Avignon period, which would itself be informative about the mechanism.</w:t>
      </w:r>
    </w:p>
    <w:p w14:paraId="7CF6B19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8. 1309年终点有理论依据但仍涉及作者判断。 作者论证始于1309年的阿维尼翁教廷实际上结束了协约以可观察方式界定教会-世俗关系的时期，因为教皇变成了</w:t>
      </w:r>
      <w:r>
        <w:rPr>
          <w:rFonts w:hint="default" w:ascii="Times New Roman Regular" w:hAnsi="Times New Roman Regular" w:cs="Times New Roman Regular"/>
          <w:lang w:val="en-US"/>
        </w:rPr>
        <w:t>“法国君主的附庸”</w:t>
      </w:r>
      <w:r>
        <w:rPr>
          <w:rFonts w:hint="default" w:ascii="Times New Roman Regular" w:hAnsi="Times New Roman Regular" w:cs="Times New Roman Regular" w:eastAsiaTheme="minorEastAsia"/>
        </w:rPr>
        <w:t>（第879页，引用Stephen 1855）。这是一个可辩护的理论截断，不是任意的。然而，</w:t>
      </w:r>
      <w:r>
        <w:rPr>
          <w:rFonts w:hint="default" w:ascii="Times New Roman Regular" w:hAnsi="Times New Roman Regular" w:cs="Times New Roman Regular"/>
          <w:lang w:val="en-US"/>
        </w:rPr>
        <w:t>“可观察方式”</w:t>
      </w:r>
      <w:r>
        <w:rPr>
          <w:rFonts w:hint="default" w:ascii="Times New Roman Regular" w:hAnsi="Times New Roman Regular" w:cs="Times New Roman Regular" w:eastAsiaTheme="minorEastAsia"/>
        </w:rPr>
        <w:t>是一个判断性表述，不是一个清晰的经验标准。协约从未被正式废除；制度规则在纸面上继续存在。阿维尼翁教廷是否完全压制了协约机制，还是仅仅改变了参数值（例如降低了模型中c——教会的惩罚能力），是一个经验问题，而1309年的截断将其排除在外。将样本延伸至1378年（大分裂）或1417年（分裂结束），并加入适当的时期指标，可以检验协约-财富交互项在阿维尼翁时期是否持续、减弱或逆转，这本身就能为机制提供信息。</w:t>
      </w:r>
    </w:p>
    <w:p w14:paraId="3A582A43">
      <w:pPr>
        <w:rPr>
          <w:rFonts w:hint="default" w:ascii="Times New Roman Regular" w:hAnsi="Times New Roman Regular" w:cs="Times New Roman Regular" w:eastAsiaTheme="minorEastAsia"/>
        </w:rPr>
      </w:pPr>
    </w:p>
    <w:p w14:paraId="4D6AE0D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9. The formal model and the empirical test address different objects. The model predicts the policy position of the nominated bishop in equilibrium. The data measure the alignment of the consecrated (i.e., accepted) bishop. In the model, these are the same in equilibrium — the church nominates r*, and when the ruler accepts, r* is the bishop</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type. But the data also include bishops appointed during periods without concordats and bishops whose appointment processes may not have followed the model</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structure. More fundamentally, the binary alignment coding (0/1) is a coarse discretization of what the model treats as a continuous variable. The model</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prediction is that r* shifts continuously as y increases; the empirical test can only detect whether the probability of a binary outcome changes. This is a standard theory-to-data translation problem, but it means the quantitative estimates cannot distinguish between small continuous shifts in bargaining (which the model predicts for all interior-solution dioceses) and discrete regime changes (which would be a different phenomenon). The LPM specification imposes linearity on what the model says is a nonlinear relationship.</w:t>
      </w:r>
    </w:p>
    <w:p w14:paraId="012D93F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9. 形式模型与经验检验针对不同的对象。 模型预测的是均衡中被提名主教的政策立场。数据衡量的是被祝圣（即被接受的）主教的立场归属。在模型中，两者在均衡中是相同的——教会提名r*，当统治者接受时，r就是主教的类型。但数据还包括在没有协约的时期被任命的主教，以及任命过程可能不符合模型结构的主教。更根本的是，二元立场归属编码（0/1）是模型视为连续变量的粗略离散化。模型的预测是r随y增加而连续移动；经验检验只能检测二元结果的概率是否变化。这是一个标准的理论到数据转换问题，但它意味着定量估计无法区分议价的微小连续移动（模型对所有内点解教区都预测了这一点）和离散的制度体制变化（这将是一个不同的现象）。LPM设定对模型所说的非线性关系强加了线性。</w:t>
      </w:r>
    </w:p>
    <w:p w14:paraId="623ECF98">
      <w:pPr>
        <w:rPr>
          <w:rFonts w:hint="default" w:ascii="Times New Roman Regular" w:hAnsi="Times New Roman Regular" w:cs="Times New Roman Regular" w:eastAsiaTheme="minorEastAsia"/>
        </w:rPr>
      </w:pPr>
    </w:p>
    <w:p w14:paraId="6AEC5DF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highlight w:val="yellow"/>
        </w:rPr>
        <w:t>Extensions: Potential extensions and new research questions / 拓展：潜在研究拓展与新研究问题</w:t>
      </w:r>
    </w:p>
    <w:p w14:paraId="701A574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Interregna as a direct test. If data on the length and frequency of episcopal vacancies can be compiled — church records often do record vacancy dates — this would provide a direct test of the bargaining mechanism. The prediction would be that interregna are longer in wealthier concordat-covered dioceses, where rulers had more to gain from holding out.</w:t>
      </w:r>
    </w:p>
    <w:p w14:paraId="77EFD56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Protestant Reformation. The paper suggests that the concordats created political preconditions for the Reformation by empowering lay rulers in wealthier areas. A natural extension would be to test whether dioceses that experienced the strongest concordat-driven shift toward lay alignment were more likely to adopt Protestantism in the 16th century. This would require linking the diocese-level data to Reformation adoption data (e.g., Cantoni 2015; Becker, Pfaff, and Rubin 2016).</w:t>
      </w:r>
    </w:p>
    <w:p w14:paraId="498D461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Parliamentary development. If the concordats shifted political power toward lay rulers in wealthier areas, this may have also affected the emergence of representative institutions. Did regions with stronger lay control develop parliaments, estates, or other representative bodies earlier? This connects to the broader literature on the medieval origins of democracy (Stasavage 2020).</w:t>
      </w:r>
    </w:p>
    <w:p w14:paraId="7AD6C52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Church institutional responses. The paper documents the church</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strategies (usury bans, diversion of revenues, new monastic orders), but treats these as qualitative illustrations. A systematic study of the timing and geography of these institutional innovations — were they adopted earlier or more aggressively in areas where the concordats most threatened church power? — would provide a stronger test of the model</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welfare implications.</w:t>
      </w:r>
    </w:p>
    <w:p w14:paraId="30A1475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Beyond Europe: comparative institutional analysis. The concordats created a specific institutional bargaining structure between church and state. Are there analogous institutional arrangements in other civilizations — for instance, in Islamic waqf administration, Buddhist temple endowments, or Hindu temple governance — where the division of religious revenues between religious and political authorities shaped political development? A comparative analysis could test the generalizability of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mechanism.</w:t>
      </w:r>
    </w:p>
    <w:p w14:paraId="338F4635">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Connecting to Grzymala-Busse more precisely. Grzymala-Busse (2020) argues that the concordats weakened lay rulers on net. The present paper argues they strengthened lay rulers differentially in wealthier dioceses. These claims are not necessarily contradictory: the concordats could have weakened lay rulers on average while strengthening them in wealthy places. A unified empirical framework that estimates both the average and heterogeneous effects of the concordats would clarify this debate.</w:t>
      </w:r>
    </w:p>
    <w:p w14:paraId="5CBC4D4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空缺期作为直接检验。 如果能够编纂主教空缺期的长度和频率数据——教会记录通常确实记载了空缺日期——这将提供对议价机制的直接检验。预测是在较富裕的受协约约束教区，空缺期更长，因为统治者从坚持不接受中获益更多。</w:t>
      </w:r>
    </w:p>
    <w:p w14:paraId="1C311A6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宗教改革。 本文暗示协约通过在较富裕地区赋权世俗统治者为宗教改革创造了政治前提条件。一个自然的拓展是检验经历了最强协约驱动的向世俗归属转移的教区是否更有可能在16世纪采纳新教。这需要将教区层面的数据与宗教改革采纳数据联系起来（如Cantoni 2015; Becker, Pfaff, and Rubin 2016）。</w:t>
      </w:r>
    </w:p>
    <w:p w14:paraId="08E1099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议会发展。 如果协约在较富裕地区将政治权力向世俗统治者转移，这可能也影响了代议制度的出现。世俗控制更强的地区是否更早发展出议会、等级会议或其他代议机构？这与关于民主的中世纪起源的更广泛文献相关（Stasavage 2020）。</w:t>
      </w:r>
    </w:p>
    <w:p w14:paraId="0ED407A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教会的制度性回应。 本文记录了教会的策略（禁止高利贷、收入转移、新修道会），但将这些作为定性例证处理。对这些制度创新的时间和地理分布的系统研究——它们是否在协约最威胁教会权力的地区更早或更积极地被采纳？——将为模型的福利含义提供更强的检验。</w:t>
      </w:r>
    </w:p>
    <w:p w14:paraId="7A06504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超越欧洲：比较制度分析。 协约在教会与国家之间创造了一种特定的制度性议价结构。在其他文明中是否存在类似的制度安排——例如，在伊斯兰瓦克夫（waqf）管理、佛教寺庙捐赠或印度教寺庙治理中——宗教收入在宗教与政治当局之间的分配塑造了政治发展？比较分析可以检验本文机制的可推广性。</w:t>
      </w:r>
    </w:p>
    <w:p w14:paraId="2F320BE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更精确地与Grzymala-Busse对话。 Grzymala-Busse (2020)论证协约在净效应上削弱了世俗统治者。本文论证协约在较富裕教区差异性地增强了世俗统治者。这些主张不一定矛盾：协约可能在平均水平上削弱了世俗统治者，同时在富裕地区增强了他们。一个统一的实证框架同时估计协约的平均效应和异质性效应将澄清这一辩论。</w:t>
      </w:r>
    </w:p>
    <w:p w14:paraId="41EAFDCB">
      <w:pPr>
        <w:rPr>
          <w:rFonts w:hint="default" w:ascii="Times New Roman Regular" w:hAnsi="Times New Roman Regular" w:cs="Times New Roman Regular" w:eastAsiaTheme="minorEastAsia"/>
        </w:rPr>
      </w:pPr>
    </w:p>
    <w:p w14:paraId="271F73F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b/>
          <w:bCs/>
          <w:color w:val="0000FF"/>
        </w:rPr>
        <w:t>Why are this paper and Grzymala-Busse</w:t>
      </w:r>
      <w:r>
        <w:rPr>
          <w:rFonts w:hint="default" w:ascii="Times New Roman Regular" w:hAnsi="Times New Roman Regular" w:cs="Times New Roman Regular"/>
          <w:b/>
          <w:bCs/>
          <w:color w:val="0000FF"/>
          <w:lang w:val="en-US"/>
        </w:rPr>
        <w:t>’s</w:t>
      </w:r>
      <w:r>
        <w:rPr>
          <w:rFonts w:hint="default" w:ascii="Times New Roman Regular" w:hAnsi="Times New Roman Regular" w:cs="Times New Roman Regular" w:eastAsiaTheme="minorEastAsia"/>
          <w:b/>
          <w:bCs/>
          <w:color w:val="0000FF"/>
        </w:rPr>
        <w:t xml:space="preserve"> Sacred Foundations (Chs. 2–3) in the same session? What do they share, and how do they differ from other state formation readings? / 为什么这两篇文献被放在同一个session？有什么共通之处？与其他国家形成文献有什么区别？</w:t>
      </w:r>
    </w:p>
    <w:p w14:paraId="23DD133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Common ground. Both papers are about the medieval Catholic Church as a central actor in European political development, and both focus on the same historical episode — the Investiture Controversy and its aftermath — as a critical juncture. Both papers argue that the church-state rivalry that played out from the 11th to the 14th century had profound and lasting consequences for the distribution of political authority in Europe. Both reject the notion that European political development can be understood primarily through the lens of early modern warfare (the bellicist thesis of Tilly 1990), and instead push the causal timeline back to the medieval period. Both also emphasize that the relationship between church and lay rulers was strategic: neither side was a passive recipient of the other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actions, and both adapted their institutions and strategies in response to the other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moves.</w:t>
      </w:r>
    </w:p>
    <w:p w14:paraId="304A17B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Key differences. Despite these commonalities, the two papers arrive at sharply different conclusions about the net effect of the concordats and the Investiture Controversy on lay political authority.</w:t>
      </w:r>
    </w:p>
    <w:p w14:paraId="5E13B0D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Grzymala-Busse argues that the concordats weakened lay leaders on net. In her account, the papacy used the Investiture Controversy as an opportunity to assert supreme spiritual authority, fragment the political landscape (especially in the HRE and Italy), and build institutional capacities (chanceries, taxation, judiciary) that were later emulated by secular rulers but in the short run entrenched papal power. The concordats, in her reading, conceded important powers to the church (the right of nomination) and represented a defeat for lay rulers who had previously claimed the right to invest bishops themselves.</w:t>
      </w:r>
    </w:p>
    <w:p w14:paraId="72DAF41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Bueno de Mesquita and Bueno de Mesquita argue that the concordats differentially strengthened lay rulers in wealthier dioceses. They focus on a specific institutional detail that Grzymala-Busse does not emphasize: the rule that interregnum revenues flow to the lay ruler. They show that this rule gave wealthier lay rulers a credible outside option in the bargaining over bishops, which the church could not match. The two accounts are not necessarily contradictory — the concordats may have weakened lay rulers in some dimensions (loss of investiture rights) while strengthening them in others (residual claimancy over revenues in wealthy sees) — but they reflect fundamentally different analytical emphases.</w:t>
      </w:r>
    </w:p>
    <w:p w14:paraId="16603CF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Methodological contrast. The two works also differ methodologically. Grzymala-Busse combines quantitative analysis (grid-cell regressions for fragmentation) with extensive qualitative process tracing and comparative institutional history. The Bueno de Mesquita paper combines a formal game-theoretic model with difference-in-differences econometrics. The formal model is a distinctive feature: it is the only reading in our state formation syllabus (alongside, perhaps, Stasavage</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arguments) that derives its empirical predictions from a fully specified strategic model. This reflects the author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commitment to methodological rigor in the rational-choice tradition, but it also means the model</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predictions are conditional on specific assumptions (unidimensional policy space, stationary strategies, one-shot appointment) that may not hold in practice.</w:t>
      </w:r>
    </w:p>
    <w:p w14:paraId="15B4FC8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How both differ from other state formation readings. Compared to the other readings we have covered — Tilly (1990) on war and coercion-capital interactions, North and Weingast (1989) on credible commitments and fiscal institutions, Stasavage (2020) on geographic scale and representative government, Dincecco and Prado (2012) on the conditional bellicist thesis, Paglayan (2022) on education as internal security — both Grzymala-Busse and Bueno de Mesquita share three distinctive features:</w:t>
      </w:r>
    </w:p>
    <w:p w14:paraId="2C7708A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First, they place religion and the church at the center of the state formation story, rather than treating it as a secondary or residual factor. In Tilly, the church appears mainly as an obstacle to state consolidation or a source of revenue. In North and Weingast, religion is almost entirely absent. In the broader state formation literature, the church is typically treated as part of the </w:t>
      </w:r>
      <w:r>
        <w:rPr>
          <w:rFonts w:hint="default" w:ascii="Times New Roman Regular" w:hAnsi="Times New Roman Regular" w:cs="Times New Roman Regular"/>
          <w:lang w:val="en-US"/>
        </w:rPr>
        <w:t>“background conditions”</w:t>
      </w:r>
      <w:r>
        <w:rPr>
          <w:rFonts w:hint="default" w:ascii="Times New Roman Regular" w:hAnsi="Times New Roman Regular" w:cs="Times New Roman Regular" w:eastAsiaTheme="minorEastAsia"/>
        </w:rPr>
        <w:t xml:space="preserve"> rather than as a strategic actor with its own objectives and institutional capacities. Both papers challenge this marginalization.</w:t>
      </w:r>
    </w:p>
    <w:p w14:paraId="1532BB3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Second, both push the temporal focus of the state formation debate back to the medieval period (11th–14th centuries), rather than the early modern period (16th–18th centuries) that dominates most of the literature. This is a significant reorientation: if the critical institutional innovations and power shifts occurred in the medieval period, then the early modern developments that Tilly, Ertman, and others focus on may be downstream consequences rather than first causes.</w:t>
      </w:r>
    </w:p>
    <w:p w14:paraId="62574A3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Third, both emphasize institutional design and bargaining over coercion and warfare as the primary drivers of political change. The concordats were negotiated agreements, not military outcomes. The shifts in political authority they generated arose from changes in bargaining rules, not from battlefield victories. This aligns with the contractual/institutional strand of the state formation literature (North and Weingast, Stasavage) rather than the bellicist strand (Tilly, Dincecco and Prado), but applies it to a historical context — the medieval church-state relationship — that is rarely analyzed in these terms.</w:t>
      </w:r>
    </w:p>
    <w:p w14:paraId="237CA2A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共同点。 两篇论文都关注中世纪天主教会作为欧洲政治发展的核心行为者，都聚焦于同一历史事件——叙任权之争及其后果——作为关键节点。两篇论文都论证11至14世纪的教会-国家竞争对欧洲政治权威的分配产生了深远而持久的影响。两者都拒绝了欧洲政治发展主要可以通过早期现代战争（Tilly 1990的战争主义命题）的透镜来理解的观点，而是将因果时间线推回到中世纪时期。两者还都强调教会与世俗统治者之间的关系是战略性的：双方都不是对方行动的被动接受者，双方都根据对方的行动调整自己的制度和策略。</w:t>
      </w:r>
    </w:p>
    <w:p w14:paraId="09D306A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关键差异。 尽管有这些共同点，两篇论文对协约和叙任权之争对世俗政治权威的净效应得出了截然不同的结论。</w:t>
      </w:r>
    </w:p>
    <w:p w14:paraId="3514436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Grzymala-Busse认为协约在净效应上削弱了世俗领袖。在她的叙述中，教廷利用叙任权之争作为机会来主张最高的精神权威、碎片化政治版图（尤其在神圣罗马帝国和意大利）、并建设后来被世俗统治者效仿但在短期内巩固了教皇权力的制度能力（文书处、税收、司法）。在她的解读中，协约向教会让步了重要权力（提名权），代表了世俗统治者的失败——他们此前曾声称拥有亲自授予主教职位的权利。</w:t>
      </w:r>
    </w:p>
    <w:p w14:paraId="23B99BF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Bueno de Mesquita父子则论证协约在较富裕教区差异性地增强了世俗统治者。他们聚焦于Grzymala-Busse未强调的一个具体制度细节：空缺期收入流向世俗统治者的规则。他们表明这一规则赋予了较富裕的世俗统治者在主教议价中的可信外部选项，而教会无法匹配。两种叙述不一定矛盾——协约可能在某些维度削弱了世俗统治者（失去授职权），同时在其他维度增强了他们（在富裕教区对收入的剩余索取权）——但它们反映了根本不同的分析重点。</w:t>
      </w:r>
    </w:p>
    <w:p w14:paraId="0D4EB54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方法论对比。 两项研究在方法论上也有差异。Grzymala-Busse将定量分析（碎片化的网格单元回归）与广泛的定性过程追踪和比较制度史相结合。Bueno de Mesquita的论文将形式博弈论模型与双重差分计量经济学相结合。形式模型是一个独特特征：在我们的国家形成课程大纲中，它是唯一一篇（也许除了Stasavage的论证之外）从完全指定的战略模型中推导其实证预测的读物。这反映了作者对理性选择传统中方法论严谨性的承诺，但也意味着模型的预测取决于可能在实践中不成立的特定假设（一维政策空间、稳态策略、一次性任命）。</w:t>
      </w:r>
    </w:p>
    <w:p w14:paraId="63A130B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两者与其他国家形成读物的区别。 与我们已涵盖的其他读物——Tilly (1990)关于战争和强制-资本互动、North and Weingast (1989)关于可信承诺和财政制度、Stasavage (2020)关于地理规模和代议制政府、Dincecco and Prado (2012)关于条件性战争主义命题、Paglayan (2022)关于作为内部安全的教育——相比，Grzymala-Busse和Bueno de Mesquita共享三个独特特征：</w:t>
      </w:r>
    </w:p>
    <w:p w14:paraId="2DC8A20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第一，他们将宗教和教会置于国家形成故事的中心，而非将其视为次要或残余因素。在Tilly那里，教会主要作为国家整合的障碍或收入来源出现。在North and Weingast那里，宗教几乎完全缺席。在更广泛的国家形成文献中，教会通常被视为</w:t>
      </w:r>
      <w:r>
        <w:rPr>
          <w:rFonts w:hint="default" w:ascii="Times New Roman Regular" w:hAnsi="Times New Roman Regular" w:cs="Times New Roman Regular"/>
          <w:lang w:val="en-US"/>
        </w:rPr>
        <w:t>“背景条件”</w:t>
      </w:r>
      <w:r>
        <w:rPr>
          <w:rFonts w:hint="default" w:ascii="Times New Roman Regular" w:hAnsi="Times New Roman Regular" w:cs="Times New Roman Regular" w:eastAsiaTheme="minorEastAsia"/>
        </w:rPr>
        <w:t>的一部分，而非拥有自身目标和制度能力的战略行为者。两篇论文都挑战了这种边缘化。</w:t>
      </w:r>
    </w:p>
    <w:p w14:paraId="217257D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二，两者都将国家形成辩论的时间焦点推回到中世纪时期（11–14世纪），而非大多数文献所主导的早期现代时期（16–18世纪）。这是一个重要的重新定向：如果关键的制度创新和权力转移发生在中世纪时期，那么Tilly、Ertman等人聚焦的早期现代发展可能是下游后果而非第一因。</w:t>
      </w:r>
    </w:p>
    <w:p w14:paraId="22017C0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三，两者都强调制度设计和议价而非强制和战争作为政治变迁的主要驱动力。协约是谈判达成的协议，而非军事结果。它们产生的政治权威转移源于议价规则的变化，而非战场上的胜利。这与国家形成文献的契约/制度性分支（North and Weingast, Stasavage）而非战争主义分支（Tilly, Dincecco and Prado）一致，但将其应用于一个很少以这些术语分析的历史背景——中世纪的教会-国家关系。</w:t>
      </w:r>
    </w:p>
    <w:p w14:paraId="14962901">
      <w:pPr>
        <w:rPr>
          <w:rFonts w:hint="default" w:ascii="Times New Roman Regular" w:hAnsi="Times New Roman Regular" w:cs="Times New Roman Regular" w:eastAsiaTheme="minorEastAsia"/>
        </w:rPr>
      </w:pPr>
    </w:p>
    <w:p w14:paraId="270B3DE7">
      <w:pPr>
        <w:rPr>
          <w:rFonts w:hint="default" w:ascii="Times New Roman Regular" w:hAnsi="Times New Roman Regular" w:cs="Times New Roman Regular" w:eastAsiaTheme="minorEastAsia"/>
          <w:b/>
          <w:bCs/>
          <w:color w:val="0000FF"/>
          <w:kern w:val="44"/>
          <w:sz w:val="48"/>
          <w:szCs w:val="48"/>
          <w:lang w:val="en-US" w:eastAsia="zh-CN" w:bidi="ar"/>
        </w:rPr>
      </w:pPr>
      <w:r>
        <w:rPr>
          <w:rFonts w:hint="default" w:ascii="Times New Roman Regular" w:hAnsi="Times New Roman Regular" w:cs="Times New Roman Regular" w:eastAsiaTheme="minorEastAsia"/>
          <w:b/>
          <w:bCs/>
          <w:color w:val="0000FF"/>
          <w:kern w:val="44"/>
          <w:sz w:val="48"/>
          <w:szCs w:val="48"/>
          <w:lang w:val="en-US" w:eastAsia="zh-CN" w:bidi="ar"/>
        </w:rPr>
        <w:t>Lecture Notes: Religious Competition and Reallocation</w:t>
      </w:r>
    </w:p>
    <w:p w14:paraId="46349B88">
      <w:pPr>
        <w:rPr>
          <w:rFonts w:hint="default" w:ascii="Times New Roman Regular" w:hAnsi="Times New Roman Regular" w:cs="Times New Roman Regular" w:eastAsiaTheme="minorEastAsia"/>
          <w:b/>
          <w:bCs/>
          <w:color w:val="0000FF"/>
          <w:kern w:val="44"/>
          <w:sz w:val="48"/>
          <w:szCs w:val="48"/>
          <w:lang w:val="en-US" w:eastAsia="zh-CN" w:bidi="ar"/>
        </w:rPr>
      </w:pPr>
      <w:r>
        <w:rPr>
          <w:rFonts w:hint="default" w:ascii="Times New Roman Regular" w:hAnsi="Times New Roman Regular" w:cs="Times New Roman Regular" w:eastAsiaTheme="minorEastAsia"/>
          <w:b/>
          <w:bCs/>
          <w:color w:val="0000FF"/>
          <w:kern w:val="44"/>
          <w:sz w:val="48"/>
          <w:szCs w:val="48"/>
          <w:lang w:val="en-US" w:eastAsia="zh-CN" w:bidi="ar"/>
        </w:rPr>
        <w:t>讲义：宗教竞争与资源再配置</w:t>
      </w:r>
    </w:p>
    <w:p w14:paraId="2D0A91DC">
      <w:pPr>
        <w:rPr>
          <w:rFonts w:hint="default" w:ascii="Times New Roman Regular" w:hAnsi="Times New Roman Regular" w:cs="Times New Roman Regular" w:eastAsiaTheme="minorEastAsia"/>
        </w:rPr>
      </w:pPr>
    </w:p>
    <w:p w14:paraId="5D8DDE0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Literature Name / 文献名称</w:t>
      </w:r>
    </w:p>
    <w:p w14:paraId="6EA37961">
      <w:pPr>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lang w:val="en-US"/>
        </w:rPr>
        <w:t>“Religious Competition and Reallocation: The Political Economy of Secularization in the Protestant Reformation.”</w:t>
      </w:r>
    </w:p>
    <w:p w14:paraId="18EDCF0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《宗教竞争与资源再配置：新教改革中世俗化的政治经济学》。</w:t>
      </w:r>
    </w:p>
    <w:p w14:paraId="057FD463">
      <w:pPr>
        <w:rPr>
          <w:rFonts w:hint="default" w:ascii="Times New Roman Regular" w:hAnsi="Times New Roman Regular" w:cs="Times New Roman Regular" w:eastAsiaTheme="minorEastAsia"/>
        </w:rPr>
      </w:pPr>
    </w:p>
    <w:p w14:paraId="0576CE0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Author(s) / 作者</w:t>
      </w:r>
    </w:p>
    <w:p w14:paraId="1980467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Davide Cantoni /dɑːˈviːdeɪ kænˈtoʊni/ (Ludwig-Maximilians-Universität Munich /ˈmjuːnɪk/, CEPR, CESifo), Jeremiah Dittmar /ˌdʒɛrɪˈmaɪə ˈdɪtmɑːr/ (London School of Economics, CEPR, CEP), and Noam Yuchtman /noʊˈɑːm ˈjʌktmən/ (UC Berkeley /ˈbɜːrkli/, Haas School of Business, NBER, CESifo).</w:t>
      </w:r>
    </w:p>
    <w:p w14:paraId="4C7AFB6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达维德·坎托尼（Davide Cantoni /dɑːˈviːdeɪ kænˈtoʊni/，慕尼黑大学 /ˈmjuːnɪk/、CEPR、CESifo），杰里迈亚·迪特马尔（Jeremiah Dittmar /ˌdʒɛrɪˈmaɪə ˈdɪtmɑːr/，伦敦政治经济学院、CEPR、CEP），诺姆·尤赫特曼（Noam Yuchtman /noʊˈɑːm ˈjʌktmən/，加州大学伯克利分校 /ˈbɜːrkli/、哈斯商学院、NBER、CESifo）。</w:t>
      </w:r>
    </w:p>
    <w:p w14:paraId="50D11A26">
      <w:pPr>
        <w:rPr>
          <w:rFonts w:hint="default" w:ascii="Times New Roman Regular" w:hAnsi="Times New Roman Regular" w:cs="Times New Roman Regular" w:eastAsiaTheme="minorEastAsia"/>
        </w:rPr>
      </w:pPr>
    </w:p>
    <w:p w14:paraId="55731EE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Published Year / 发表年份</w:t>
      </w:r>
    </w:p>
    <w:p w14:paraId="244401E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2018, published in The Quarterly Journal of Economics, Volume 133, Issue 4, pages 2037–2096.</w:t>
      </w:r>
    </w:p>
    <w:p w14:paraId="1D58E8D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2018年，发表于《经济学季刊》（The Quarterly Journal of Economics），第133卷第4期，第2037–2096页。</w:t>
      </w:r>
    </w:p>
    <w:p w14:paraId="70A44BD3">
      <w:pPr>
        <w:rPr>
          <w:rFonts w:hint="default" w:ascii="Times New Roman Regular" w:hAnsi="Times New Roman Regular" w:cs="Times New Roman Regular" w:eastAsiaTheme="minorEastAsia"/>
        </w:rPr>
      </w:pPr>
    </w:p>
    <w:p w14:paraId="4FAA9348">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DV: What is the main dependent variable? / 因变量：主要因变量是什么？</w:t>
      </w:r>
    </w:p>
    <w:p w14:paraId="26C4DFF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main dependent variable is the sectoral allocation of economic resources between the religious and secular sectors, three</w:t>
      </w:r>
      <w:r>
        <w:rPr>
          <w:rFonts w:hint="eastAsia" w:ascii="Times New Roman Regular" w:hAnsi="Times New Roman Regular" w:cs="Times New Roman Regular"/>
          <w:lang w:val="en-US" w:eastAsia="zh-CN"/>
        </w:rPr>
        <w:t xml:space="preserve"> distinct outcome domains</w:t>
      </w:r>
      <w:r>
        <w:rPr>
          <w:rFonts w:hint="default" w:ascii="Times New Roman Regular" w:hAnsi="Times New Roman Regular" w:cs="Times New Roman Regular" w:eastAsiaTheme="minorEastAsia"/>
        </w:rPr>
        <w:t>. The first is the occupational choice of university graduates — specifically, whether their first job was in the church sector (e.g., priest, monk) or the secular sector (e.g., city councillor, guild master), and further, whether a secular occupation was an administrative one (p. 2040). The second is the human capital investment of university students — specifically, whether the degree obtained was in theology (church-specific) or in a secular field such as the arts, law, or medicine (pp. 2040–2041). The third is the composition of major construction activity at the town level — specifically, whether new construction starts were for religious purposes (e.g., churches, monasteries) or secular purposes (e.g., palaces, administrative buildings, hospitals, merchant halls), and further whether secular construction reflected the interests of secular lords (palaces and administrative buildings) (pp. 2041–2042). Each of these three measures broader process of economic secularization..</w:t>
      </w:r>
    </w:p>
    <w:p w14:paraId="168F0DB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主要因变量是经济资源在宗教部门与世俗部门之间的分配，沿三个维度衡量。第一是大学毕业生的职业选择——具体而言，其首份工作是否属于教会部门（如牧师、修士）还是世俗部门（如城市议员、行会会长），以及世俗职业中是否属于行政类职业（第2040页）。第二是大学生的人力资本投资——具体而言，所获学位是神学（教会专用型）还是世俗学科如文科、法学或医学（第2040–2041页）。第三是城镇层面的重大建筑活动的构成——具体而言，新建筑开工是用于宗教目的（如教堂、修道院）还是世俗目的（如宫殿、行政建筑、医院、商业大厅），以及世俗建筑是否反映了世俗领主的利益（宫殿和行政建筑）（第2041–2042页）。三个因变量各自从不同边际操作化了</w:t>
      </w:r>
      <w:r>
        <w:rPr>
          <w:rFonts w:hint="default" w:ascii="Times New Roman Regular" w:hAnsi="Times New Roman Regular" w:cs="Times New Roman Regular"/>
          <w:lang w:val="en-US"/>
        </w:rPr>
        <w:t>“经济世俗化”</w:t>
      </w:r>
      <w:r>
        <w:rPr>
          <w:rFonts w:hint="default" w:ascii="Times New Roman Regular" w:hAnsi="Times New Roman Regular" w:cs="Times New Roman Regular" w:eastAsiaTheme="minorEastAsia"/>
        </w:rPr>
        <w:t>的概念——资源从宗教用途向世俗用途的转移。</w:t>
      </w:r>
    </w:p>
    <w:p w14:paraId="0B890327">
      <w:pPr>
        <w:rPr>
          <w:rFonts w:hint="default" w:ascii="Times New Roman Regular" w:hAnsi="Times New Roman Regular" w:cs="Times New Roman Regular" w:eastAsiaTheme="minorEastAsia"/>
        </w:rPr>
      </w:pPr>
    </w:p>
    <w:p w14:paraId="5C354B89">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IV: What is the main independent variable? / 自变量：主要自变量是什么？</w:t>
      </w:r>
    </w:p>
    <w:p w14:paraId="151AB7DB">
      <w:pPr>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eastAsiaTheme="minorEastAsia"/>
        </w:rPr>
        <w:t>At the theoretical level, the main independent variable is the introduction of religious competition during the Protestant Reformation. The authors emphasize that what matters is not Protestant doctrine in the abstract, but the competitive shock created when the Catholic Church’s monopoly was challenged in both the market for salvation and the market for political legitimacy. Empirically, this shock is proxied by whether a territory’s ruler or a university eventually became Protestant, interacted with time relative to the Reformation. Thus, the paper’s core explanatory variable is best described as religious competition, with territorial or university adoption of Protestantism serving as its principal empirical proxy.</w:t>
      </w:r>
    </w:p>
    <w:p w14:paraId="5532D5B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在理论层面，本文的主要自变量是宗教改革期间引入的宗教竞争。作者强调，关键并不只是</w:t>
      </w:r>
      <w:r>
        <w:rPr>
          <w:rFonts w:hint="default" w:ascii="Times New Roman Regular" w:hAnsi="Times New Roman Regular" w:cs="Times New Roman Regular"/>
          <w:lang w:val="en-US"/>
        </w:rPr>
        <w:t>“新教教义”</w:t>
      </w:r>
      <w:r>
        <w:rPr>
          <w:rFonts w:hint="default" w:ascii="Times New Roman Regular" w:hAnsi="Times New Roman Regular" w:cs="Times New Roman Regular" w:eastAsiaTheme="minorEastAsia"/>
        </w:rPr>
        <w:t>本身，而是天主教会在救赎市场和政治合法性市场上的垄断地位受到挑战这一竞争冲击。实证上，作者则用领地统治者或大学是否最终转为新教，并与宗教改革前后时间相互作用，来代理这一冲击。因此，更准确的说法是：本文的核心解释变量在理论上是宗教竞争，在经验上则主要通过领地/大学的新教化来加以识别。</w:t>
      </w:r>
    </w:p>
    <w:p w14:paraId="738AD20C">
      <w:pPr>
        <w:rPr>
          <w:rFonts w:hint="default" w:ascii="Times New Roman Regular" w:hAnsi="Times New Roman Regular" w:cs="Times New Roman Regular" w:eastAsiaTheme="minorEastAsia"/>
        </w:rPr>
      </w:pPr>
    </w:p>
    <w:p w14:paraId="5FD1947E">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 xml:space="preserve">Stateness: How is the </w:t>
      </w:r>
      <w:r>
        <w:rPr>
          <w:rFonts w:hint="default" w:ascii="Times New Roman Regular" w:hAnsi="Times New Roman Regular" w:cs="Times New Roman Regular"/>
          <w:highlight w:val="yellow"/>
          <w:lang w:val="en-US"/>
        </w:rPr>
        <w:t>“state”</w:t>
      </w:r>
      <w:r>
        <w:rPr>
          <w:rFonts w:hint="default" w:ascii="Times New Roman Regular" w:hAnsi="Times New Roman Regular" w:cs="Times New Roman Regular" w:eastAsiaTheme="minorEastAsia"/>
          <w:highlight w:val="yellow"/>
        </w:rPr>
        <w:t xml:space="preserve"> and/or </w:t>
      </w:r>
      <w:r>
        <w:rPr>
          <w:rFonts w:hint="default" w:ascii="Times New Roman Regular" w:hAnsi="Times New Roman Regular" w:cs="Times New Roman Regular"/>
          <w:highlight w:val="yellow"/>
          <w:lang w:val="en-US"/>
        </w:rPr>
        <w:t>“state building”</w:t>
      </w:r>
      <w:r>
        <w:rPr>
          <w:rFonts w:hint="default" w:ascii="Times New Roman Regular" w:hAnsi="Times New Roman Regular" w:cs="Times New Roman Regular" w:eastAsiaTheme="minorEastAsia"/>
          <w:highlight w:val="yellow"/>
        </w:rPr>
        <w:t xml:space="preserve"> conceptualized and measured? / 国家性：如何概念化和衡量</w:t>
      </w:r>
      <w:r>
        <w:rPr>
          <w:rFonts w:hint="default" w:ascii="Times New Roman Regular" w:hAnsi="Times New Roman Regular" w:cs="Times New Roman Regular"/>
          <w:highlight w:val="yellow"/>
          <w:lang w:val="en-US"/>
        </w:rPr>
        <w:t>“国家”</w:t>
      </w:r>
      <w:r>
        <w:rPr>
          <w:rFonts w:hint="default" w:ascii="Times New Roman Regular" w:hAnsi="Times New Roman Regular" w:cs="Times New Roman Regular" w:eastAsiaTheme="minorEastAsia"/>
          <w:highlight w:val="yellow"/>
        </w:rPr>
        <w:t>和/或</w:t>
      </w:r>
      <w:r>
        <w:rPr>
          <w:rFonts w:hint="default" w:ascii="Times New Roman Regular" w:hAnsi="Times New Roman Regular" w:cs="Times New Roman Regular"/>
          <w:highlight w:val="yellow"/>
          <w:lang w:val="en-US"/>
        </w:rPr>
        <w:t>“国家建设”</w:t>
      </w:r>
      <w:r>
        <w:rPr>
          <w:rFonts w:hint="default" w:ascii="Times New Roman Regular" w:hAnsi="Times New Roman Regular" w:cs="Times New Roman Regular" w:eastAsiaTheme="minorEastAsia"/>
          <w:highlight w:val="yellow"/>
        </w:rPr>
        <w:t>？</w:t>
      </w:r>
    </w:p>
    <w:p w14:paraId="105A9D41">
      <w:pPr>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eastAsiaTheme="minorEastAsia"/>
        </w:rPr>
        <w:t xml:space="preserve">The paper does not study state building as its primary dependent variable, nor does it directly measure state capacity using standard indicators such as taxation, military extraction, or bureaucratic reach. Its central object is economic secularization: a shift in power and resources away from church elites and toward secular authorities, especially territorial lords. However, the strengthening of secular territorial lords at the expense of religious elites is a central finding that speaks directly to the state formation literature. The authors conceptualize the political structure of the Holy Roman Empire as an imperial federation of semi-autonomous principalities, in which territorial lords (Landesherren /ˈlɑːndəsˌhɛrən/) exercised sovereignty over their domains (pp. 2049–2050). In the Holy Roman Empire context, these territorial rulers and their governing apparatus are the relevant political actors most closely corresponding to </w:t>
      </w:r>
      <w:r>
        <w:rPr>
          <w:rFonts w:hint="default" w:ascii="Times New Roman Regular" w:hAnsi="Times New Roman Regular" w:cs="Times New Roman Regular"/>
          <w:lang w:val="en-US"/>
        </w:rPr>
        <w:t>“the state.”</w:t>
      </w:r>
    </w:p>
    <w:p w14:paraId="775C8B3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expropriation of monastic wealth, the movement of upper-tail human capital into administrative occupations, and the increase in palaces and administrative buildings all suggest an expansion of secular rulers’ power and governing capacity. The authors themselves describe the process as involving both institutional secularization—the strengthening of territorial lords—and allocational secularization—the reallocation of resources toward secular purposes favored by those rulers. But these can be read as historically important implications for state formation, not as direct measures of state building in the narrow fiscal-administrative sense.</w:t>
      </w:r>
    </w:p>
    <w:p w14:paraId="01D2937D">
      <w:pPr>
        <w:keepNext w:val="0"/>
        <w:keepLines w:val="0"/>
        <w:widowControl w:val="0"/>
        <w:suppressLineNumbers w:val="0"/>
        <w:spacing w:before="0" w:beforeAutospacing="0" w:after="0" w:afterAutospacing="0"/>
        <w:ind w:left="0" w:right="0"/>
        <w:jc w:val="both"/>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本文并不把国家建设作为其首要因变量来直接研究，也没有用税收能力、军事汲取能力、官僚渗透等标准指标直接测量国家能力。它真正的核心对象是经济世俗化：即权力和资源从教会精英向世俗权威、尤其是领地统治者转移。</w:t>
      </w:r>
      <w:r>
        <w:rPr>
          <w:rFonts w:hint="eastAsia" w:ascii="Times New Roman Regular" w:hAnsi="Times New Roman Regular" w:cs="Times New Roman Regular"/>
          <w:lang w:val="en-US" w:eastAsia="zh-CN"/>
        </w:rPr>
        <w:t>然而，</w:t>
      </w:r>
      <w:r>
        <w:rPr>
          <w:rFonts w:hint="default" w:ascii="Times New Roman Regular" w:hAnsi="Times New Roman Regular" w:cs="Times New Roman Regular" w:eastAsiaTheme="minorEastAsia"/>
        </w:rPr>
        <w:t>世俗领地领主以宗教精英为代价的权力增强是一项核心发现，直接关涉国家形成文献。作者将神圣罗马帝国的政治结构概念化为一个由半自治公国组成的帝国联邦，其中领地领主（Landesherren /ˈlɑːndəsˌhɛrən/）在其领地行使主权（第2049–2050页）。</w:t>
      </w:r>
      <w:r>
        <w:rPr>
          <w:rFonts w:hint="eastAsia" w:ascii="宋体" w:hAnsi="宋体" w:eastAsia="宋体" w:cs="宋体"/>
          <w:kern w:val="2"/>
          <w:sz w:val="21"/>
          <w:szCs w:val="21"/>
          <w:lang w:val="en-US" w:eastAsia="zh-CN" w:bidi="ar"/>
        </w:rPr>
        <w:t>在神圣罗马帝国的历史语境下，这些领地统治者及其治理装置，是文中最接近</w:t>
      </w:r>
      <w:r>
        <w:rPr>
          <w:rFonts w:hint="default" w:ascii="Times New Roman Regular" w:hAnsi="Times New Roman Regular" w:eastAsia="Times New Roman Regular" w:cs="Times New Roman Regular"/>
          <w:kern w:val="2"/>
          <w:sz w:val="21"/>
          <w:szCs w:val="21"/>
          <w:lang w:val="en-US" w:eastAsia="zh-CN" w:bidi="ar"/>
        </w:rPr>
        <w:t>“国家”</w:t>
      </w:r>
      <w:r>
        <w:rPr>
          <w:rFonts w:hint="eastAsia" w:ascii="宋体" w:hAnsi="宋体" w:eastAsia="宋体" w:cs="宋体"/>
          <w:kern w:val="2"/>
          <w:sz w:val="21"/>
          <w:szCs w:val="21"/>
          <w:lang w:val="en-US" w:eastAsia="zh-CN" w:bidi="ar"/>
        </w:rPr>
        <w:t>的政治行为者。</w:t>
      </w:r>
    </w:p>
    <w:p w14:paraId="3999FFE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修道院财富被领主征收、上层人力资本转向行政职业、以及宫殿和行政建筑增加，都表明世俗统治者的权力和治理能力扩张。作者自己也将这一过程概括为两部分：一是制度性世俗化，即领地统治者相对于教会精英的加强；二是配置性世俗化，即资源向这些统治者偏好的世俗用途再配置。但更准确、更 fair 的表述应是：这些是对国家形成文献有启发性的结果和含义，而不是本文直接测量</w:t>
      </w:r>
      <w:r>
        <w:rPr>
          <w:rFonts w:hint="default" w:ascii="Times New Roman Regular" w:hAnsi="Times New Roman Regular" w:cs="Times New Roman Regular"/>
          <w:lang w:val="en-US"/>
        </w:rPr>
        <w:t>“国家建设”</w:t>
      </w:r>
      <w:r>
        <w:rPr>
          <w:rFonts w:hint="default" w:ascii="Times New Roman Regular" w:hAnsi="Times New Roman Regular" w:cs="Times New Roman Regular" w:eastAsiaTheme="minorEastAsia"/>
        </w:rPr>
        <w:t>的主设计。</w:t>
      </w:r>
    </w:p>
    <w:p w14:paraId="60135C6C">
      <w:pPr>
        <w:rPr>
          <w:rFonts w:hint="default" w:ascii="Times New Roman Regular" w:hAnsi="Times New Roman Regular" w:cs="Times New Roman Regular" w:eastAsiaTheme="minorEastAsia"/>
        </w:rPr>
      </w:pPr>
    </w:p>
    <w:p w14:paraId="0E373BB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highlight w:val="lightGray"/>
        </w:rPr>
        <w:t xml:space="preserve">The authors explicitly discuss this connection: Cohn (1987, 176) is quoted as observing that the Reformation concentrated previously dispersed functions into the state, with officialdom penetrating </w:t>
      </w:r>
      <w:r>
        <w:rPr>
          <w:rFonts w:hint="default" w:ascii="Times New Roman Regular" w:hAnsi="Times New Roman Regular" w:cs="Times New Roman Regular"/>
          <w:highlight w:val="lightGray"/>
          <w:lang w:val="en-US"/>
        </w:rPr>
        <w:t>“more pervasively than before in towns, villages and families”</w:t>
      </w:r>
      <w:r>
        <w:rPr>
          <w:rFonts w:hint="default" w:ascii="Times New Roman Regular" w:hAnsi="Times New Roman Regular" w:cs="Times New Roman Regular" w:eastAsiaTheme="minorEastAsia"/>
          <w:highlight w:val="lightGray"/>
        </w:rPr>
        <w:t xml:space="preserve"> and ecclesiastical jurisdiction being </w:t>
      </w:r>
      <w:r>
        <w:rPr>
          <w:rFonts w:hint="default" w:ascii="Times New Roman Regular" w:hAnsi="Times New Roman Regular" w:cs="Times New Roman Regular"/>
          <w:highlight w:val="lightGray"/>
          <w:lang w:val="en-US"/>
        </w:rPr>
        <w:t>“swept away”</w:t>
      </w:r>
      <w:r>
        <w:rPr>
          <w:rFonts w:hint="default" w:ascii="Times New Roman Regular" w:hAnsi="Times New Roman Regular" w:cs="Times New Roman Regular" w:eastAsiaTheme="minorEastAsia"/>
          <w:highlight w:val="lightGray"/>
        </w:rPr>
        <w:t xml:space="preserve"> (p. 2058). They also note that </w:t>
      </w:r>
      <w:r>
        <w:rPr>
          <w:rFonts w:hint="default" w:ascii="Times New Roman Regular" w:hAnsi="Times New Roman Regular" w:cs="Times New Roman Regular"/>
          <w:highlight w:val="lightGray"/>
          <w:lang w:val="en-US"/>
        </w:rPr>
        <w:t>“allocational and institutional secularization strengthened territorial rulers and might have contributed to the development of early modern states with greater state capacity”</w:t>
      </w:r>
      <w:r>
        <w:rPr>
          <w:rFonts w:hint="default" w:ascii="Times New Roman Regular" w:hAnsi="Times New Roman Regular" w:cs="Times New Roman Regular" w:eastAsiaTheme="minorEastAsia"/>
          <w:highlight w:val="lightGray"/>
        </w:rPr>
        <w:t xml:space="preserve"> (p. 2092). This places their work in dialogue with the broader state formation literature. In particular, their findings complement Tilly</w:t>
      </w:r>
      <w:r>
        <w:rPr>
          <w:rFonts w:hint="default" w:ascii="Times New Roman Regular" w:hAnsi="Times New Roman Regular" w:cs="Times New Roman Regular"/>
          <w:highlight w:val="lightGray"/>
          <w:lang w:val="en-US"/>
        </w:rPr>
        <w:t>’s</w:t>
      </w:r>
      <w:r>
        <w:rPr>
          <w:rFonts w:hint="default" w:ascii="Times New Roman Regular" w:hAnsi="Times New Roman Regular" w:cs="Times New Roman Regular" w:eastAsiaTheme="minorEastAsia"/>
          <w:highlight w:val="lightGray"/>
        </w:rPr>
        <w:t xml:space="preserve"> (1990) argument that war and extraction drove state building by identifying an additional mechanism — religious competition — through which rulers acquired resources and expanded their administrative apparatus. Their framework also directly engages with Rubin (2017), who argues that the relative independence of European secular rulers from religious legitimation (compared to the Islamic world) was crucial to Western economic and political development.</w:t>
      </w:r>
    </w:p>
    <w:p w14:paraId="25391172">
      <w:pPr>
        <w:rPr>
          <w:rFonts w:hint="default" w:ascii="Times New Roman Regular" w:hAnsi="Times New Roman Regular" w:cs="Times New Roman Regular" w:eastAsiaTheme="minorEastAsia"/>
          <w:highlight w:val="lightGray"/>
        </w:rPr>
      </w:pPr>
      <w:r>
        <w:rPr>
          <w:rFonts w:hint="default" w:ascii="Times New Roman Regular" w:hAnsi="Times New Roman Regular" w:cs="Times New Roman Regular" w:eastAsiaTheme="minorEastAsia"/>
          <w:highlight w:val="lightGray"/>
        </w:rPr>
        <w:t>作者明确讨论了这一联系：引用Cohn (1987, 176)的观察，宗教改革将此前分散的功能集中到国家，官僚机构</w:t>
      </w:r>
      <w:r>
        <w:rPr>
          <w:rFonts w:hint="default" w:ascii="Times New Roman Regular" w:hAnsi="Times New Roman Regular" w:cs="Times New Roman Regular"/>
          <w:highlight w:val="lightGray"/>
          <w:lang w:val="en-US"/>
        </w:rPr>
        <w:t>“比以往更深入地渗透到城镇、村庄和家庭”</w:t>
      </w:r>
      <w:r>
        <w:rPr>
          <w:rFonts w:hint="default" w:ascii="Times New Roman Regular" w:hAnsi="Times New Roman Regular" w:cs="Times New Roman Regular" w:eastAsiaTheme="minorEastAsia"/>
          <w:highlight w:val="lightGray"/>
        </w:rPr>
        <w:t>，教会司法管辖权被</w:t>
      </w:r>
      <w:r>
        <w:rPr>
          <w:rFonts w:hint="default" w:ascii="Times New Roman Regular" w:hAnsi="Times New Roman Regular" w:cs="Times New Roman Regular"/>
          <w:highlight w:val="lightGray"/>
          <w:lang w:val="en-US"/>
        </w:rPr>
        <w:t>“扫除”</w:t>
      </w:r>
      <w:r>
        <w:rPr>
          <w:rFonts w:hint="default" w:ascii="Times New Roman Regular" w:hAnsi="Times New Roman Regular" w:cs="Times New Roman Regular" w:eastAsiaTheme="minorEastAsia"/>
          <w:highlight w:val="lightGray"/>
        </w:rPr>
        <w:t>（第2058页）。他们还指出</w:t>
      </w:r>
      <w:r>
        <w:rPr>
          <w:rFonts w:hint="default" w:ascii="Times New Roman Regular" w:hAnsi="Times New Roman Regular" w:cs="Times New Roman Regular"/>
          <w:highlight w:val="lightGray"/>
          <w:lang w:val="en-US"/>
        </w:rPr>
        <w:t>“配置性世俗化和制度性世俗化加强了领地统治者，可能促进了具有更大国家能力的近代早期国家的发展”</w:t>
      </w:r>
      <w:r>
        <w:rPr>
          <w:rFonts w:hint="default" w:ascii="Times New Roman Regular" w:hAnsi="Times New Roman Regular" w:cs="Times New Roman Regular" w:eastAsiaTheme="minorEastAsia"/>
          <w:highlight w:val="lightGray"/>
        </w:rPr>
        <w:t>（第2092页）。这使他们的工作与更广泛的国家形成文献对话。特别是，他们的发现补充了蒂利(1990)关于战争和汲取推动国家建设的论点，识别出一种额外的机制——宗教竞争——通过该机制统治者获得资源并扩展其行政机构。他们的框架还直接与Rubin (2017)对话，后者论证欧洲世俗统治者相对于宗教合法化的独立性（与伊斯兰世界相比）对西方经济和政治发展至关重要。</w:t>
      </w:r>
    </w:p>
    <w:p w14:paraId="7A93CD09">
      <w:pPr>
        <w:rPr>
          <w:rFonts w:hint="default" w:ascii="Times New Roman Regular" w:hAnsi="Times New Roman Regular" w:cs="Times New Roman Regular" w:eastAsiaTheme="minorEastAsia"/>
        </w:rPr>
      </w:pPr>
    </w:p>
    <w:p w14:paraId="553A2967">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Argument: What is the core argument? / 论点：核心论点是什么？</w:t>
      </w:r>
    </w:p>
    <w:p w14:paraId="3356F3F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The core argument is that the introduction of religious competition during the Protestant Reformation produced an important, unintended consequence: a large-scale reallocation of resources from religious to secular purposes, which constituted a fundamental process of economic secularization in early modern Europe. The key analytical innovation is that to understand this process, one must consider not only the </w:t>
      </w:r>
      <w:r>
        <w:rPr>
          <w:rFonts w:hint="default" w:ascii="Times New Roman Regular" w:hAnsi="Times New Roman Regular" w:cs="Times New Roman Regular"/>
          <w:lang w:val="en-US"/>
        </w:rPr>
        <w:t>“market for salvation”</w:t>
      </w:r>
      <w:r>
        <w:rPr>
          <w:rFonts w:hint="default" w:ascii="Times New Roman Regular" w:hAnsi="Times New Roman Regular" w:cs="Times New Roman Regular" w:eastAsiaTheme="minorEastAsia"/>
        </w:rPr>
        <w:t xml:space="preserve"> — in which churches provide religious services to believers, as emphasized by prior scholarship (Ekelund, Hébert, and Tollison 2006) — but also a second, interlinked </w:t>
      </w:r>
      <w:r>
        <w:rPr>
          <w:rFonts w:hint="default" w:ascii="Times New Roman Regular" w:hAnsi="Times New Roman Regular" w:cs="Times New Roman Regular"/>
          <w:lang w:val="en-US"/>
        </w:rPr>
        <w:t>“market for political legitimacy”</w:t>
      </w:r>
      <w:r>
        <w:rPr>
          <w:rFonts w:hint="default" w:ascii="Times New Roman Regular" w:hAnsi="Times New Roman Regular" w:cs="Times New Roman Regular" w:eastAsiaTheme="minorEastAsia"/>
        </w:rPr>
        <w:t xml:space="preserve"> — in which religious authorities provide endorsement and legitimation to secular rulers in exchange for temporal concessions of money, land, economic privileges, and political power (pp. 2038–2039).</w:t>
      </w:r>
    </w:p>
    <w:p w14:paraId="095FD11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argument proceeds in three steps. First, before the Reformation, the Catholic Church held a monopoly in both markets. As a monopolist, it charged a high price: believers paid through tithes, sacramental fees, and indulgences; secular lords paid by granting the Church enormous tax exemptions, land, jurisdictional authority, and the right to appoint clerics to positions of immense power and wealth (pp. 2049–2050). However, the Church</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monopoly power was not unlimited: there was continual bargaining and conflict between secular and religious elites over the distribution of resources, as exemplified by the Investiture Controversy of the eleventh century and ongoing disputes between territorial lords and Church institutions within the Holy Roman Empire (pp. 2050–2051).</w:t>
      </w:r>
    </w:p>
    <w:p w14:paraId="5E84027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Second, the Reformation constituted a competitive shock to both markets simultaneously. In the market for salvation, Protestant reformers offered a lower-cost alternative: </w:t>
      </w:r>
      <w:r>
        <w:rPr>
          <w:rFonts w:hint="default" w:ascii="Times New Roman Regular" w:hAnsi="Times New Roman Regular" w:cs="Times New Roman Regular"/>
          <w:lang w:val="en-US"/>
        </w:rPr>
        <w:t>“disintermediation”</w:t>
      </w:r>
      <w:r>
        <w:rPr>
          <w:rFonts w:hint="default" w:ascii="Times New Roman Regular" w:hAnsi="Times New Roman Regular" w:cs="Times New Roman Regular" w:eastAsiaTheme="minorEastAsia"/>
        </w:rPr>
        <w:t xml:space="preserve"> between the believer and God, salvation by faith alone, reduction of sacraments from seven to two, and the abolition of the expensive clerical bureaucracy (p. 2052). In the market for political legitimacy, the entry of a competitor reduced the value of Catholic legitimacy (by questioning Catholic theology and attracting believers away), gave secular rulers the ability to bargain between two providers, and — crucially — meant that Protestant reformers, needing to strike a bargain with secular lords for protection, would accept a lower price in exchange for conferring legitimacy (pp. 2048–2049). Specifically, Protestant theologians provided detailed legal justifications for the expropriation of Catholic Church property by secular lords, based on meticulous citations of Canon and Roman law (p. 2053). The Catholic Church, constrained by doctrinal consistency, could not match this bargain.</w:t>
      </w:r>
    </w:p>
    <w:p w14:paraId="64C511F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Third, the resulting new equilibrium had sweeping implications for resource allocation. With secular lords paying a lower price for legitimacy, they retained more resources. This produced a shift in the occupational composition of the labor force (from church to secular jobs, especially administration), in the human capital investments of forward-looking university students (from theology to secular subjects like law and the arts), and in the sectoral composition of fixed investments (from church construction to secular construction, especially palaces and administrative buildings). These effects were concentrated in Protestant territories but also visible in Catholic territories bordering Protestant ones due to the </w:t>
      </w:r>
      <w:r>
        <w:rPr>
          <w:rFonts w:hint="default" w:ascii="Times New Roman Regular" w:hAnsi="Times New Roman Regular" w:cs="Times New Roman Regular"/>
          <w:lang w:val="en-US"/>
        </w:rPr>
        <w:t>“intensive margin”</w:t>
      </w:r>
      <w:r>
        <w:rPr>
          <w:rFonts w:hint="default" w:ascii="Times New Roman Regular" w:hAnsi="Times New Roman Regular" w:cs="Times New Roman Regular" w:eastAsiaTheme="minorEastAsia"/>
        </w:rPr>
        <w:t xml:space="preserve"> of religious competition (pp. 2083–2085).</w:t>
      </w:r>
    </w:p>
    <w:p w14:paraId="71BE624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The authors carefully distinguish two components of the secularization process they document: </w:t>
      </w:r>
      <w:r>
        <w:rPr>
          <w:rFonts w:hint="default" w:ascii="Times New Roman Regular" w:hAnsi="Times New Roman Regular" w:cs="Times New Roman Regular"/>
          <w:lang w:val="en-US"/>
        </w:rPr>
        <w:t>“institutional secularization”</w:t>
      </w:r>
      <w:r>
        <w:rPr>
          <w:rFonts w:hint="default" w:ascii="Times New Roman Regular" w:hAnsi="Times New Roman Regular" w:cs="Times New Roman Regular" w:eastAsiaTheme="minorEastAsia"/>
        </w:rPr>
        <w:t xml:space="preserve"> — the strengthening of territorial lords relative to church elites — and </w:t>
      </w:r>
      <w:r>
        <w:rPr>
          <w:rFonts w:hint="default" w:ascii="Times New Roman Regular" w:hAnsi="Times New Roman Regular" w:cs="Times New Roman Regular"/>
          <w:lang w:val="en-US"/>
        </w:rPr>
        <w:t>“allocational secularization”</w:t>
      </w:r>
      <w:r>
        <w:rPr>
          <w:rFonts w:hint="default" w:ascii="Times New Roman Regular" w:hAnsi="Times New Roman Regular" w:cs="Times New Roman Regular" w:eastAsiaTheme="minorEastAsia"/>
        </w:rPr>
        <w:t xml:space="preserve"> — the reallocation of economic inputs toward secular purposes, specifically those favored by territorial lords (p. 2045). They emphasize that the Reformation</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secularizing effects were unintended: the reformer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aim was religious purification, not the enrichment of secular authorities. Tawney (1926, 88) is quoted: the political economy consequences were </w:t>
      </w:r>
      <w:r>
        <w:rPr>
          <w:rFonts w:hint="default" w:ascii="Times New Roman Regular" w:hAnsi="Times New Roman Regular" w:cs="Times New Roman Regular"/>
          <w:lang w:val="en-US"/>
        </w:rPr>
        <w:t>“without design, and against the intention of most reformers”</w:t>
      </w:r>
      <w:r>
        <w:rPr>
          <w:rFonts w:hint="default" w:ascii="Times New Roman Regular" w:hAnsi="Times New Roman Regular" w:cs="Times New Roman Regular" w:eastAsiaTheme="minorEastAsia"/>
        </w:rPr>
        <w:t xml:space="preserve"> (p. 2047).</w:t>
      </w:r>
    </w:p>
    <w:p w14:paraId="7CBD062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核心论点是，新教改革期间引入的宗教竞争产生了一个重要的、非预期的后果：资源从宗教用途向世俗用途的大规模再配置，构成了近代早期欧洲经济世俗化的基本过程。关键的分析创新在于，要理解这一过程，不仅需要考虑</w:t>
      </w:r>
      <w:r>
        <w:rPr>
          <w:rFonts w:hint="default" w:ascii="Times New Roman Regular" w:hAnsi="Times New Roman Regular" w:cs="Times New Roman Regular"/>
          <w:lang w:val="en-US"/>
        </w:rPr>
        <w:t>“救赎市场”</w:t>
      </w:r>
      <w:r>
        <w:rPr>
          <w:rFonts w:hint="default" w:ascii="Times New Roman Regular" w:hAnsi="Times New Roman Regular" w:cs="Times New Roman Regular" w:eastAsiaTheme="minorEastAsia"/>
        </w:rPr>
        <w:t>——教会向信徒提供宗教服务，如先前学术研究（Ekelund, Hébert, and Tollison 2006）所强调的——还必须考虑第二个相互关联的</w:t>
      </w:r>
      <w:r>
        <w:rPr>
          <w:rFonts w:hint="default" w:ascii="Times New Roman Regular" w:hAnsi="Times New Roman Regular" w:cs="Times New Roman Regular"/>
          <w:lang w:val="en-US"/>
        </w:rPr>
        <w:t>“政治合法性市场”</w:t>
      </w:r>
      <w:r>
        <w:rPr>
          <w:rFonts w:hint="default" w:ascii="Times New Roman Regular" w:hAnsi="Times New Roman Regular" w:cs="Times New Roman Regular" w:eastAsiaTheme="minorEastAsia"/>
        </w:rPr>
        <w:t>——宗教权威向世俗统治者提供背书和合法化，以换取金钱、土地、经济特权和政治权力的世俗让步（第2038–2039页）。</w:t>
      </w:r>
    </w:p>
    <w:p w14:paraId="2A23207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论证分三步展开。第一，宗教改革之前，天主教会在两个市场中都享有垄断地位。作为垄断者，它收取高昂的价格：信徒通过什一税、圣事费和赎罪券支付；世俗领主则授予教会巨大的免税权、土地、司法管辖权以及任命神职人员至极具权力和财富之职位的权利（第2049–2050页）。然而，教会的垄断权力并非不受限制：世俗精英与宗教精英之间围绕资源分配的讨价还价和冲突持续不断，十一世纪的</w:t>
      </w:r>
      <w:r>
        <w:rPr>
          <w:rFonts w:hint="default" w:ascii="Times New Roman Regular" w:hAnsi="Times New Roman Regular" w:cs="Times New Roman Regular"/>
          <w:lang w:val="en-US"/>
        </w:rPr>
        <w:t>“叙任权之争”</w:t>
      </w:r>
      <w:r>
        <w:rPr>
          <w:rFonts w:hint="default" w:ascii="Times New Roman Regular" w:hAnsi="Times New Roman Regular" w:cs="Times New Roman Regular" w:eastAsiaTheme="minorEastAsia"/>
        </w:rPr>
        <w:t>（Investiture Controversy）以及神圣罗马帝国内领地领主与教会机构之间的持续争端即为例证（第2050–2051页）。</w:t>
      </w:r>
    </w:p>
    <w:p w14:paraId="1C762ED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第二，宗教改革构成了对两个市场的同时竞争冲击。在救赎市场，新教改革者提供了成本更低的替代方案：信徒与上帝之间的</w:t>
      </w:r>
      <w:r>
        <w:rPr>
          <w:rFonts w:hint="default" w:ascii="Times New Roman Regular" w:hAnsi="Times New Roman Regular" w:cs="Times New Roman Regular"/>
          <w:lang w:val="en-US"/>
        </w:rPr>
        <w:t>“去中介化”</w:t>
      </w:r>
      <w:r>
        <w:rPr>
          <w:rFonts w:hint="default" w:ascii="Times New Roman Regular" w:hAnsi="Times New Roman Regular" w:cs="Times New Roman Regular" w:eastAsiaTheme="minorEastAsia"/>
        </w:rPr>
        <w:t>、唯信称义、圣事从七项减至两项，以及废除昂贵的教士官僚体系（第2052页）。在政治合法性市场，竞争者的进入降低了天主教合法性的价值（通过质疑天主教神学并吸引信徒离开），赋予世俗统治者在两个供应商之间讨价还价的能力，而且——关键的是——新教改革者由于需要与世俗领主达成保护协议，愿意以更低的价格提供合法性（第2048–2049页）。具体而言，新教神学家基于对教会法和罗马法的详尽引用，为世俗领主征收天主教会财产提供了详细的法律理据（第2053页）。天主教会受教义一致性约束，无法匹配这一交易。</w:t>
      </w:r>
    </w:p>
    <w:p w14:paraId="422A5A6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三，由此产生的新均衡对资源配置产生了深远影响。世俗领主为合法性支付更低的价格，因而保留了更多资源。这产生了劳动力职业构成的转变（从教会职业转向世俗职业，尤其是行政职业）、前瞻性大学生人力资本投资的转变（从神学转向法学和文科等世俗学科）、以及固定投资部门构成的转变（从教堂建设转向世俗建设，尤其是宫殿和行政建筑）。这些效应集中在新教领地，但也在毗邻新教的天主教领地中可见，这源于宗教竞争的</w:t>
      </w:r>
      <w:r>
        <w:rPr>
          <w:rFonts w:hint="default" w:ascii="Times New Roman Regular" w:hAnsi="Times New Roman Regular" w:cs="Times New Roman Regular"/>
          <w:lang w:val="en-US"/>
        </w:rPr>
        <w:t>“集约边际”</w:t>
      </w:r>
      <w:r>
        <w:rPr>
          <w:rFonts w:hint="default" w:ascii="Times New Roman Regular" w:hAnsi="Times New Roman Regular" w:cs="Times New Roman Regular" w:eastAsiaTheme="minorEastAsia"/>
        </w:rPr>
        <w:t>（第2083–2085页）。</w:t>
      </w:r>
    </w:p>
    <w:p w14:paraId="147C40D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作者仔细区分了他们所记录的世俗化过程的两个组成部分：</w:t>
      </w:r>
      <w:r>
        <w:rPr>
          <w:rFonts w:hint="default" w:ascii="Times New Roman Regular" w:hAnsi="Times New Roman Regular" w:cs="Times New Roman Regular"/>
          <w:lang w:val="en-US"/>
        </w:rPr>
        <w:t>“制度性世俗化”</w:t>
      </w:r>
      <w:r>
        <w:rPr>
          <w:rFonts w:hint="default" w:ascii="Times New Roman Regular" w:hAnsi="Times New Roman Regular" w:cs="Times New Roman Regular" w:eastAsiaTheme="minorEastAsia"/>
        </w:rPr>
        <w:t>——领地领主相对于教会精英的加强——和</w:t>
      </w:r>
      <w:r>
        <w:rPr>
          <w:rFonts w:hint="default" w:ascii="Times New Roman Regular" w:hAnsi="Times New Roman Regular" w:cs="Times New Roman Regular"/>
          <w:lang w:val="en-US"/>
        </w:rPr>
        <w:t>“配置性世俗化”</w:t>
      </w:r>
      <w:r>
        <w:rPr>
          <w:rFonts w:hint="default" w:ascii="Times New Roman Regular" w:hAnsi="Times New Roman Regular" w:cs="Times New Roman Regular" w:eastAsiaTheme="minorEastAsia"/>
        </w:rPr>
        <w:t>——经济投入向世俗用途的再配置，特别是向领地领主偏好的用途的再配置（第2045页）。他们强调宗教改革的世俗化效应是非预期的：改革者的目标是宗教净化，而非世俗权威的富裕化。引用Tawney (1926, 88)的话：这些政治经济后果</w:t>
      </w:r>
      <w:r>
        <w:rPr>
          <w:rFonts w:hint="default" w:ascii="Times New Roman Regular" w:hAnsi="Times New Roman Regular" w:cs="Times New Roman Regular"/>
          <w:lang w:val="en-US"/>
        </w:rPr>
        <w:t>“既非出于设计，也违背了大多数改革者的意图”</w:t>
      </w:r>
      <w:r>
        <w:rPr>
          <w:rFonts w:hint="default" w:ascii="Times New Roman Regular" w:hAnsi="Times New Roman Regular" w:cs="Times New Roman Regular" w:eastAsiaTheme="minorEastAsia"/>
        </w:rPr>
        <w:t>（第2047页）。</w:t>
      </w:r>
    </w:p>
    <w:p w14:paraId="4A9C7D8F">
      <w:pPr>
        <w:rPr>
          <w:rFonts w:hint="default" w:ascii="Times New Roman Regular" w:hAnsi="Times New Roman Regular" w:cs="Times New Roman Regular" w:eastAsiaTheme="minorEastAsia"/>
        </w:rPr>
      </w:pPr>
    </w:p>
    <w:p w14:paraId="4397CBC5">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Mechanisms: What mechanisms are proposed? / 机制：提出了哪些机制？</w:t>
      </w:r>
    </w:p>
    <w:p w14:paraId="74D7F05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authors propose a mechanism chain centered on the interaction between religious competition and politics. The Reformation introduced a religious competitor to the Catholic Church, which not only lowered the price of salvation for believers but also changed the terms on which secular rulers could obtain political legitimacy. As Catholic legitimacy became less valuable and Protestant reformers were more willing to grant rulers control over church resources, the bargaining position of territorial lords improved.</w:t>
      </w:r>
    </w:p>
    <w:p w14:paraId="4C0CBA3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paper provides especially strong evidence for the next step in the chain: secular rulers gained wealth and authority through monastery closures and the expropriation of church property. This in turn is argued to have changed resource allocation across the broader economy. On the labor-market side, enriched rulers demanded more administrative personnel, while Protestant theology reduced demand for clerical labor and weakened incentives to pursue monastic careers. On the education side, forward-looking students responded to these changing returns by shifting away from theology and toward more secular subjects, especially law and the arts. On the fixed-investment side, newly empowered rulers increasingly directed resources toward palaces and administrative buildings.</w:t>
      </w:r>
    </w:p>
    <w:p w14:paraId="2A719B7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A fair reading, however, is that the paper directly documents monastery expropriation and sectoral reallocation much more strongly than it directly measures the intermediate object of a changing </w:t>
      </w:r>
      <w:r>
        <w:rPr>
          <w:rFonts w:hint="default" w:ascii="Times New Roman Regular" w:hAnsi="Times New Roman Regular" w:cs="Times New Roman Regular"/>
          <w:lang w:val="en-US"/>
        </w:rPr>
        <w:t>“price”</w:t>
      </w:r>
      <w:r>
        <w:rPr>
          <w:rFonts w:hint="default" w:ascii="Times New Roman Regular" w:hAnsi="Times New Roman Regular" w:cs="Times New Roman Regular" w:eastAsiaTheme="minorEastAsia"/>
        </w:rPr>
        <w:t xml:space="preserve"> in the market for political legitimacy. Thus, the paper’s mechanism is best described as a well-supported historical-political economy account, rather than a fully observed causal chain in which every intermediate link is separately measured.</w:t>
      </w:r>
    </w:p>
    <w:p w14:paraId="2A3B0EF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作者提出了一条以宗教竞争与政治互动为核心的机制链。宗教改革为天主教会引入了一个新的宗教竞争者，这不仅降低了信徒获得救赎的成本，也改变了世俗统治者获得政治合法性的条件。随着天主教合法性的价值下降，而新教改革者更愿意向世俗统治者让渡对教会资源的控制，领地统治者在与宗教精英的讨价还价中获得了更有利的位置。</w:t>
      </w:r>
    </w:p>
    <w:p w14:paraId="287BD5A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本文对机制链中下一步的证据尤其强：世俗统治者通过修道院关闭和教产征收获得了财富与权力。作者进一步论证，这种变化带来了更广泛的资源再配置。就劳动力市场而言，财富和权力增强的统治者对行政人员的需求上升，而新教神学则降低了对教士劳动的需求，并削弱了人们进入修道生活的动机。就教育投资而言，前瞻性的学生因预期回报变化而从神学转向更世俗的学科，尤其是法学和文科。就固定投资而言，权力增强的统治者越来越多地将资源投入宫殿和行政建筑。</w:t>
      </w:r>
    </w:p>
    <w:p w14:paraId="2B59757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但更 fair 的写法应承认：本文最直接、最有力地记录的是修道院征收和资源再配置本身；至于</w:t>
      </w:r>
      <w:r>
        <w:rPr>
          <w:rFonts w:hint="default" w:ascii="Times New Roman Regular" w:hAnsi="Times New Roman Regular" w:cs="Times New Roman Regular"/>
          <w:lang w:val="en-US"/>
        </w:rPr>
        <w:t>“政治合法性市场中的价格变化”</w:t>
      </w:r>
      <w:r>
        <w:rPr>
          <w:rFonts w:hint="default" w:ascii="Times New Roman Regular" w:hAnsi="Times New Roman Regular" w:cs="Times New Roman Regular" w:eastAsiaTheme="minorEastAsia"/>
        </w:rPr>
        <w:t>这一中介对象，则更多是由历史材料和结果模式加以支持，而不是被直接测量出来。 因此，更准确的表述是：这是一套有充分支持的历史政治经济学机制叙述，而不是每一个中间环节都被单独观测和识别的完整因果链。</w:t>
      </w:r>
    </w:p>
    <w:p w14:paraId="10F49DE5">
      <w:pPr>
        <w:rPr>
          <w:rFonts w:hint="default" w:ascii="Times New Roman Regular" w:hAnsi="Times New Roman Regular" w:cs="Times New Roman Regular" w:eastAsiaTheme="minorEastAsia"/>
        </w:rPr>
      </w:pPr>
    </w:p>
    <w:p w14:paraId="154ABD52">
      <w:pPr>
        <w:rPr>
          <w:rFonts w:hint="default" w:ascii="Times New Roman Regular" w:hAnsi="Times New Roman Regular" w:cs="Times New Roman Regular" w:eastAsiaTheme="minorEastAsia"/>
        </w:rPr>
      </w:pPr>
    </w:p>
    <w:p w14:paraId="4E7B9EA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Mechanism 1: The Competitive Shock to the Market for Legitimacy. The Reformation introduced a new provider of religiously derived political legitimacy. Protestant reformers, needing secular protection and lacking the institutional infrastructure of the Catholic Church, were willing to confer legitimacy on secular rulers at a lower price. This lower price took the concrete form of legal justifications for the expropriation of Catholic Church property. Protestant theologians, described as </w:t>
      </w:r>
      <w:r>
        <w:rPr>
          <w:rFonts w:hint="default" w:ascii="Times New Roman Regular" w:hAnsi="Times New Roman Regular" w:cs="Times New Roman Regular"/>
          <w:lang w:val="en-US"/>
        </w:rPr>
        <w:t>“the technicians of religious legitimacy”</w:t>
      </w:r>
      <w:r>
        <w:rPr>
          <w:rFonts w:hint="default" w:ascii="Times New Roman Regular" w:hAnsi="Times New Roman Regular" w:cs="Times New Roman Regular" w:eastAsiaTheme="minorEastAsia"/>
        </w:rPr>
        <w:t xml:space="preserve"> (Ocker 2006, 13; cited at p. 2058), provided memoranda justifying lord</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seizure of monastic wealth based on Canon and Roman law (p. 2053). The Catholic Church, constrained by doctrinal consistency, could not offer comparable concessions without undermining its own theological foundations (p. 2039).</w:t>
      </w:r>
    </w:p>
    <w:p w14:paraId="5A07D27D">
      <w:pPr>
        <w:keepNext w:val="0"/>
        <w:keepLines w:val="0"/>
        <w:widowControl w:val="0"/>
        <w:suppressLineNumbers w:val="0"/>
        <w:spacing w:before="0" w:beforeAutospacing="0" w:after="0" w:afterAutospacing="0"/>
        <w:ind w:left="0" w:right="0"/>
        <w:jc w:val="both"/>
        <w:rPr>
          <w:rFonts w:hint="default" w:ascii="Times New Roman Regular" w:hAnsi="Times New Roman Regular" w:eastAsia="宋体" w:cs="Times New Roman Regular"/>
          <w:kern w:val="2"/>
          <w:sz w:val="21"/>
          <w:szCs w:val="21"/>
        </w:rPr>
      </w:pPr>
      <w:r>
        <w:rPr>
          <w:rFonts w:hint="eastAsia" w:ascii="宋体" w:hAnsi="宋体" w:eastAsia="宋体" w:cs="宋体"/>
          <w:kern w:val="2"/>
          <w:sz w:val="21"/>
          <w:szCs w:val="21"/>
          <w:lang w:val="en-US" w:eastAsia="zh-CN" w:bidi="ar"/>
        </w:rPr>
        <w:t>机制一：合法性市场的竞争冲击。</w:t>
      </w:r>
      <w:r>
        <w:rPr>
          <w:rFonts w:hint="default" w:ascii="Times New Roman Regular" w:hAnsi="Times New Roman Regular" w:eastAsia="宋体" w:cs="Times New Roman Regular"/>
          <w:kern w:val="2"/>
          <w:sz w:val="21"/>
          <w:szCs w:val="21"/>
          <w:lang w:val="en-US" w:eastAsia="zh-CN" w:bidi="ar"/>
        </w:rPr>
        <w:t xml:space="preserve"> </w:t>
      </w:r>
      <w:r>
        <w:rPr>
          <w:rFonts w:hint="eastAsia" w:ascii="宋体" w:hAnsi="宋体" w:eastAsia="宋体" w:cs="宋体"/>
          <w:kern w:val="2"/>
          <w:sz w:val="21"/>
          <w:szCs w:val="21"/>
          <w:lang w:val="en-US" w:eastAsia="zh-CN" w:bidi="ar"/>
        </w:rPr>
        <w:t>宗教改革引入了一个新的宗教来源政治合法性供应者。新教改革者需要世俗保护且缺乏天主教会的制度基础设施，愿意以更低的价格向世俗统治者提供合法性。这一较低价格以征收天主教会财产的法律理据的具体形式呈现。被描述为</w:t>
      </w:r>
      <w:r>
        <w:rPr>
          <w:rFonts w:hint="default" w:ascii="Times New Roman Regular" w:hAnsi="Times New Roman Regular" w:eastAsia="宋体" w:cs="Times New Roman Regular"/>
          <w:kern w:val="2"/>
          <w:sz w:val="21"/>
          <w:szCs w:val="21"/>
          <w:lang w:val="en-US" w:eastAsia="zh-CN" w:bidi="ar"/>
        </w:rPr>
        <w:t>“宗教合法性的技术员”</w:t>
      </w:r>
      <w:r>
        <w:rPr>
          <w:rFonts w:hint="eastAsia" w:ascii="宋体" w:hAnsi="宋体" w:eastAsia="宋体" w:cs="宋体"/>
          <w:kern w:val="2"/>
          <w:sz w:val="21"/>
          <w:szCs w:val="21"/>
          <w:lang w:val="en-US" w:eastAsia="zh-CN" w:bidi="ar"/>
        </w:rPr>
        <w:t>（</w:t>
      </w:r>
      <w:r>
        <w:rPr>
          <w:rFonts w:hint="default" w:ascii="Times New Roman Regular" w:hAnsi="Times New Roman Regular" w:eastAsia="Times New Roman Regular" w:cs="Times New Roman Regular"/>
          <w:kern w:val="2"/>
          <w:sz w:val="21"/>
          <w:szCs w:val="21"/>
          <w:lang w:val="en-US" w:eastAsia="zh-CN" w:bidi="ar"/>
        </w:rPr>
        <w:t>Ocker 2006, 13</w:t>
      </w:r>
      <w:r>
        <w:rPr>
          <w:rFonts w:hint="eastAsia" w:ascii="宋体" w:hAnsi="宋体" w:eastAsia="宋体" w:cs="宋体"/>
          <w:kern w:val="2"/>
          <w:sz w:val="21"/>
          <w:szCs w:val="21"/>
          <w:lang w:val="en-US" w:eastAsia="zh-CN" w:bidi="ar"/>
        </w:rPr>
        <w:t>；引于第</w:t>
      </w:r>
      <w:r>
        <w:rPr>
          <w:rFonts w:hint="default" w:ascii="Times New Roman Regular" w:hAnsi="Times New Roman Regular" w:eastAsia="Times New Roman Regular" w:cs="Times New Roman Regular"/>
          <w:kern w:val="2"/>
          <w:sz w:val="21"/>
          <w:szCs w:val="21"/>
          <w:lang w:val="en-US" w:eastAsia="zh-CN" w:bidi="ar"/>
        </w:rPr>
        <w:t>2058</w:t>
      </w:r>
      <w:r>
        <w:rPr>
          <w:rFonts w:hint="eastAsia" w:ascii="宋体" w:hAnsi="宋体" w:eastAsia="宋体" w:cs="宋体"/>
          <w:kern w:val="2"/>
          <w:sz w:val="21"/>
          <w:szCs w:val="21"/>
          <w:lang w:val="en-US" w:eastAsia="zh-CN" w:bidi="ar"/>
        </w:rPr>
        <w:t>页）的新教神学家提供了基于教会法和罗马法为领主征收修道院财富辩护的备忘录（第</w:t>
      </w:r>
      <w:r>
        <w:rPr>
          <w:rFonts w:hint="default" w:ascii="Times New Roman Regular" w:hAnsi="Times New Roman Regular" w:eastAsia="Times New Roman Regular" w:cs="Times New Roman Regular"/>
          <w:kern w:val="2"/>
          <w:sz w:val="21"/>
          <w:szCs w:val="21"/>
          <w:lang w:val="en-US" w:eastAsia="zh-CN" w:bidi="ar"/>
        </w:rPr>
        <w:t>2053</w:t>
      </w:r>
      <w:r>
        <w:rPr>
          <w:rFonts w:hint="eastAsia" w:ascii="宋体" w:hAnsi="宋体" w:eastAsia="宋体" w:cs="宋体"/>
          <w:kern w:val="2"/>
          <w:sz w:val="21"/>
          <w:szCs w:val="21"/>
          <w:lang w:val="en-US" w:eastAsia="zh-CN" w:bidi="ar"/>
        </w:rPr>
        <w:t>页）。天主教会受教义一致性约束，无法提供相当的让步而不损害其自身的神学基础（第</w:t>
      </w:r>
      <w:r>
        <w:rPr>
          <w:rFonts w:hint="default" w:ascii="Times New Roman Regular" w:hAnsi="Times New Roman Regular" w:eastAsia="Times New Roman Regular" w:cs="Times New Roman Regular"/>
          <w:kern w:val="2"/>
          <w:sz w:val="21"/>
          <w:szCs w:val="21"/>
          <w:lang w:val="en-US" w:eastAsia="zh-CN" w:bidi="ar"/>
        </w:rPr>
        <w:t>2039</w:t>
      </w:r>
      <w:r>
        <w:rPr>
          <w:rFonts w:hint="eastAsia" w:ascii="宋体" w:hAnsi="宋体" w:eastAsia="宋体" w:cs="宋体"/>
          <w:kern w:val="2"/>
          <w:sz w:val="21"/>
          <w:szCs w:val="21"/>
          <w:lang w:val="en-US" w:eastAsia="zh-CN" w:bidi="ar"/>
        </w:rPr>
        <w:t>页）。</w:t>
      </w:r>
    </w:p>
    <w:p w14:paraId="50EADB1A">
      <w:pPr>
        <w:rPr>
          <w:rFonts w:hint="default" w:ascii="Times New Roman Regular" w:hAnsi="Times New Roman Regular" w:cs="Times New Roman Regular" w:eastAsiaTheme="minorEastAsia"/>
        </w:rPr>
      </w:pPr>
    </w:p>
    <w:p w14:paraId="1B9EF88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Mechanism 2: The Transfer of Wealth and Political Power. The lower price of legitimacy enabled massive wealth transfers from the Catholic Church to secular lords. The closure and expropriation of monasteries was the primary vehicle. Historical evidence documents significant enrichment in 16 of 18 Protestant territories studied (Table II, p. 2059). The scale was enormous: in Hesse /hɛs/, Landgrave Philipp /ˈlɑːntɡrɑːf ˈfɪlɪp/ received annual revenues equivalent to one-seventh of total state revenues and around 1,000 person-years of skilled wages; overall, 40% of monastic wealth in Hesse went to the ruler (p. 2057). In Brandenburg /ˈbrɑːndənbɜːrɡ/, monasteries paid 300,000 guilders to retain their privileges (p. 2057). This wealth transfer also carried political power: secular lords gained jurisdictional authority previously exercised by ecclesiastical courts, and monastic lands came under direct secular administration (p. 2058).</w:t>
      </w:r>
    </w:p>
    <w:p w14:paraId="0418FE8C">
      <w:pPr>
        <w:keepNext w:val="0"/>
        <w:keepLines w:val="0"/>
        <w:widowControl w:val="0"/>
        <w:suppressLineNumbers w:val="0"/>
        <w:spacing w:before="0" w:beforeAutospacing="0" w:after="0" w:afterAutospacing="0"/>
        <w:ind w:left="0" w:right="0"/>
        <w:jc w:val="both"/>
        <w:rPr>
          <w:rFonts w:hint="default" w:ascii="Times New Roman Regular" w:hAnsi="Times New Roman Regular" w:eastAsia="宋体" w:cs="Times New Roman Regular"/>
          <w:kern w:val="2"/>
          <w:sz w:val="21"/>
          <w:szCs w:val="21"/>
        </w:rPr>
      </w:pPr>
      <w:r>
        <w:rPr>
          <w:rFonts w:hint="eastAsia" w:ascii="宋体" w:hAnsi="宋体" w:eastAsia="宋体" w:cs="宋体"/>
          <w:kern w:val="2"/>
          <w:sz w:val="21"/>
          <w:szCs w:val="21"/>
          <w:lang w:val="en-US" w:eastAsia="zh-CN" w:bidi="ar"/>
        </w:rPr>
        <w:t>机制二：财富和政治权力的转移。</w:t>
      </w:r>
      <w:r>
        <w:rPr>
          <w:rFonts w:hint="default" w:ascii="Times New Roman Regular" w:hAnsi="Times New Roman Regular" w:eastAsia="宋体" w:cs="Times New Roman Regular"/>
          <w:kern w:val="2"/>
          <w:sz w:val="21"/>
          <w:szCs w:val="21"/>
          <w:lang w:val="en-US" w:eastAsia="zh-CN" w:bidi="ar"/>
        </w:rPr>
        <w:t xml:space="preserve"> </w:t>
      </w:r>
      <w:r>
        <w:rPr>
          <w:rFonts w:hint="eastAsia" w:ascii="宋体" w:hAnsi="宋体" w:eastAsia="宋体" w:cs="宋体"/>
          <w:kern w:val="2"/>
          <w:sz w:val="21"/>
          <w:szCs w:val="21"/>
          <w:lang w:val="en-US" w:eastAsia="zh-CN" w:bidi="ar"/>
        </w:rPr>
        <w:t>合法性的较低价格使天主教会向世俗领主的大规模财富转移成为可能。修道院的关闭和征收是主要载体。历史证据记录了所研究的</w:t>
      </w:r>
      <w:r>
        <w:rPr>
          <w:rFonts w:hint="default" w:ascii="Times New Roman Regular" w:hAnsi="Times New Roman Regular" w:eastAsia="宋体" w:cs="Times New Roman Regular"/>
          <w:kern w:val="2"/>
          <w:sz w:val="21"/>
          <w:szCs w:val="21"/>
          <w:lang w:val="en-US" w:eastAsia="zh-CN" w:bidi="ar"/>
        </w:rPr>
        <w:t>18</w:t>
      </w:r>
      <w:r>
        <w:rPr>
          <w:rFonts w:hint="eastAsia" w:ascii="宋体" w:hAnsi="宋体" w:eastAsia="宋体" w:cs="宋体"/>
          <w:kern w:val="2"/>
          <w:sz w:val="21"/>
          <w:szCs w:val="21"/>
          <w:lang w:val="en-US" w:eastAsia="zh-CN" w:bidi="ar"/>
        </w:rPr>
        <w:t>个新教领地中</w:t>
      </w:r>
      <w:r>
        <w:rPr>
          <w:rFonts w:hint="default" w:ascii="Times New Roman Regular" w:hAnsi="Times New Roman Regular" w:eastAsia="Times New Roman Regular" w:cs="Times New Roman Regular"/>
          <w:kern w:val="2"/>
          <w:sz w:val="21"/>
          <w:szCs w:val="21"/>
          <w:lang w:val="en-US" w:eastAsia="zh-CN" w:bidi="ar"/>
        </w:rPr>
        <w:t>16</w:t>
      </w:r>
      <w:r>
        <w:rPr>
          <w:rFonts w:hint="eastAsia" w:ascii="宋体" w:hAnsi="宋体" w:eastAsia="宋体" w:cs="宋体"/>
          <w:kern w:val="2"/>
          <w:sz w:val="21"/>
          <w:szCs w:val="21"/>
          <w:lang w:val="en-US" w:eastAsia="zh-CN" w:bidi="ar"/>
        </w:rPr>
        <w:t>个的领主显著致富（表</w:t>
      </w:r>
      <w:r>
        <w:rPr>
          <w:rFonts w:hint="default" w:ascii="Times New Roman Regular" w:hAnsi="Times New Roman Regular" w:eastAsia="Times New Roman Regular" w:cs="Times New Roman Regular"/>
          <w:kern w:val="2"/>
          <w:sz w:val="21"/>
          <w:szCs w:val="21"/>
          <w:lang w:val="en-US" w:eastAsia="zh-CN" w:bidi="ar"/>
        </w:rPr>
        <w:t>II</w:t>
      </w:r>
      <w:r>
        <w:rPr>
          <w:rFonts w:hint="eastAsia" w:ascii="宋体" w:hAnsi="宋体" w:eastAsia="宋体" w:cs="宋体"/>
          <w:kern w:val="2"/>
          <w:sz w:val="21"/>
          <w:szCs w:val="21"/>
          <w:lang w:val="en-US" w:eastAsia="zh-CN" w:bidi="ar"/>
        </w:rPr>
        <w:t>，第</w:t>
      </w:r>
      <w:r>
        <w:rPr>
          <w:rFonts w:hint="default" w:ascii="Times New Roman Regular" w:hAnsi="Times New Roman Regular" w:eastAsia="Times New Roman Regular" w:cs="Times New Roman Regular"/>
          <w:kern w:val="2"/>
          <w:sz w:val="21"/>
          <w:szCs w:val="21"/>
          <w:lang w:val="en-US" w:eastAsia="zh-CN" w:bidi="ar"/>
        </w:rPr>
        <w:t>2059</w:t>
      </w:r>
      <w:r>
        <w:rPr>
          <w:rFonts w:hint="eastAsia" w:ascii="宋体" w:hAnsi="宋体" w:eastAsia="宋体" w:cs="宋体"/>
          <w:kern w:val="2"/>
          <w:sz w:val="21"/>
          <w:szCs w:val="21"/>
          <w:lang w:val="en-US" w:eastAsia="zh-CN" w:bidi="ar"/>
        </w:rPr>
        <w:t xml:space="preserve">页）。规模巨大：在黑森 </w:t>
      </w:r>
      <w:r>
        <w:rPr>
          <w:rFonts w:hint="default" w:ascii="Times New Roman Regular" w:hAnsi="Times New Roman Regular" w:eastAsia="Times New Roman Regular" w:cs="Times New Roman Regular"/>
          <w:kern w:val="2"/>
          <w:sz w:val="21"/>
          <w:szCs w:val="21"/>
          <w:lang w:val="en-US" w:eastAsia="zh-CN" w:bidi="ar"/>
        </w:rPr>
        <w:t>/hɛs/</w:t>
      </w:r>
      <w:r>
        <w:rPr>
          <w:rFonts w:hint="eastAsia" w:ascii="宋体" w:hAnsi="宋体" w:eastAsia="宋体" w:cs="宋体"/>
          <w:kern w:val="2"/>
          <w:sz w:val="21"/>
          <w:szCs w:val="21"/>
          <w:lang w:val="en-US" w:eastAsia="zh-CN" w:bidi="ar"/>
        </w:rPr>
        <w:t>，领伯菲利普（</w:t>
      </w:r>
      <w:r>
        <w:rPr>
          <w:rFonts w:hint="default" w:ascii="Times New Roman Regular" w:hAnsi="Times New Roman Regular" w:eastAsia="Times New Roman Regular" w:cs="Times New Roman Regular"/>
          <w:kern w:val="2"/>
          <w:sz w:val="21"/>
          <w:szCs w:val="21"/>
          <w:lang w:val="en-US" w:eastAsia="zh-CN" w:bidi="ar"/>
        </w:rPr>
        <w:t>Landgrave Philipp /ˈlɑːntɡrɑːf ˈfɪlɪp/</w:t>
      </w:r>
      <w:r>
        <w:rPr>
          <w:rFonts w:hint="eastAsia" w:ascii="宋体" w:hAnsi="宋体" w:eastAsia="宋体" w:cs="宋体"/>
          <w:kern w:val="2"/>
          <w:sz w:val="21"/>
          <w:szCs w:val="21"/>
          <w:lang w:val="en-US" w:eastAsia="zh-CN" w:bidi="ar"/>
        </w:rPr>
        <w:t>）的年收入相当于国家总收入的七分之一和约</w:t>
      </w:r>
      <w:r>
        <w:rPr>
          <w:rFonts w:hint="default" w:ascii="Times New Roman Regular" w:hAnsi="Times New Roman Regular" w:eastAsia="Times New Roman Regular" w:cs="Times New Roman Regular"/>
          <w:kern w:val="2"/>
          <w:sz w:val="21"/>
          <w:szCs w:val="21"/>
          <w:lang w:val="en-US" w:eastAsia="zh-CN" w:bidi="ar"/>
        </w:rPr>
        <w:t>1,000</w:t>
      </w:r>
      <w:r>
        <w:rPr>
          <w:rFonts w:hint="eastAsia" w:ascii="宋体" w:hAnsi="宋体" w:eastAsia="宋体" w:cs="宋体"/>
          <w:kern w:val="2"/>
          <w:sz w:val="21"/>
          <w:szCs w:val="21"/>
          <w:lang w:val="en-US" w:eastAsia="zh-CN" w:bidi="ar"/>
        </w:rPr>
        <w:t>个技术工人年工资；总体而言，黑森修道院财富的</w:t>
      </w:r>
      <w:r>
        <w:rPr>
          <w:rFonts w:hint="default" w:ascii="Times New Roman Regular" w:hAnsi="Times New Roman Regular" w:eastAsia="Times New Roman Regular" w:cs="Times New Roman Regular"/>
          <w:kern w:val="2"/>
          <w:sz w:val="21"/>
          <w:szCs w:val="21"/>
          <w:lang w:val="en-US" w:eastAsia="zh-CN" w:bidi="ar"/>
        </w:rPr>
        <w:t>40%</w:t>
      </w:r>
      <w:r>
        <w:rPr>
          <w:rFonts w:hint="eastAsia" w:ascii="宋体" w:hAnsi="宋体" w:eastAsia="宋体" w:cs="宋体"/>
          <w:kern w:val="2"/>
          <w:sz w:val="21"/>
          <w:szCs w:val="21"/>
          <w:lang w:val="en-US" w:eastAsia="zh-CN" w:bidi="ar"/>
        </w:rPr>
        <w:t>归于统治者（第</w:t>
      </w:r>
      <w:r>
        <w:rPr>
          <w:rFonts w:hint="default" w:ascii="Times New Roman Regular" w:hAnsi="Times New Roman Regular" w:eastAsia="Times New Roman Regular" w:cs="Times New Roman Regular"/>
          <w:kern w:val="2"/>
          <w:sz w:val="21"/>
          <w:szCs w:val="21"/>
          <w:lang w:val="en-US" w:eastAsia="zh-CN" w:bidi="ar"/>
        </w:rPr>
        <w:t>2057</w:t>
      </w:r>
      <w:r>
        <w:rPr>
          <w:rFonts w:hint="eastAsia" w:ascii="宋体" w:hAnsi="宋体" w:eastAsia="宋体" w:cs="宋体"/>
          <w:kern w:val="2"/>
          <w:sz w:val="21"/>
          <w:szCs w:val="21"/>
          <w:lang w:val="en-US" w:eastAsia="zh-CN" w:bidi="ar"/>
        </w:rPr>
        <w:t>页）。在勃兰登堡（</w:t>
      </w:r>
      <w:r>
        <w:rPr>
          <w:rFonts w:hint="default" w:ascii="Times New Roman Regular" w:hAnsi="Times New Roman Regular" w:eastAsia="Times New Roman Regular" w:cs="Times New Roman Regular"/>
          <w:kern w:val="2"/>
          <w:sz w:val="21"/>
          <w:szCs w:val="21"/>
          <w:lang w:val="en-US" w:eastAsia="zh-CN" w:bidi="ar"/>
        </w:rPr>
        <w:t>Brandenburg /ˈbrɑːndənbɜːrɡ/</w:t>
      </w:r>
      <w:r>
        <w:rPr>
          <w:rFonts w:hint="eastAsia" w:ascii="宋体" w:hAnsi="宋体" w:eastAsia="宋体" w:cs="宋体"/>
          <w:kern w:val="2"/>
          <w:sz w:val="21"/>
          <w:szCs w:val="21"/>
          <w:lang w:val="en-US" w:eastAsia="zh-CN" w:bidi="ar"/>
        </w:rPr>
        <w:t>），修道院支付了</w:t>
      </w:r>
      <w:r>
        <w:rPr>
          <w:rFonts w:hint="default" w:ascii="Times New Roman Regular" w:hAnsi="Times New Roman Regular" w:eastAsia="Times New Roman Regular" w:cs="Times New Roman Regular"/>
          <w:kern w:val="2"/>
          <w:sz w:val="21"/>
          <w:szCs w:val="21"/>
          <w:lang w:val="en-US" w:eastAsia="zh-CN" w:bidi="ar"/>
        </w:rPr>
        <w:t>30</w:t>
      </w:r>
      <w:r>
        <w:rPr>
          <w:rFonts w:hint="eastAsia" w:ascii="宋体" w:hAnsi="宋体" w:eastAsia="宋体" w:cs="宋体"/>
          <w:kern w:val="2"/>
          <w:sz w:val="21"/>
          <w:szCs w:val="21"/>
          <w:lang w:val="en-US" w:eastAsia="zh-CN" w:bidi="ar"/>
        </w:rPr>
        <w:t>万古尔登以保留特权（第</w:t>
      </w:r>
      <w:r>
        <w:rPr>
          <w:rFonts w:hint="default" w:ascii="Times New Roman Regular" w:hAnsi="Times New Roman Regular" w:eastAsia="Times New Roman Regular" w:cs="Times New Roman Regular"/>
          <w:kern w:val="2"/>
          <w:sz w:val="21"/>
          <w:szCs w:val="21"/>
          <w:lang w:val="en-US" w:eastAsia="zh-CN" w:bidi="ar"/>
        </w:rPr>
        <w:t>2057</w:t>
      </w:r>
      <w:r>
        <w:rPr>
          <w:rFonts w:hint="eastAsia" w:ascii="宋体" w:hAnsi="宋体" w:eastAsia="宋体" w:cs="宋体"/>
          <w:kern w:val="2"/>
          <w:sz w:val="21"/>
          <w:szCs w:val="21"/>
          <w:lang w:val="en-US" w:eastAsia="zh-CN" w:bidi="ar"/>
        </w:rPr>
        <w:t>页）。这一财富转移同时携带了政治权力：世俗领主获得了此前由教会法庭行使的司法管辖权，修道院土地被纳入直接的世俗行政管辖（第</w:t>
      </w:r>
      <w:r>
        <w:rPr>
          <w:rFonts w:hint="default" w:ascii="Times New Roman Regular" w:hAnsi="Times New Roman Regular" w:eastAsia="Times New Roman Regular" w:cs="Times New Roman Regular"/>
          <w:kern w:val="2"/>
          <w:sz w:val="21"/>
          <w:szCs w:val="21"/>
          <w:lang w:val="en-US" w:eastAsia="zh-CN" w:bidi="ar"/>
        </w:rPr>
        <w:t>2058</w:t>
      </w:r>
      <w:r>
        <w:rPr>
          <w:rFonts w:hint="eastAsia" w:ascii="宋体" w:hAnsi="宋体" w:eastAsia="宋体" w:cs="宋体"/>
          <w:kern w:val="2"/>
          <w:sz w:val="21"/>
          <w:szCs w:val="21"/>
          <w:lang w:val="en-US" w:eastAsia="zh-CN" w:bidi="ar"/>
        </w:rPr>
        <w:t>页）。</w:t>
      </w:r>
    </w:p>
    <w:p w14:paraId="1667E7A4">
      <w:pPr>
        <w:rPr>
          <w:rFonts w:hint="default" w:ascii="Times New Roman Regular" w:hAnsi="Times New Roman Regular" w:cs="Times New Roman Regular" w:eastAsiaTheme="minorEastAsia"/>
        </w:rPr>
      </w:pPr>
    </w:p>
    <w:p w14:paraId="43C8FDD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Mechanism 3: Labor Market Effects — Demand Side. Enriched and empowered lords demanded more skilled labor for administration of their expanded territories and the management of newly acquired properties. An ordinance from Württemberg /ˈvʏrtəmbɛrk/ from 1546 explicitly notes the need for men </w:t>
      </w:r>
      <w:r>
        <w:rPr>
          <w:rFonts w:hint="default" w:ascii="Times New Roman Regular" w:hAnsi="Times New Roman Regular" w:cs="Times New Roman Regular"/>
          <w:lang w:val="en-US"/>
        </w:rPr>
        <w:t>“to serve in preaching offices, governments, temporal posts, [and] administrative offices”</w:t>
      </w:r>
      <w:r>
        <w:rPr>
          <w:rFonts w:hint="default" w:ascii="Times New Roman Regular" w:hAnsi="Times New Roman Regular" w:cs="Times New Roman Regular" w:eastAsiaTheme="minorEastAsia"/>
        </w:rPr>
        <w:t xml:space="preserve"> (Strauss 1988; cited at p. 2060). Simultaneously, the simplified Protestant theology reduced demand for clerical labor: fewer sacraments meant fewer priests were needed, and the abolition of monasticism eliminated an entire category of church employment (pp. 2059–2060).</w:t>
      </w:r>
    </w:p>
    <w:p w14:paraId="63A3CD47">
      <w:pPr>
        <w:keepNext w:val="0"/>
        <w:keepLines w:val="0"/>
        <w:widowControl w:val="0"/>
        <w:suppressLineNumbers w:val="0"/>
        <w:spacing w:before="0" w:beforeAutospacing="0" w:after="0" w:afterAutospacing="0"/>
        <w:ind w:left="0" w:right="0"/>
        <w:jc w:val="both"/>
        <w:rPr>
          <w:rFonts w:hint="default" w:ascii="Times New Roman Regular" w:hAnsi="Times New Roman Regular" w:eastAsia="宋体" w:cs="Times New Roman Regular"/>
          <w:kern w:val="2"/>
          <w:sz w:val="21"/>
          <w:szCs w:val="21"/>
        </w:rPr>
      </w:pPr>
      <w:r>
        <w:rPr>
          <w:rFonts w:hint="eastAsia" w:ascii="宋体" w:hAnsi="宋体" w:eastAsia="宋体" w:cs="宋体"/>
          <w:kern w:val="2"/>
          <w:sz w:val="21"/>
          <w:szCs w:val="21"/>
          <w:lang w:val="en-US" w:eastAsia="zh-CN" w:bidi="ar"/>
        </w:rPr>
        <w:t>机制三：劳动力市场效应</w:t>
      </w:r>
      <w:r>
        <w:rPr>
          <w:rFonts w:hint="default" w:ascii="Times New Roman Regular" w:hAnsi="Times New Roman Regular" w:eastAsia="Times New Roman Regular" w:cs="Times New Roman Regular"/>
          <w:kern w:val="2"/>
          <w:sz w:val="21"/>
          <w:szCs w:val="21"/>
          <w:lang w:val="en-US" w:eastAsia="zh-CN" w:bidi="ar"/>
        </w:rPr>
        <w:t>——</w:t>
      </w:r>
      <w:r>
        <w:rPr>
          <w:rFonts w:hint="eastAsia" w:ascii="宋体" w:hAnsi="宋体" w:eastAsia="宋体" w:cs="宋体"/>
          <w:kern w:val="2"/>
          <w:sz w:val="21"/>
          <w:szCs w:val="21"/>
          <w:lang w:val="en-US" w:eastAsia="zh-CN" w:bidi="ar"/>
        </w:rPr>
        <w:t>需求侧。 富裕和权力增强的领主需要更多技术劳动力来管理其扩大的领地和新获得的资产。</w:t>
      </w:r>
      <w:r>
        <w:rPr>
          <w:rFonts w:hint="default" w:ascii="Times New Roman Regular" w:hAnsi="Times New Roman Regular" w:eastAsia="Times New Roman Regular" w:cs="Times New Roman Regular"/>
          <w:kern w:val="2"/>
          <w:sz w:val="21"/>
          <w:szCs w:val="21"/>
          <w:lang w:val="en-US" w:eastAsia="zh-CN" w:bidi="ar"/>
        </w:rPr>
        <w:t>1546</w:t>
      </w:r>
      <w:r>
        <w:rPr>
          <w:rFonts w:hint="eastAsia" w:ascii="宋体" w:hAnsi="宋体" w:eastAsia="宋体" w:cs="宋体"/>
          <w:kern w:val="2"/>
          <w:sz w:val="21"/>
          <w:szCs w:val="21"/>
          <w:lang w:val="en-US" w:eastAsia="zh-CN" w:bidi="ar"/>
        </w:rPr>
        <w:t>年符腾堡（</w:t>
      </w:r>
      <w:r>
        <w:rPr>
          <w:rFonts w:hint="default" w:ascii="Times New Roman Regular" w:hAnsi="Times New Roman Regular" w:eastAsia="Times New Roman Regular" w:cs="Times New Roman Regular"/>
          <w:kern w:val="2"/>
          <w:sz w:val="21"/>
          <w:szCs w:val="21"/>
          <w:lang w:val="en-US" w:eastAsia="zh-CN" w:bidi="ar"/>
        </w:rPr>
        <w:t>Württemberg /ˈvʏrtəmbɛrk/</w:t>
      </w:r>
      <w:r>
        <w:rPr>
          <w:rFonts w:hint="eastAsia" w:ascii="宋体" w:hAnsi="宋体" w:eastAsia="宋体" w:cs="宋体"/>
          <w:kern w:val="2"/>
          <w:sz w:val="21"/>
          <w:szCs w:val="21"/>
          <w:lang w:val="en-US" w:eastAsia="zh-CN" w:bidi="ar"/>
        </w:rPr>
        <w:t>）的一项法令明确指出需要人员</w:t>
      </w:r>
      <w:r>
        <w:rPr>
          <w:rFonts w:hint="default" w:ascii="Times New Roman Regular" w:hAnsi="Times New Roman Regular" w:eastAsia="Times New Roman Regular" w:cs="Times New Roman Regular"/>
          <w:kern w:val="2"/>
          <w:sz w:val="21"/>
          <w:szCs w:val="21"/>
          <w:lang w:val="en-US" w:eastAsia="zh-CN" w:bidi="ar"/>
        </w:rPr>
        <w:t>“在传教职位、政府部门、世俗职位和行政机关中服务”</w:t>
      </w:r>
      <w:r>
        <w:rPr>
          <w:rFonts w:hint="eastAsia" w:ascii="宋体" w:hAnsi="宋体" w:eastAsia="宋体" w:cs="宋体"/>
          <w:kern w:val="2"/>
          <w:sz w:val="21"/>
          <w:szCs w:val="21"/>
          <w:lang w:val="en-US" w:eastAsia="zh-CN" w:bidi="ar"/>
        </w:rPr>
        <w:t>（</w:t>
      </w:r>
      <w:r>
        <w:rPr>
          <w:rFonts w:hint="default" w:ascii="Times New Roman Regular" w:hAnsi="Times New Roman Regular" w:eastAsia="Times New Roman Regular" w:cs="Times New Roman Regular"/>
          <w:kern w:val="2"/>
          <w:sz w:val="21"/>
          <w:szCs w:val="21"/>
          <w:lang w:val="en-US" w:eastAsia="zh-CN" w:bidi="ar"/>
        </w:rPr>
        <w:t>Strauss 1988</w:t>
      </w:r>
      <w:r>
        <w:rPr>
          <w:rFonts w:hint="eastAsia" w:ascii="宋体" w:hAnsi="宋体" w:eastAsia="宋体" w:cs="宋体"/>
          <w:kern w:val="2"/>
          <w:sz w:val="21"/>
          <w:szCs w:val="21"/>
          <w:lang w:val="en-US" w:eastAsia="zh-CN" w:bidi="ar"/>
        </w:rPr>
        <w:t>；引于第</w:t>
      </w:r>
      <w:r>
        <w:rPr>
          <w:rFonts w:hint="default" w:ascii="Times New Roman Regular" w:hAnsi="Times New Roman Regular" w:eastAsia="Times New Roman Regular" w:cs="Times New Roman Regular"/>
          <w:kern w:val="2"/>
          <w:sz w:val="21"/>
          <w:szCs w:val="21"/>
          <w:lang w:val="en-US" w:eastAsia="zh-CN" w:bidi="ar"/>
        </w:rPr>
        <w:t>2060</w:t>
      </w:r>
      <w:r>
        <w:rPr>
          <w:rFonts w:hint="eastAsia" w:ascii="宋体" w:hAnsi="宋体" w:eastAsia="宋体" w:cs="宋体"/>
          <w:kern w:val="2"/>
          <w:sz w:val="21"/>
          <w:szCs w:val="21"/>
          <w:lang w:val="en-US" w:eastAsia="zh-CN" w:bidi="ar"/>
        </w:rPr>
        <w:t>页）。同时，简化的新教神学减少了对教士劳动力的需求：更少的圣事意味着需要更少的牧师，修道主义的废除消除了整个类别的教会就业（第</w:t>
      </w:r>
      <w:r>
        <w:rPr>
          <w:rFonts w:hint="default" w:ascii="Times New Roman Regular" w:hAnsi="Times New Roman Regular" w:eastAsia="Times New Roman Regular" w:cs="Times New Roman Regular"/>
          <w:kern w:val="2"/>
          <w:sz w:val="21"/>
          <w:szCs w:val="21"/>
          <w:lang w:val="en-US" w:eastAsia="zh-CN" w:bidi="ar"/>
        </w:rPr>
        <w:t>2059–2060</w:t>
      </w:r>
      <w:r>
        <w:rPr>
          <w:rFonts w:hint="eastAsia" w:ascii="宋体" w:hAnsi="宋体" w:eastAsia="宋体" w:cs="宋体"/>
          <w:kern w:val="2"/>
          <w:sz w:val="21"/>
          <w:szCs w:val="21"/>
          <w:lang w:val="en-US" w:eastAsia="zh-CN" w:bidi="ar"/>
        </w:rPr>
        <w:t>页）。</w:t>
      </w:r>
    </w:p>
    <w:p w14:paraId="1ABB6122">
      <w:pPr>
        <w:rPr>
          <w:rFonts w:hint="default" w:ascii="Times New Roman Regular" w:hAnsi="Times New Roman Regular" w:cs="Times New Roman Regular" w:eastAsiaTheme="minorEastAsia"/>
        </w:rPr>
      </w:pPr>
    </w:p>
    <w:p w14:paraId="10B164E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Mechanism 4: Labor Market Effects — Supply Side. The Reformation also affected labor supply. Protestant theology </w:t>
      </w:r>
      <w:r>
        <w:rPr>
          <w:rFonts w:hint="default" w:ascii="Times New Roman Regular" w:hAnsi="Times New Roman Regular" w:cs="Times New Roman Regular"/>
          <w:lang w:val="en-US"/>
        </w:rPr>
        <w:t>“rebutted the most compelling reason to become a monk or a nun — to save one’s soul and the souls of others”</w:t>
      </w:r>
      <w:r>
        <w:rPr>
          <w:rFonts w:hint="default" w:ascii="Times New Roman Regular" w:hAnsi="Times New Roman Regular" w:cs="Times New Roman Regular" w:eastAsiaTheme="minorEastAsia"/>
        </w:rPr>
        <w:t xml:space="preserve"> (Ocker 2010, 62; cited at p. 2060), leading to widespread attrition in monasteries and reducing the supply of labor to the religious sector.</w:t>
      </w:r>
    </w:p>
    <w:p w14:paraId="4F3FF590">
      <w:pPr>
        <w:keepNext w:val="0"/>
        <w:keepLines w:val="0"/>
        <w:widowControl w:val="0"/>
        <w:suppressLineNumbers w:val="0"/>
        <w:spacing w:before="0" w:beforeAutospacing="0" w:after="0" w:afterAutospacing="0"/>
        <w:ind w:left="0" w:right="0"/>
        <w:jc w:val="both"/>
        <w:rPr>
          <w:rFonts w:hint="default" w:ascii="Times New Roman Regular" w:hAnsi="Times New Roman Regular" w:eastAsia="宋体" w:cs="Times New Roman Regular"/>
          <w:kern w:val="2"/>
          <w:sz w:val="21"/>
          <w:szCs w:val="21"/>
        </w:rPr>
      </w:pPr>
      <w:r>
        <w:rPr>
          <w:rFonts w:hint="eastAsia" w:ascii="宋体" w:hAnsi="宋体" w:eastAsia="宋体" w:cs="宋体"/>
          <w:kern w:val="2"/>
          <w:sz w:val="21"/>
          <w:szCs w:val="21"/>
          <w:lang w:val="en-US" w:eastAsia="zh-CN" w:bidi="ar"/>
        </w:rPr>
        <w:t>机制三：劳动力市场效应</w:t>
      </w:r>
      <w:r>
        <w:rPr>
          <w:rFonts w:hint="default" w:ascii="Times New Roman Regular" w:hAnsi="Times New Roman Regular" w:eastAsia="Times New Roman Regular" w:cs="Times New Roman Regular"/>
          <w:kern w:val="2"/>
          <w:sz w:val="21"/>
          <w:szCs w:val="21"/>
          <w:lang w:val="en-US" w:eastAsia="zh-CN" w:bidi="ar"/>
        </w:rPr>
        <w:t>——</w:t>
      </w:r>
      <w:r>
        <w:rPr>
          <w:rFonts w:hint="eastAsia" w:ascii="宋体" w:hAnsi="宋体" w:eastAsia="宋体" w:cs="宋体"/>
          <w:kern w:val="2"/>
          <w:sz w:val="21"/>
          <w:szCs w:val="21"/>
          <w:lang w:val="en-US" w:eastAsia="zh-CN" w:bidi="ar"/>
        </w:rPr>
        <w:t>需求侧。 富裕和权力增强的领主需要更多技术劳动力来管理其扩大的领地和新获得的资产。</w:t>
      </w:r>
      <w:r>
        <w:rPr>
          <w:rFonts w:hint="default" w:ascii="Times New Roman Regular" w:hAnsi="Times New Roman Regular" w:eastAsia="Times New Roman Regular" w:cs="Times New Roman Regular"/>
          <w:kern w:val="2"/>
          <w:sz w:val="21"/>
          <w:szCs w:val="21"/>
          <w:lang w:val="en-US" w:eastAsia="zh-CN" w:bidi="ar"/>
        </w:rPr>
        <w:t>1546</w:t>
      </w:r>
      <w:r>
        <w:rPr>
          <w:rFonts w:hint="eastAsia" w:ascii="宋体" w:hAnsi="宋体" w:eastAsia="宋体" w:cs="宋体"/>
          <w:kern w:val="2"/>
          <w:sz w:val="21"/>
          <w:szCs w:val="21"/>
          <w:lang w:val="en-US" w:eastAsia="zh-CN" w:bidi="ar"/>
        </w:rPr>
        <w:t>年符腾堡（</w:t>
      </w:r>
      <w:r>
        <w:rPr>
          <w:rFonts w:hint="default" w:ascii="Times New Roman Regular" w:hAnsi="Times New Roman Regular" w:eastAsia="Times New Roman Regular" w:cs="Times New Roman Regular"/>
          <w:kern w:val="2"/>
          <w:sz w:val="21"/>
          <w:szCs w:val="21"/>
          <w:lang w:val="en-US" w:eastAsia="zh-CN" w:bidi="ar"/>
        </w:rPr>
        <w:t>Württemberg /ˈvʏrtəmbɛrk/</w:t>
      </w:r>
      <w:r>
        <w:rPr>
          <w:rFonts w:hint="eastAsia" w:ascii="宋体" w:hAnsi="宋体" w:eastAsia="宋体" w:cs="宋体"/>
          <w:kern w:val="2"/>
          <w:sz w:val="21"/>
          <w:szCs w:val="21"/>
          <w:lang w:val="en-US" w:eastAsia="zh-CN" w:bidi="ar"/>
        </w:rPr>
        <w:t>）的一项法令明确指出需要人员</w:t>
      </w:r>
      <w:r>
        <w:rPr>
          <w:rFonts w:hint="default" w:ascii="Times New Roman Regular" w:hAnsi="Times New Roman Regular" w:eastAsia="Times New Roman Regular" w:cs="Times New Roman Regular"/>
          <w:kern w:val="2"/>
          <w:sz w:val="21"/>
          <w:szCs w:val="21"/>
          <w:lang w:val="en-US" w:eastAsia="zh-CN" w:bidi="ar"/>
        </w:rPr>
        <w:t>“在传教职位、政府部门、世俗职位和行政机关中服务”</w:t>
      </w:r>
      <w:r>
        <w:rPr>
          <w:rFonts w:hint="eastAsia" w:ascii="宋体" w:hAnsi="宋体" w:eastAsia="宋体" w:cs="宋体"/>
          <w:kern w:val="2"/>
          <w:sz w:val="21"/>
          <w:szCs w:val="21"/>
          <w:lang w:val="en-US" w:eastAsia="zh-CN" w:bidi="ar"/>
        </w:rPr>
        <w:t>（</w:t>
      </w:r>
      <w:r>
        <w:rPr>
          <w:rFonts w:hint="default" w:ascii="Times New Roman Regular" w:hAnsi="Times New Roman Regular" w:eastAsia="Times New Roman Regular" w:cs="Times New Roman Regular"/>
          <w:kern w:val="2"/>
          <w:sz w:val="21"/>
          <w:szCs w:val="21"/>
          <w:lang w:val="en-US" w:eastAsia="zh-CN" w:bidi="ar"/>
        </w:rPr>
        <w:t>Strauss 1988</w:t>
      </w:r>
      <w:r>
        <w:rPr>
          <w:rFonts w:hint="eastAsia" w:ascii="宋体" w:hAnsi="宋体" w:eastAsia="宋体" w:cs="宋体"/>
          <w:kern w:val="2"/>
          <w:sz w:val="21"/>
          <w:szCs w:val="21"/>
          <w:lang w:val="en-US" w:eastAsia="zh-CN" w:bidi="ar"/>
        </w:rPr>
        <w:t>；引于第</w:t>
      </w:r>
      <w:r>
        <w:rPr>
          <w:rFonts w:hint="default" w:ascii="Times New Roman Regular" w:hAnsi="Times New Roman Regular" w:eastAsia="Times New Roman Regular" w:cs="Times New Roman Regular"/>
          <w:kern w:val="2"/>
          <w:sz w:val="21"/>
          <w:szCs w:val="21"/>
          <w:lang w:val="en-US" w:eastAsia="zh-CN" w:bidi="ar"/>
        </w:rPr>
        <w:t>2060</w:t>
      </w:r>
      <w:r>
        <w:rPr>
          <w:rFonts w:hint="eastAsia" w:ascii="宋体" w:hAnsi="宋体" w:eastAsia="宋体" w:cs="宋体"/>
          <w:kern w:val="2"/>
          <w:sz w:val="21"/>
          <w:szCs w:val="21"/>
          <w:lang w:val="en-US" w:eastAsia="zh-CN" w:bidi="ar"/>
        </w:rPr>
        <w:t>页）。同时，简化的新教神学减少了对教士劳动力的需求：更少的圣事意味着需要更少的牧师，修道主义的废除消除了整个类别的教会就业（第</w:t>
      </w:r>
      <w:r>
        <w:rPr>
          <w:rFonts w:hint="default" w:ascii="Times New Roman Regular" w:hAnsi="Times New Roman Regular" w:eastAsia="Times New Roman Regular" w:cs="Times New Roman Regular"/>
          <w:kern w:val="2"/>
          <w:sz w:val="21"/>
          <w:szCs w:val="21"/>
          <w:lang w:val="en-US" w:eastAsia="zh-CN" w:bidi="ar"/>
        </w:rPr>
        <w:t>2059–2060</w:t>
      </w:r>
      <w:r>
        <w:rPr>
          <w:rFonts w:hint="eastAsia" w:ascii="宋体" w:hAnsi="宋体" w:eastAsia="宋体" w:cs="宋体"/>
          <w:kern w:val="2"/>
          <w:sz w:val="21"/>
          <w:szCs w:val="21"/>
          <w:lang w:val="en-US" w:eastAsia="zh-CN" w:bidi="ar"/>
        </w:rPr>
        <w:t>页）。</w:t>
      </w:r>
    </w:p>
    <w:p w14:paraId="7EC801B4">
      <w:pPr>
        <w:rPr>
          <w:rFonts w:hint="default" w:ascii="Times New Roman Regular" w:hAnsi="Times New Roman Regular" w:cs="Times New Roman Regular" w:eastAsiaTheme="minorEastAsia"/>
        </w:rPr>
      </w:pPr>
    </w:p>
    <w:p w14:paraId="7B1E957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Mechanism 5: Forward-Looking Human Capital Investment. Rational, forward-looking university students perceived the sectoral shift in labor demand and adjusted their human capital investments accordingly. The declining returns to church-specific human capital (theology) induced a shift toward secular subjects (law, the arts, medicine) that prepared students for careers in public administration and the private sector (pp. 2060–2061). This mechanism is supported by data showing that theology graduates were overwhelmingly employed in the church sector (90%) compared to non-theology graduates (53%), while arts and law graduates were more than twice as likely to take administrative jobs as others (Table III, p. 2071).</w:t>
      </w:r>
    </w:p>
    <w:p w14:paraId="50A01720">
      <w:pPr>
        <w:keepNext w:val="0"/>
        <w:keepLines w:val="0"/>
        <w:widowControl w:val="0"/>
        <w:suppressLineNumbers w:val="0"/>
        <w:spacing w:before="0" w:beforeAutospacing="0" w:after="0" w:afterAutospacing="0"/>
        <w:ind w:left="0" w:right="0"/>
        <w:jc w:val="both"/>
        <w:rPr>
          <w:rFonts w:hint="default" w:ascii="Times New Roman Regular" w:hAnsi="Times New Roman Regular" w:eastAsia="宋体" w:cs="Times New Roman Regular"/>
          <w:kern w:val="2"/>
          <w:sz w:val="21"/>
          <w:szCs w:val="21"/>
        </w:rPr>
      </w:pPr>
      <w:r>
        <w:rPr>
          <w:rFonts w:hint="eastAsia" w:ascii="宋体" w:hAnsi="宋体" w:eastAsia="宋体" w:cs="宋体"/>
          <w:kern w:val="2"/>
          <w:sz w:val="21"/>
          <w:szCs w:val="21"/>
          <w:lang w:val="en-US" w:eastAsia="zh-CN" w:bidi="ar"/>
        </w:rPr>
        <w:t>机制三：劳动力市场效应</w:t>
      </w:r>
      <w:r>
        <w:rPr>
          <w:rFonts w:hint="default" w:ascii="Times New Roman Regular" w:hAnsi="Times New Roman Regular" w:eastAsia="Times New Roman Regular" w:cs="Times New Roman Regular"/>
          <w:kern w:val="2"/>
          <w:sz w:val="21"/>
          <w:szCs w:val="21"/>
          <w:lang w:val="en-US" w:eastAsia="zh-CN" w:bidi="ar"/>
        </w:rPr>
        <w:t>——</w:t>
      </w:r>
      <w:r>
        <w:rPr>
          <w:rFonts w:hint="eastAsia" w:ascii="宋体" w:hAnsi="宋体" w:eastAsia="宋体" w:cs="宋体"/>
          <w:kern w:val="2"/>
          <w:sz w:val="21"/>
          <w:szCs w:val="21"/>
          <w:lang w:val="en-US" w:eastAsia="zh-CN" w:bidi="ar"/>
        </w:rPr>
        <w:t>需求侧。 富裕和权力增强的领主需要更多技术劳动力来管理其扩大的领地和新获得的资产。</w:t>
      </w:r>
      <w:r>
        <w:rPr>
          <w:rFonts w:hint="default" w:ascii="Times New Roman Regular" w:hAnsi="Times New Roman Regular" w:eastAsia="Times New Roman Regular" w:cs="Times New Roman Regular"/>
          <w:kern w:val="2"/>
          <w:sz w:val="21"/>
          <w:szCs w:val="21"/>
          <w:lang w:val="en-US" w:eastAsia="zh-CN" w:bidi="ar"/>
        </w:rPr>
        <w:t>1546</w:t>
      </w:r>
      <w:r>
        <w:rPr>
          <w:rFonts w:hint="eastAsia" w:ascii="宋体" w:hAnsi="宋体" w:eastAsia="宋体" w:cs="宋体"/>
          <w:kern w:val="2"/>
          <w:sz w:val="21"/>
          <w:szCs w:val="21"/>
          <w:lang w:val="en-US" w:eastAsia="zh-CN" w:bidi="ar"/>
        </w:rPr>
        <w:t>年符腾堡（</w:t>
      </w:r>
      <w:r>
        <w:rPr>
          <w:rFonts w:hint="default" w:ascii="Times New Roman Regular" w:hAnsi="Times New Roman Regular" w:eastAsia="Times New Roman Regular" w:cs="Times New Roman Regular"/>
          <w:kern w:val="2"/>
          <w:sz w:val="21"/>
          <w:szCs w:val="21"/>
          <w:lang w:val="en-US" w:eastAsia="zh-CN" w:bidi="ar"/>
        </w:rPr>
        <w:t>Württemberg /ˈvʏrtəmbɛrk/</w:t>
      </w:r>
      <w:r>
        <w:rPr>
          <w:rFonts w:hint="eastAsia" w:ascii="宋体" w:hAnsi="宋体" w:eastAsia="宋体" w:cs="宋体"/>
          <w:kern w:val="2"/>
          <w:sz w:val="21"/>
          <w:szCs w:val="21"/>
          <w:lang w:val="en-US" w:eastAsia="zh-CN" w:bidi="ar"/>
        </w:rPr>
        <w:t>）的一项法令明确指出需要人员</w:t>
      </w:r>
      <w:r>
        <w:rPr>
          <w:rFonts w:hint="default" w:ascii="Times New Roman Regular" w:hAnsi="Times New Roman Regular" w:eastAsia="Times New Roman Regular" w:cs="Times New Roman Regular"/>
          <w:kern w:val="2"/>
          <w:sz w:val="21"/>
          <w:szCs w:val="21"/>
          <w:lang w:val="en-US" w:eastAsia="zh-CN" w:bidi="ar"/>
        </w:rPr>
        <w:t>“在传教职位、政府部门、世俗职位和行政机关中服务”</w:t>
      </w:r>
      <w:r>
        <w:rPr>
          <w:rFonts w:hint="eastAsia" w:ascii="宋体" w:hAnsi="宋体" w:eastAsia="宋体" w:cs="宋体"/>
          <w:kern w:val="2"/>
          <w:sz w:val="21"/>
          <w:szCs w:val="21"/>
          <w:lang w:val="en-US" w:eastAsia="zh-CN" w:bidi="ar"/>
        </w:rPr>
        <w:t>（</w:t>
      </w:r>
      <w:r>
        <w:rPr>
          <w:rFonts w:hint="default" w:ascii="Times New Roman Regular" w:hAnsi="Times New Roman Regular" w:eastAsia="Times New Roman Regular" w:cs="Times New Roman Regular"/>
          <w:kern w:val="2"/>
          <w:sz w:val="21"/>
          <w:szCs w:val="21"/>
          <w:lang w:val="en-US" w:eastAsia="zh-CN" w:bidi="ar"/>
        </w:rPr>
        <w:t>Strauss 1988</w:t>
      </w:r>
      <w:r>
        <w:rPr>
          <w:rFonts w:hint="eastAsia" w:ascii="宋体" w:hAnsi="宋体" w:eastAsia="宋体" w:cs="宋体"/>
          <w:kern w:val="2"/>
          <w:sz w:val="21"/>
          <w:szCs w:val="21"/>
          <w:lang w:val="en-US" w:eastAsia="zh-CN" w:bidi="ar"/>
        </w:rPr>
        <w:t>；引于第</w:t>
      </w:r>
      <w:r>
        <w:rPr>
          <w:rFonts w:hint="default" w:ascii="Times New Roman Regular" w:hAnsi="Times New Roman Regular" w:eastAsia="Times New Roman Regular" w:cs="Times New Roman Regular"/>
          <w:kern w:val="2"/>
          <w:sz w:val="21"/>
          <w:szCs w:val="21"/>
          <w:lang w:val="en-US" w:eastAsia="zh-CN" w:bidi="ar"/>
        </w:rPr>
        <w:t>2060</w:t>
      </w:r>
      <w:r>
        <w:rPr>
          <w:rFonts w:hint="eastAsia" w:ascii="宋体" w:hAnsi="宋体" w:eastAsia="宋体" w:cs="宋体"/>
          <w:kern w:val="2"/>
          <w:sz w:val="21"/>
          <w:szCs w:val="21"/>
          <w:lang w:val="en-US" w:eastAsia="zh-CN" w:bidi="ar"/>
        </w:rPr>
        <w:t>页）。同时，简化的新教神学减少了对教士劳动力的需求：更少的圣事意味着需要更少的牧师，修道主义的废除消除了整个类别的教会就业（第</w:t>
      </w:r>
      <w:r>
        <w:rPr>
          <w:rFonts w:hint="default" w:ascii="Times New Roman Regular" w:hAnsi="Times New Roman Regular" w:eastAsia="Times New Roman Regular" w:cs="Times New Roman Regular"/>
          <w:kern w:val="2"/>
          <w:sz w:val="21"/>
          <w:szCs w:val="21"/>
          <w:lang w:val="en-US" w:eastAsia="zh-CN" w:bidi="ar"/>
        </w:rPr>
        <w:t>2059–2060</w:t>
      </w:r>
      <w:r>
        <w:rPr>
          <w:rFonts w:hint="eastAsia" w:ascii="宋体" w:hAnsi="宋体" w:eastAsia="宋体" w:cs="宋体"/>
          <w:kern w:val="2"/>
          <w:sz w:val="21"/>
          <w:szCs w:val="21"/>
          <w:lang w:val="en-US" w:eastAsia="zh-CN" w:bidi="ar"/>
        </w:rPr>
        <w:t>页）。</w:t>
      </w:r>
    </w:p>
    <w:p w14:paraId="06E6945D">
      <w:pPr>
        <w:rPr>
          <w:rFonts w:hint="default" w:ascii="Times New Roman Regular" w:hAnsi="Times New Roman Regular" w:cs="Times New Roman Regular" w:eastAsiaTheme="minorEastAsia"/>
        </w:rPr>
      </w:pPr>
    </w:p>
    <w:p w14:paraId="3C731F0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Mechanism 6: Fixed Capital Investment as a Summary Statistic. The increase in secular lord</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resources and power was reflected in patterns of large-scale urban construction, which the authors treat as a summary statistic for the allocation of bundles of resources embodying land, physical, financial, and human capital. Empowered lords used their new wealth to construct palaces (signaling power and providing consumption) and administrative buildings (projecting expanded authority) (p. 2061). The authors note that this effect appeared with a lag, reflecting the insecurity of lord</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property rights claims before the mid-sixteenth century: full consolidation of expropriated wealth occurred only after the Schmalkaldic War (1546–1547) and the Peace of Augsburg /ˈaʊɡsbɜːrɡ/ (1555) (pp. 2053, 2061).</w:t>
      </w:r>
    </w:p>
    <w:p w14:paraId="63D4339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机制六：固定资本投资作为综合统计量。 世俗领主资源和权力的增加反映在大规模城市建筑的模式中，作者将其视为包含土地、实物资本、金融资本和人力资本等资源束配置的综合统计量。权力增强的领主用新获得的财富建造宫殿（象征权力并提供消费价值）和行政建筑（投射扩大的权威）（第2061页）。作者注意到这一效应有时滞，反映了十六世纪中期之前领主对被征收财产产权主张的不确定性：被征收财富的完全巩固仅在施马尔卡尔登战争（1546–1547年）和奥格斯堡和约（Augsburg /ˈaʊɡsbɜːrɡ/，1555年）之后才实现（第2053页、第2061页）。</w:t>
      </w:r>
    </w:p>
    <w:p w14:paraId="47F60C94">
      <w:pPr>
        <w:rPr>
          <w:rFonts w:hint="default" w:ascii="Times New Roman Regular" w:hAnsi="Times New Roman Regular" w:cs="Times New Roman Regular" w:eastAsiaTheme="minorEastAsia"/>
        </w:rPr>
      </w:pPr>
    </w:p>
    <w:p w14:paraId="072D6DA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Mechanism 7: The Intensive Margin of Religious Competition. The model also predicts differential effects within Catholic territories depending on their proximity to Protestant regions. Catholic territories bordering Protestant ones experienced greater competitive pressure — the Catholic Church had to concede more to secular lords in these border regions to prevent defection to Protestantism. This implies a gradient in secularization effects, with the largest Protestant-Catholic differences appearing between Protestant territories and Catholic territories far from Protestant borders (pp. 2083–2085).</w:t>
      </w:r>
    </w:p>
    <w:p w14:paraId="7D46DF9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机制七：宗教竞争的集约边际。 该模型还预测天主教领地内部因与新教地区的距离不同而产生差异化效应。毗邻新教的天主教领地经历了更大的竞争压力——天主教会必须在这些边境地区向世俗领主做出更多让步以防止倒向新教。这意味着世俗化效应存在梯度，最大的新教-天主教差异出现在新教领地与远离新教边界的天主教领地之间（第2083–2085页）。</w:t>
      </w:r>
    </w:p>
    <w:p w14:paraId="79B7B49D">
      <w:pPr>
        <w:rPr>
          <w:rFonts w:hint="default" w:ascii="Times New Roman Regular" w:hAnsi="Times New Roman Regular" w:cs="Times New Roman Regular" w:eastAsiaTheme="minorEastAsia"/>
        </w:rPr>
      </w:pPr>
    </w:p>
    <w:p w14:paraId="648AB752">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Data: What data is used to test the argument? / 数据：使用了什么数据来检验论点？</w:t>
      </w:r>
    </w:p>
    <w:p w14:paraId="0B1B294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paper assembles an unusually rich set of microdata from multiple primary and secondary historical sources, covering the German-speaking lands of the Holy Roman Empire from approximately 1470 to 1600.</w:t>
      </w:r>
    </w:p>
    <w:p w14:paraId="0B591C8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Data on University Graduate</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Degrees and Careers. The primary source for individual-level data on university graduates through 1550 is the Repertorium Academicum Germanicum (RAG; Schwinges and Hesse 2015), an online database collecting the universe of recipients of academic degrees from 16 German universities (pp. 2062–2063). The RAG provides information on each degree recipient</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subject (arts, law, medicine, or theology), year, and — for approximately one-quarter of graduates between 1480 and 1550 — their careers. Career information includes over 400 occupational titles, classified into church and secular sectors using the Thesaurus Professionum (Marburg Universität 2015) (p. 2063). To extend coverage beyond 1550, the authors hand-collected university-level degree data from historical registries for the period 1540–1600 (p. 2062). The resulting datasets include 10,022 individual degree observations for the human capital investment analysis and 2,408 individuals with career data for the occupational choice analysis.</w:t>
      </w:r>
    </w:p>
    <w:p w14:paraId="1A912BB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Data on Monastery Closure. Data on 3,094 monasteries are gathered from Jürgensmeier and Schwerdtfeger (2005–2008), including location, foundation date, and closure date. For each of over 2,200 towns in the Deutsches Städtebuch, the authors calculate the number of monasteries within 25 km open in each year (pp. 2054–2055).</w:t>
      </w:r>
    </w:p>
    <w:p w14:paraId="4F80CEE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Data on Construction Activity. Several thousand unique major construction events at the town level are hand-coded from the Deutsches Städtebuch, a comprehensive multi-volume reference work on German cities and towns. Each construction event is coded by location, start date, and sector (church or secular), with secular construction further disaggregated into administrative, palaces, welfare, economic, military, and other categories. The analysis covers over 2,000 towns (p. 2064). Construction data are aggregated to territory-by-decade cells for the formal regression analysis.</w:t>
      </w:r>
    </w:p>
    <w:p w14:paraId="4BD413D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Assignment of Towns and Territories to Religious Denominations. Towns are assigned to territorial lords using the Euratlas mapping (Nüssli 2008) for 1500, and religion is coded using Cantoni (2012). This produces 983 towns in eventually Protestant territories and 558 towns in Catholic territories (p. 2055).</w:t>
      </w:r>
    </w:p>
    <w:p w14:paraId="2B89229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Geographic Coverage and Unit of Analysis. The analysis covers the German-speaking lands of the Holy Roman Empire. The unit of analysis varies: individual graduates for occupational choice and human capital investment; territory-by-decade for construction activity; and town-by-year for monastery counts. There are 35 territories in the construction regressions (p. 2079).</w:t>
      </w:r>
    </w:p>
    <w:p w14:paraId="03A4A4B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本文汇集了来自多种一手和二手历史资料的异常丰富的微观数据集，覆盖约1470年至1600年神圣罗马帝国的德语地区。</w:t>
      </w:r>
    </w:p>
    <w:p w14:paraId="4E87CCE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大学毕业生学位和职业数据。 1550年之前大学毕业生个体层面数据的主要来源是Repertorium Academicum Germanicum（RAG；Schwinges and Hesse 2015），这是一个收集16所德国大学所有学位获得者信息的在线数据库（第2062–2063页）。RAG提供每位学位获得者的学科（文科、法学、医学或神学）、年份，以及——对于1480至1550年间约四分之一的毕业生——他们的职业信息。职业信息包括400多个职业头衔，使用Thesaurus Professionum（马尔堡大学 2015）分类为教会和世俗部门（第2063页）。为将覆盖范围扩展到1550年以后，作者从历史注册簿中手工收集了1540–1600年期间的大学层面学位数据（第2062页）。由此得到的数据集包括人力资本投资分析的10,022个个体学位观测值和职业选择分析的2,408个有职业数据的个体。</w:t>
      </w:r>
    </w:p>
    <w:p w14:paraId="51423CE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修道院关闭数据。 3,094个修道院的数据来自Jürgensmeier and Schwerdtfeger (2005–2008)，包括位置、建立日期和关闭日期。对于Deutsches Städtebuch中2,200多个城镇中的每一个，作者计算了每年25公里范围内开放的修道院数量（第2054–2055页）。</w:t>
      </w:r>
    </w:p>
    <w:p w14:paraId="45E0CA2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建筑活动数据。 数千个城镇层面独特的重大建筑事件从Deutsches Städtebuch——一部关于德国城镇的综合性多卷参考著作——中手工编码。每个建筑事件按位置、开工日期和部门（教会或世俗）编码，世俗建筑进一步细分为行政、宫殿、福利、经济、军事和其他类别。分析覆盖2,000多个城镇（第2064页）。建筑数据在正式回归分析中聚合为领地-十年单元。</w:t>
      </w:r>
    </w:p>
    <w:p w14:paraId="42C1B20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城镇和领地的宗教归属分配。 城镇使用1500年的Euratlas地图（Nüssli 2008）分配给领地领主，宗教编码使用Cantoni (2012)。这产生了最终成为新教领地的983个城镇和天主教领地的558个城镇（第2055页）。</w:t>
      </w:r>
    </w:p>
    <w:p w14:paraId="275BA75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地理覆盖范围和分析单位。 分析覆盖神圣罗马帝国的德语地区。分析单位不同：职业选择和人力资本投资为个体毕业生；建筑活动为领地-十年；修道院数量为城镇-年。建筑回归中有35个领地（第2079页）。</w:t>
      </w:r>
    </w:p>
    <w:p w14:paraId="286222EC">
      <w:pPr>
        <w:rPr>
          <w:rFonts w:hint="default" w:ascii="Times New Roman Regular" w:hAnsi="Times New Roman Regular" w:cs="Times New Roman Regular" w:eastAsiaTheme="minorEastAsia"/>
        </w:rPr>
      </w:pPr>
    </w:p>
    <w:p w14:paraId="56AB1A72">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Methods: What methods are employed? / 方法：采用了什么方法？</w:t>
      </w:r>
    </w:p>
    <w:p w14:paraId="090B954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paper employs difference-in-differences (DID) estimation as its primary identification strategy, implemented in three separate empirical contexts with consistent logic.</w:t>
      </w:r>
    </w:p>
    <w:p w14:paraId="5BA8E67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Occupational Choice. The authors estimate individual-level linear probability models (OLS) with university and decade fixed effects. The key specification is a flexible DID model (equation 1, p. 2066) where the outcome is a binary indicator for whether a graduate</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first job was in the church sector, and the explanatory variables of interest are interactions between an </w:t>
      </w:r>
      <w:r>
        <w:rPr>
          <w:rFonts w:hint="default" w:ascii="Times New Roman Regular" w:hAnsi="Times New Roman Regular" w:cs="Times New Roman Regular"/>
          <w:lang w:val="en-US"/>
        </w:rPr>
        <w:t>“eventually Protestant university”</w:t>
      </w:r>
      <w:r>
        <w:rPr>
          <w:rFonts w:hint="default" w:ascii="Times New Roman Regular" w:hAnsi="Times New Roman Regular" w:cs="Times New Roman Regular" w:eastAsiaTheme="minorEastAsia"/>
        </w:rPr>
        <w:t xml:space="preserve"> dummy and decade dummies, with the 1510–1519 decade as the omitted reference. They also estimate a more aggregated specification (equation 2, p. 2067) with three time periods (1480–1509, 1510–1519, 1520–1549) to produce a formal pre-trend test and a pooled post-Reformation estimate. Standard errors are clustered at the university-by-decade level. The sample comprises 2,408 individuals with recorded occupations.</w:t>
      </w:r>
    </w:p>
    <w:p w14:paraId="5203DDE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Human Capital Investment. An analogous individual-level DID model (equations 3 and 4, pp. 2073) is estimated with the outcome being a binary indicator for a theology degree (or, in the complementary analysis, a law or arts degree). The same university and decade fixed effects, Protestant-university interaction structure, and clustering scheme are used. The sample comprises 10,022 degree observations.</w:t>
      </w:r>
    </w:p>
    <w:p w14:paraId="7696DF8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Construction Activity. The analysis shifts to the territory-by-decade level. Counts of construction events by sector are regressed on territory and decade fixed effects, with the key explanatory variables being interactions between an </w:t>
      </w:r>
      <w:r>
        <w:rPr>
          <w:rFonts w:hint="default" w:ascii="Times New Roman Regular" w:hAnsi="Times New Roman Regular" w:cs="Times New Roman Regular"/>
          <w:lang w:val="en-US"/>
        </w:rPr>
        <w:t>“eventually Protestant territory”</w:t>
      </w:r>
      <w:r>
        <w:rPr>
          <w:rFonts w:hint="default" w:ascii="Times New Roman Regular" w:hAnsi="Times New Roman Regular" w:cs="Times New Roman Regular" w:eastAsiaTheme="minorEastAsia"/>
        </w:rPr>
        <w:t xml:space="preserve"> dummy and decade dummies (equations 5 and 6, pp. 2077–2078). The omitted reference decade is again 1510–1519. An aggregated specification uses four time periods: 1480–1509, 1510–1519, 1520–1549, and 1550–1599, with the last period separated to capture the consolidation of lord</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property rights after the Schmalkaldic War. Standard errors are clustered at the territory level. There are 35 territories.</w:t>
      </w:r>
    </w:p>
    <w:p w14:paraId="7C1B65F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本文以双重差分法（DID）作为主要识别策略，在三个独立的实证环境中以一致的逻辑实施。</w:t>
      </w:r>
    </w:p>
    <w:p w14:paraId="5FB290D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职业选择。 作者估计了包含大学和十年固定效应的个体层面线性概率模型（OLS）。关键设定是灵活的DID模型（方程1，第2066页），其中结果变量是毕业生首份工作是否在教会部门的二元指标，关键解释变量是</w:t>
      </w:r>
      <w:r>
        <w:rPr>
          <w:rFonts w:hint="default" w:ascii="Times New Roman Regular" w:hAnsi="Times New Roman Regular" w:cs="Times New Roman Regular"/>
          <w:lang w:val="en-US"/>
        </w:rPr>
        <w:t>“最终成为新教大学”</w:t>
      </w:r>
      <w:r>
        <w:rPr>
          <w:rFonts w:hint="default" w:ascii="Times New Roman Regular" w:hAnsi="Times New Roman Regular" w:cs="Times New Roman Regular" w:eastAsiaTheme="minorEastAsia"/>
        </w:rPr>
        <w:t>虚拟变量与十年虚拟变量的交互项，以1510–1519年十年为省略的参照期。他们还估计了更聚合的设定（方程2，第2067页），使用三个时期（1480–1509、1510–1519、1520–1549）以产生正式的前趋势检验和汇总的改革后估计。标准误在大学-十年层面聚类。样本包含2,408个有记录职业的个体。</w:t>
      </w:r>
    </w:p>
    <w:p w14:paraId="6405188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人力资本投资。 估计了类似的个体层面DID模型（方程3和4，第2073页），结果变量为神学学位的二元指标（或在互补分析中，法学或文科学位的二元指标）。使用相同的大学和十年固定效应、新教大学交互项结构和聚类方案。样本包含10,022个学位观测值。</w:t>
      </w:r>
    </w:p>
    <w:p w14:paraId="08CE72D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建筑活动。 分析转向领地-十年层面。按部门的建筑事件计数对领地和十年固定效应回归，关键解释变量为</w:t>
      </w:r>
      <w:r>
        <w:rPr>
          <w:rFonts w:hint="default" w:ascii="Times New Roman Regular" w:hAnsi="Times New Roman Regular" w:cs="Times New Roman Regular"/>
          <w:lang w:val="en-US"/>
        </w:rPr>
        <w:t>“最终成为新教领地”</w:t>
      </w:r>
      <w:r>
        <w:rPr>
          <w:rFonts w:hint="default" w:ascii="Times New Roman Regular" w:hAnsi="Times New Roman Regular" w:cs="Times New Roman Regular" w:eastAsiaTheme="minorEastAsia"/>
        </w:rPr>
        <w:t>虚拟变量与十年虚拟变量的交互项（方程5和6，第2077–2078页）。省略的参照十年仍为1510–1519年。聚合设定使用四个时期：1480–1509、1510–1519、1520–1549和1550–1599，最后一个时期单独列出以捕捉施马尔卡尔登战争后领主产权的巩固。标准误在领地层面聚类。共有35个领地。</w:t>
      </w:r>
    </w:p>
    <w:p w14:paraId="0B58E305">
      <w:pPr>
        <w:rPr>
          <w:rFonts w:hint="default" w:ascii="Times New Roman Regular" w:hAnsi="Times New Roman Regular" w:cs="Times New Roman Regular" w:eastAsiaTheme="minorEastAsia"/>
        </w:rPr>
      </w:pPr>
    </w:p>
    <w:p w14:paraId="12234557">
      <w:pPr>
        <w:rPr>
          <w:rFonts w:hint="default" w:ascii="Times New Roman Regular" w:hAnsi="Times New Roman Regular" w:cs="Times New Roman Regular" w:eastAsiaTheme="minorEastAsia"/>
          <w:highlight w:val="lightGray"/>
        </w:rPr>
      </w:pPr>
      <w:r>
        <w:rPr>
          <w:rFonts w:hint="default" w:ascii="Times New Roman Regular" w:hAnsi="Times New Roman Regular" w:cs="Times New Roman Regular" w:eastAsiaTheme="minorEastAsia"/>
          <w:highlight w:val="lightGray"/>
        </w:rPr>
        <w:t>Robustness and Identification. The core identifying assumption is the parallel trends assumption: absent the Reformation, Protestant and Catholic territories (or universities) would have followed similar trajectories in the outcomes of interest. The authors support this assumption through several strategies. First, the flexible DID specifications allow visual inspection of pre-Reformation trends, and in nearly all analyses, the Protestant-Catholic differences before 1517 are small and statistically insignificant, with no differential trend toward the post-Reformation patterns (pp. 2067–2068, 2073–2074, 2078–2082). Second, for construction activity, the authors include very flexible controls for pre-Reformation construction levels — interactions between a territory</w:t>
      </w:r>
      <w:r>
        <w:rPr>
          <w:rFonts w:hint="default" w:ascii="Times New Roman Regular" w:hAnsi="Times New Roman Regular" w:cs="Times New Roman Regular"/>
          <w:highlight w:val="lightGray"/>
          <w:lang w:val="en-US"/>
        </w:rPr>
        <w:t>’s</w:t>
      </w:r>
      <w:r>
        <w:rPr>
          <w:rFonts w:hint="default" w:ascii="Times New Roman Regular" w:hAnsi="Times New Roman Regular" w:cs="Times New Roman Regular" w:eastAsiaTheme="minorEastAsia"/>
          <w:highlight w:val="lightGray"/>
        </w:rPr>
        <w:t xml:space="preserve"> total construction stock up to the 1470s and a full set of decade dummies, as well as interactions between each territory</w:t>
      </w:r>
      <w:r>
        <w:rPr>
          <w:rFonts w:hint="default" w:ascii="Times New Roman Regular" w:hAnsi="Times New Roman Regular" w:cs="Times New Roman Regular"/>
          <w:highlight w:val="lightGray"/>
          <w:lang w:val="en-US"/>
        </w:rPr>
        <w:t>’s</w:t>
      </w:r>
      <w:r>
        <w:rPr>
          <w:rFonts w:hint="default" w:ascii="Times New Roman Regular" w:hAnsi="Times New Roman Regular" w:cs="Times New Roman Regular" w:eastAsiaTheme="minorEastAsia"/>
          <w:highlight w:val="lightGray"/>
        </w:rPr>
        <w:t xml:space="preserve"> construction level in each pre-Reformation decade and a full set of decade dummies — which absorb all pre-Reformation level differences (p. 2082). Third, the authors conduct a heterogeneity analysis exploiting variation in the </w:t>
      </w:r>
      <w:r>
        <w:rPr>
          <w:rFonts w:hint="default" w:ascii="Times New Roman Regular" w:hAnsi="Times New Roman Regular" w:cs="Times New Roman Regular"/>
          <w:highlight w:val="lightGray"/>
          <w:lang w:val="en-US"/>
        </w:rPr>
        <w:t>“intensity”</w:t>
      </w:r>
      <w:r>
        <w:rPr>
          <w:rFonts w:hint="default" w:ascii="Times New Roman Regular" w:hAnsi="Times New Roman Regular" w:cs="Times New Roman Regular" w:eastAsiaTheme="minorEastAsia"/>
          <w:highlight w:val="lightGray"/>
        </w:rPr>
        <w:t xml:space="preserve"> of religious competition, comparing Protestant territories with Catholic border regions (high competition) versus Catholic interior regions (low competition) (pp. 2083–2085). Fourth, to address concerns about time-varying confounders that might simultaneously drive both the adoption of Protestantism and secularization, the authors present three territorial case studies — Brandenburg /ˈbrɑːndənbɜːrɡ/, the Duchy of Saxony /ˈsæksəni/, and the Duchy of Württemberg /ˈvʏrtəmbɛrk/ — where the timing of religious change was plausibly exogenous because it was determined by unanticipated changes in rulers (e.g., the death of a Catholic duke succeeded by a Protestant heir) rather than by underlying economic conditions (pp. 2087–2091). Fifth, the authors demonstrate that results are not driven by large cities, showing similar patterns in small towns (Figure XII, p. 2088).</w:t>
      </w:r>
    </w:p>
    <w:p w14:paraId="2344A504">
      <w:pPr>
        <w:keepNext w:val="0"/>
        <w:keepLines w:val="0"/>
        <w:widowControl w:val="0"/>
        <w:suppressLineNumbers w:val="0"/>
        <w:spacing w:before="0" w:beforeAutospacing="0" w:after="0" w:afterAutospacing="0"/>
        <w:ind w:left="0" w:right="0"/>
        <w:jc w:val="both"/>
        <w:rPr>
          <w:rFonts w:hint="default" w:ascii="Times New Roman Regular" w:hAnsi="Times New Roman Regular" w:eastAsia="宋体" w:cs="Times New Roman Regular"/>
          <w:kern w:val="2"/>
          <w:sz w:val="21"/>
          <w:szCs w:val="21"/>
          <w:highlight w:val="lightGray"/>
        </w:rPr>
      </w:pPr>
      <w:r>
        <w:rPr>
          <w:rFonts w:hint="eastAsia" w:ascii="宋体" w:hAnsi="宋体" w:eastAsia="宋体" w:cs="宋体"/>
          <w:kern w:val="2"/>
          <w:sz w:val="21"/>
          <w:szCs w:val="21"/>
          <w:highlight w:val="lightGray"/>
          <w:lang w:val="en-US" w:eastAsia="zh-CN" w:bidi="ar"/>
        </w:rPr>
        <w:t>稳健性与识别。</w:t>
      </w:r>
      <w:r>
        <w:rPr>
          <w:rFonts w:hint="default" w:ascii="Times New Roman Regular" w:hAnsi="Times New Roman Regular" w:eastAsia="宋体" w:cs="Times New Roman Regular"/>
          <w:kern w:val="2"/>
          <w:sz w:val="21"/>
          <w:szCs w:val="21"/>
          <w:highlight w:val="lightGray"/>
          <w:lang w:val="en-US" w:eastAsia="zh-CN" w:bidi="ar"/>
        </w:rPr>
        <w:t xml:space="preserve"> </w:t>
      </w:r>
      <w:r>
        <w:rPr>
          <w:rFonts w:hint="eastAsia" w:ascii="宋体" w:hAnsi="宋体" w:eastAsia="宋体" w:cs="宋体"/>
          <w:kern w:val="2"/>
          <w:sz w:val="21"/>
          <w:szCs w:val="21"/>
          <w:highlight w:val="lightGray"/>
          <w:lang w:val="en-US" w:eastAsia="zh-CN" w:bidi="ar"/>
        </w:rPr>
        <w:t>核心识别假设是平行趋势假设：如果没有宗教改革，新教和天主教领地（或大学）在感兴趣的结果上会遵循相似的轨迹。作者通过几种策略支持这一假设。第一，灵活的</w:t>
      </w:r>
      <w:r>
        <w:rPr>
          <w:rFonts w:hint="default" w:ascii="Times New Roman Regular" w:hAnsi="Times New Roman Regular" w:eastAsia="宋体" w:cs="Times New Roman Regular"/>
          <w:kern w:val="2"/>
          <w:sz w:val="21"/>
          <w:szCs w:val="21"/>
          <w:highlight w:val="lightGray"/>
          <w:lang w:val="en-US" w:eastAsia="zh-CN" w:bidi="ar"/>
        </w:rPr>
        <w:t>DID</w:t>
      </w:r>
      <w:r>
        <w:rPr>
          <w:rFonts w:hint="eastAsia" w:ascii="宋体" w:hAnsi="宋体" w:eastAsia="宋体" w:cs="宋体"/>
          <w:kern w:val="2"/>
          <w:sz w:val="21"/>
          <w:szCs w:val="21"/>
          <w:highlight w:val="lightGray"/>
          <w:lang w:val="en-US" w:eastAsia="zh-CN" w:bidi="ar"/>
        </w:rPr>
        <w:t>设定允许目视检查改革前趋势，在几乎所有分析中，</w:t>
      </w:r>
      <w:r>
        <w:rPr>
          <w:rFonts w:hint="default" w:ascii="Times New Roman Regular" w:hAnsi="Times New Roman Regular" w:eastAsia="Times New Roman Regular" w:cs="Times New Roman Regular"/>
          <w:kern w:val="2"/>
          <w:sz w:val="21"/>
          <w:szCs w:val="21"/>
          <w:highlight w:val="lightGray"/>
          <w:lang w:val="en-US" w:eastAsia="zh-CN" w:bidi="ar"/>
        </w:rPr>
        <w:t>1517</w:t>
      </w:r>
      <w:r>
        <w:rPr>
          <w:rFonts w:hint="eastAsia" w:ascii="宋体" w:hAnsi="宋体" w:eastAsia="宋体" w:cs="宋体"/>
          <w:kern w:val="2"/>
          <w:sz w:val="21"/>
          <w:szCs w:val="21"/>
          <w:highlight w:val="lightGray"/>
          <w:lang w:val="en-US" w:eastAsia="zh-CN" w:bidi="ar"/>
        </w:rPr>
        <w:t>年前的新教</w:t>
      </w:r>
      <w:r>
        <w:rPr>
          <w:rFonts w:hint="default" w:ascii="Times New Roman Regular" w:hAnsi="Times New Roman Regular" w:eastAsia="Times New Roman Regular" w:cs="Times New Roman Regular"/>
          <w:kern w:val="2"/>
          <w:sz w:val="21"/>
          <w:szCs w:val="21"/>
          <w:highlight w:val="lightGray"/>
          <w:lang w:val="en-US" w:eastAsia="zh-CN" w:bidi="ar"/>
        </w:rPr>
        <w:t>-</w:t>
      </w:r>
      <w:r>
        <w:rPr>
          <w:rFonts w:hint="eastAsia" w:ascii="宋体" w:hAnsi="宋体" w:eastAsia="宋体" w:cs="宋体"/>
          <w:kern w:val="2"/>
          <w:sz w:val="21"/>
          <w:szCs w:val="21"/>
          <w:highlight w:val="lightGray"/>
          <w:lang w:val="en-US" w:eastAsia="zh-CN" w:bidi="ar"/>
        </w:rPr>
        <w:t>天主教差异都很小且统计上不显著，没有向改革后模式的差异化趋势（第</w:t>
      </w:r>
      <w:r>
        <w:rPr>
          <w:rFonts w:hint="default" w:ascii="Times New Roman Regular" w:hAnsi="Times New Roman Regular" w:eastAsia="Times New Roman Regular" w:cs="Times New Roman Regular"/>
          <w:kern w:val="2"/>
          <w:sz w:val="21"/>
          <w:szCs w:val="21"/>
          <w:highlight w:val="lightGray"/>
          <w:lang w:val="en-US" w:eastAsia="zh-CN" w:bidi="ar"/>
        </w:rPr>
        <w:t>2067–2068</w:t>
      </w:r>
      <w:r>
        <w:rPr>
          <w:rFonts w:hint="eastAsia" w:ascii="宋体" w:hAnsi="宋体" w:eastAsia="宋体" w:cs="宋体"/>
          <w:kern w:val="2"/>
          <w:sz w:val="21"/>
          <w:szCs w:val="21"/>
          <w:highlight w:val="lightGray"/>
          <w:lang w:val="en-US" w:eastAsia="zh-CN" w:bidi="ar"/>
        </w:rPr>
        <w:t>页、第</w:t>
      </w:r>
      <w:r>
        <w:rPr>
          <w:rFonts w:hint="default" w:ascii="Times New Roman Regular" w:hAnsi="Times New Roman Regular" w:eastAsia="Times New Roman Regular" w:cs="Times New Roman Regular"/>
          <w:kern w:val="2"/>
          <w:sz w:val="21"/>
          <w:szCs w:val="21"/>
          <w:highlight w:val="lightGray"/>
          <w:lang w:val="en-US" w:eastAsia="zh-CN" w:bidi="ar"/>
        </w:rPr>
        <w:t>2073–2074</w:t>
      </w:r>
      <w:r>
        <w:rPr>
          <w:rFonts w:hint="eastAsia" w:ascii="宋体" w:hAnsi="宋体" w:eastAsia="宋体" w:cs="宋体"/>
          <w:kern w:val="2"/>
          <w:sz w:val="21"/>
          <w:szCs w:val="21"/>
          <w:highlight w:val="lightGray"/>
          <w:lang w:val="en-US" w:eastAsia="zh-CN" w:bidi="ar"/>
        </w:rPr>
        <w:t>页、第</w:t>
      </w:r>
      <w:r>
        <w:rPr>
          <w:rFonts w:hint="default" w:ascii="Times New Roman Regular" w:hAnsi="Times New Roman Regular" w:eastAsia="Times New Roman Regular" w:cs="Times New Roman Regular"/>
          <w:kern w:val="2"/>
          <w:sz w:val="21"/>
          <w:szCs w:val="21"/>
          <w:highlight w:val="lightGray"/>
          <w:lang w:val="en-US" w:eastAsia="zh-CN" w:bidi="ar"/>
        </w:rPr>
        <w:t>2078–2082</w:t>
      </w:r>
      <w:r>
        <w:rPr>
          <w:rFonts w:hint="eastAsia" w:ascii="宋体" w:hAnsi="宋体" w:eastAsia="宋体" w:cs="宋体"/>
          <w:kern w:val="2"/>
          <w:sz w:val="21"/>
          <w:szCs w:val="21"/>
          <w:highlight w:val="lightGray"/>
          <w:lang w:val="en-US" w:eastAsia="zh-CN" w:bidi="ar"/>
        </w:rPr>
        <w:t>页）。第二，对于建筑活动，作者加入了非常灵活的改革前建筑水平控制</w:t>
      </w:r>
      <w:r>
        <w:rPr>
          <w:rFonts w:hint="default" w:ascii="Times New Roman Regular" w:hAnsi="Times New Roman Regular" w:eastAsia="Times New Roman Regular" w:cs="Times New Roman Regular"/>
          <w:kern w:val="2"/>
          <w:sz w:val="21"/>
          <w:szCs w:val="21"/>
          <w:highlight w:val="lightGray"/>
          <w:lang w:val="en-US" w:eastAsia="zh-CN" w:bidi="ar"/>
        </w:rPr>
        <w:t>——</w:t>
      </w:r>
      <w:r>
        <w:rPr>
          <w:rFonts w:hint="eastAsia" w:ascii="宋体" w:hAnsi="宋体" w:eastAsia="宋体" w:cs="宋体"/>
          <w:kern w:val="2"/>
          <w:sz w:val="21"/>
          <w:szCs w:val="21"/>
          <w:highlight w:val="lightGray"/>
          <w:lang w:val="en-US" w:eastAsia="zh-CN" w:bidi="ar"/>
        </w:rPr>
        <w:t>领地截至</w:t>
      </w:r>
      <w:r>
        <w:rPr>
          <w:rFonts w:hint="default" w:ascii="Times New Roman Regular" w:hAnsi="Times New Roman Regular" w:eastAsia="Times New Roman Regular" w:cs="Times New Roman Regular"/>
          <w:kern w:val="2"/>
          <w:sz w:val="21"/>
          <w:szCs w:val="21"/>
          <w:highlight w:val="lightGray"/>
          <w:lang w:val="en-US" w:eastAsia="zh-CN" w:bidi="ar"/>
        </w:rPr>
        <w:t>1470</w:t>
      </w:r>
      <w:r>
        <w:rPr>
          <w:rFonts w:hint="eastAsia" w:ascii="宋体" w:hAnsi="宋体" w:eastAsia="宋体" w:cs="宋体"/>
          <w:kern w:val="2"/>
          <w:sz w:val="21"/>
          <w:szCs w:val="21"/>
          <w:highlight w:val="lightGray"/>
          <w:lang w:val="en-US" w:eastAsia="zh-CN" w:bidi="ar"/>
        </w:rPr>
        <w:t>年代的总建筑存量与十年虚拟变量全集的交互项，以及每个领地在每个改革前十年的建筑水平与十年虚拟变量全集的交互项</w:t>
      </w:r>
      <w:r>
        <w:rPr>
          <w:rFonts w:hint="default" w:ascii="Times New Roman Regular" w:hAnsi="Times New Roman Regular" w:eastAsia="Times New Roman Regular" w:cs="Times New Roman Regular"/>
          <w:kern w:val="2"/>
          <w:sz w:val="21"/>
          <w:szCs w:val="21"/>
          <w:highlight w:val="lightGray"/>
          <w:lang w:val="en-US" w:eastAsia="zh-CN" w:bidi="ar"/>
        </w:rPr>
        <w:t>——</w:t>
      </w:r>
      <w:r>
        <w:rPr>
          <w:rFonts w:hint="eastAsia" w:ascii="宋体" w:hAnsi="宋体" w:eastAsia="宋体" w:cs="宋体"/>
          <w:kern w:val="2"/>
          <w:sz w:val="21"/>
          <w:szCs w:val="21"/>
          <w:highlight w:val="lightGray"/>
          <w:lang w:val="en-US" w:eastAsia="zh-CN" w:bidi="ar"/>
        </w:rPr>
        <w:t>这吸收了所有改革前水平差异（第</w:t>
      </w:r>
      <w:r>
        <w:rPr>
          <w:rFonts w:hint="default" w:ascii="Times New Roman Regular" w:hAnsi="Times New Roman Regular" w:eastAsia="Times New Roman Regular" w:cs="Times New Roman Regular"/>
          <w:kern w:val="2"/>
          <w:sz w:val="21"/>
          <w:szCs w:val="21"/>
          <w:highlight w:val="lightGray"/>
          <w:lang w:val="en-US" w:eastAsia="zh-CN" w:bidi="ar"/>
        </w:rPr>
        <w:t>2082</w:t>
      </w:r>
      <w:r>
        <w:rPr>
          <w:rFonts w:hint="eastAsia" w:ascii="宋体" w:hAnsi="宋体" w:eastAsia="宋体" w:cs="宋体"/>
          <w:kern w:val="2"/>
          <w:sz w:val="21"/>
          <w:szCs w:val="21"/>
          <w:highlight w:val="lightGray"/>
          <w:lang w:val="en-US" w:eastAsia="zh-CN" w:bidi="ar"/>
        </w:rPr>
        <w:t>页）。第三，作者进行了异质性分析，利用宗教竞争</w:t>
      </w:r>
      <w:r>
        <w:rPr>
          <w:rFonts w:hint="default" w:ascii="Times New Roman Regular" w:hAnsi="Times New Roman Regular" w:eastAsia="Times New Roman Regular" w:cs="Times New Roman Regular"/>
          <w:kern w:val="2"/>
          <w:sz w:val="21"/>
          <w:szCs w:val="21"/>
          <w:highlight w:val="lightGray"/>
          <w:lang w:val="en-US" w:eastAsia="zh-CN" w:bidi="ar"/>
        </w:rPr>
        <w:t>“</w:t>
      </w:r>
      <w:r>
        <w:rPr>
          <w:rFonts w:hint="eastAsia" w:ascii="宋体" w:hAnsi="宋体" w:eastAsia="宋体" w:cs="宋体"/>
          <w:kern w:val="2"/>
          <w:sz w:val="21"/>
          <w:szCs w:val="21"/>
          <w:highlight w:val="lightGray"/>
          <w:lang w:val="en-US" w:eastAsia="zh-CN" w:bidi="ar"/>
        </w:rPr>
        <w:t>强度</w:t>
      </w:r>
      <w:r>
        <w:rPr>
          <w:rFonts w:hint="default" w:ascii="Times New Roman Regular" w:hAnsi="Times New Roman Regular" w:eastAsia="Times New Roman Regular" w:cs="Times New Roman Regular"/>
          <w:kern w:val="2"/>
          <w:sz w:val="21"/>
          <w:szCs w:val="21"/>
          <w:highlight w:val="lightGray"/>
          <w:lang w:val="en-US" w:eastAsia="zh-CN" w:bidi="ar"/>
        </w:rPr>
        <w:t>”</w:t>
      </w:r>
      <w:r>
        <w:rPr>
          <w:rFonts w:hint="eastAsia" w:ascii="宋体" w:hAnsi="宋体" w:eastAsia="宋体" w:cs="宋体"/>
          <w:kern w:val="2"/>
          <w:sz w:val="21"/>
          <w:szCs w:val="21"/>
          <w:highlight w:val="lightGray"/>
          <w:lang w:val="en-US" w:eastAsia="zh-CN" w:bidi="ar"/>
        </w:rPr>
        <w:t>的变异，比较新教领地与天主教边境地区（高竞争）和天主教内陆地区（低竞争）（第</w:t>
      </w:r>
      <w:r>
        <w:rPr>
          <w:rFonts w:hint="default" w:ascii="Times New Roman Regular" w:hAnsi="Times New Roman Regular" w:eastAsia="宋体" w:cs="Times New Roman Regular"/>
          <w:kern w:val="2"/>
          <w:sz w:val="21"/>
          <w:szCs w:val="21"/>
          <w:highlight w:val="lightGray"/>
          <w:lang w:val="en-US" w:eastAsia="zh-CN" w:bidi="ar"/>
        </w:rPr>
        <w:t>2083–2085</w:t>
      </w:r>
      <w:r>
        <w:rPr>
          <w:rFonts w:hint="eastAsia" w:ascii="宋体" w:hAnsi="宋体" w:eastAsia="宋体" w:cs="宋体"/>
          <w:kern w:val="2"/>
          <w:sz w:val="21"/>
          <w:szCs w:val="21"/>
          <w:highlight w:val="lightGray"/>
          <w:lang w:val="en-US" w:eastAsia="zh-CN" w:bidi="ar"/>
        </w:rPr>
        <w:t>页）。第四，为解决可能同时驱动新教采纳和世俗化的时变混淆因素的担忧，作者提出了三个领地案例研究</w:t>
      </w:r>
      <w:r>
        <w:rPr>
          <w:rFonts w:hint="default" w:ascii="Times New Roman Regular" w:hAnsi="Times New Roman Regular" w:eastAsia="Times New Roman Regular" w:cs="Times New Roman Regular"/>
          <w:kern w:val="2"/>
          <w:sz w:val="21"/>
          <w:szCs w:val="21"/>
          <w:highlight w:val="lightGray"/>
          <w:lang w:val="en-US" w:eastAsia="zh-CN" w:bidi="ar"/>
        </w:rPr>
        <w:t>——</w:t>
      </w:r>
      <w:r>
        <w:rPr>
          <w:rFonts w:hint="eastAsia" w:ascii="宋体" w:hAnsi="宋体" w:eastAsia="宋体" w:cs="宋体"/>
          <w:kern w:val="2"/>
          <w:sz w:val="21"/>
          <w:szCs w:val="21"/>
          <w:highlight w:val="lightGray"/>
          <w:lang w:val="en-US" w:eastAsia="zh-CN" w:bidi="ar"/>
        </w:rPr>
        <w:t>勃兰登堡（</w:t>
      </w:r>
      <w:r>
        <w:rPr>
          <w:rFonts w:hint="default" w:ascii="Times New Roman Regular" w:hAnsi="Times New Roman Regular" w:eastAsia="Times New Roman Regular" w:cs="Times New Roman Regular"/>
          <w:kern w:val="2"/>
          <w:sz w:val="21"/>
          <w:szCs w:val="21"/>
          <w:highlight w:val="lightGray"/>
          <w:lang w:val="en-US" w:eastAsia="zh-CN" w:bidi="ar"/>
        </w:rPr>
        <w:t>Brandenburg /ˈbrɑːndənbɜːrɡ/</w:t>
      </w:r>
      <w:r>
        <w:rPr>
          <w:rFonts w:hint="eastAsia" w:ascii="宋体" w:hAnsi="宋体" w:eastAsia="宋体" w:cs="宋体"/>
          <w:kern w:val="2"/>
          <w:sz w:val="21"/>
          <w:szCs w:val="21"/>
          <w:highlight w:val="lightGray"/>
          <w:lang w:val="en-US" w:eastAsia="zh-CN" w:bidi="ar"/>
        </w:rPr>
        <w:t>）、萨克森公国（</w:t>
      </w:r>
      <w:r>
        <w:rPr>
          <w:rFonts w:hint="default" w:ascii="Times New Roman Regular" w:hAnsi="Times New Roman Regular" w:eastAsia="Times New Roman Regular" w:cs="Times New Roman Regular"/>
          <w:kern w:val="2"/>
          <w:sz w:val="21"/>
          <w:szCs w:val="21"/>
          <w:highlight w:val="lightGray"/>
          <w:lang w:val="en-US" w:eastAsia="zh-CN" w:bidi="ar"/>
        </w:rPr>
        <w:t>Duchy of Saxony /ˈsæksəni/</w:t>
      </w:r>
      <w:r>
        <w:rPr>
          <w:rFonts w:hint="eastAsia" w:ascii="宋体" w:hAnsi="宋体" w:eastAsia="宋体" w:cs="宋体"/>
          <w:kern w:val="2"/>
          <w:sz w:val="21"/>
          <w:szCs w:val="21"/>
          <w:highlight w:val="lightGray"/>
          <w:lang w:val="en-US" w:eastAsia="zh-CN" w:bidi="ar"/>
        </w:rPr>
        <w:t>）和符腾堡公国（</w:t>
      </w:r>
      <w:r>
        <w:rPr>
          <w:rFonts w:hint="default" w:ascii="Times New Roman Regular" w:hAnsi="Times New Roman Regular" w:eastAsia="Times New Roman Regular" w:cs="Times New Roman Regular"/>
          <w:kern w:val="2"/>
          <w:sz w:val="21"/>
          <w:szCs w:val="21"/>
          <w:highlight w:val="lightGray"/>
          <w:lang w:val="en-US" w:eastAsia="zh-CN" w:bidi="ar"/>
        </w:rPr>
        <w:t>Duchy of Württemberg /ˈvʏrtəmbɛrk/</w:t>
      </w:r>
      <w:r>
        <w:rPr>
          <w:rFonts w:hint="eastAsia" w:ascii="宋体" w:hAnsi="宋体" w:eastAsia="宋体" w:cs="宋体"/>
          <w:kern w:val="2"/>
          <w:sz w:val="21"/>
          <w:szCs w:val="21"/>
          <w:highlight w:val="lightGray"/>
          <w:lang w:val="en-US" w:eastAsia="zh-CN" w:bidi="ar"/>
        </w:rPr>
        <w:t>）</w:t>
      </w:r>
      <w:r>
        <w:rPr>
          <w:rFonts w:hint="default" w:ascii="Times New Roman Regular" w:hAnsi="Times New Roman Regular" w:eastAsia="Times New Roman Regular" w:cs="Times New Roman Regular"/>
          <w:kern w:val="2"/>
          <w:sz w:val="21"/>
          <w:szCs w:val="21"/>
          <w:highlight w:val="lightGray"/>
          <w:lang w:val="en-US" w:eastAsia="zh-CN" w:bidi="ar"/>
        </w:rPr>
        <w:t>——</w:t>
      </w:r>
      <w:r>
        <w:rPr>
          <w:rFonts w:hint="eastAsia" w:ascii="宋体" w:hAnsi="宋体" w:eastAsia="宋体" w:cs="宋体"/>
          <w:kern w:val="2"/>
          <w:sz w:val="21"/>
          <w:szCs w:val="21"/>
          <w:highlight w:val="lightGray"/>
          <w:lang w:val="en-US" w:eastAsia="zh-CN" w:bidi="ar"/>
        </w:rPr>
        <w:t>在这些地方，宗教变革的时机可以被合理地认为是外生的，因为它是由统治者的意外变更（例如天主教公爵去世后由新教继承人继位）而非潜在的经济条件决定的（第</w:t>
      </w:r>
      <w:r>
        <w:rPr>
          <w:rFonts w:hint="default" w:ascii="Times New Roman Regular" w:hAnsi="Times New Roman Regular" w:eastAsia="Times New Roman Regular" w:cs="Times New Roman Regular"/>
          <w:kern w:val="2"/>
          <w:sz w:val="21"/>
          <w:szCs w:val="21"/>
          <w:highlight w:val="lightGray"/>
          <w:lang w:val="en-US" w:eastAsia="zh-CN" w:bidi="ar"/>
        </w:rPr>
        <w:t>2087–2091</w:t>
      </w:r>
      <w:r>
        <w:rPr>
          <w:rFonts w:hint="eastAsia" w:ascii="宋体" w:hAnsi="宋体" w:eastAsia="宋体" w:cs="宋体"/>
          <w:kern w:val="2"/>
          <w:sz w:val="21"/>
          <w:szCs w:val="21"/>
          <w:highlight w:val="lightGray"/>
          <w:lang w:val="en-US" w:eastAsia="zh-CN" w:bidi="ar"/>
        </w:rPr>
        <w:t>页）。第五，作者证明结果并非由大城市驱动，在小城镇中显示了相似的模式（图</w:t>
      </w:r>
      <w:r>
        <w:rPr>
          <w:rFonts w:hint="default" w:ascii="Times New Roman Regular" w:hAnsi="Times New Roman Regular" w:eastAsia="Times New Roman Regular" w:cs="Times New Roman Regular"/>
          <w:kern w:val="2"/>
          <w:sz w:val="21"/>
          <w:szCs w:val="21"/>
          <w:highlight w:val="lightGray"/>
          <w:lang w:val="en-US" w:eastAsia="zh-CN" w:bidi="ar"/>
        </w:rPr>
        <w:t>XII</w:t>
      </w:r>
      <w:r>
        <w:rPr>
          <w:rFonts w:hint="eastAsia" w:ascii="宋体" w:hAnsi="宋体" w:eastAsia="宋体" w:cs="宋体"/>
          <w:kern w:val="2"/>
          <w:sz w:val="21"/>
          <w:szCs w:val="21"/>
          <w:highlight w:val="lightGray"/>
          <w:lang w:val="en-US" w:eastAsia="zh-CN" w:bidi="ar"/>
        </w:rPr>
        <w:t>，第</w:t>
      </w:r>
      <w:r>
        <w:rPr>
          <w:rFonts w:hint="default" w:ascii="Times New Roman Regular" w:hAnsi="Times New Roman Regular" w:eastAsia="Times New Roman Regular" w:cs="Times New Roman Regular"/>
          <w:kern w:val="2"/>
          <w:sz w:val="21"/>
          <w:szCs w:val="21"/>
          <w:highlight w:val="lightGray"/>
          <w:lang w:val="en-US" w:eastAsia="zh-CN" w:bidi="ar"/>
        </w:rPr>
        <w:t>2088</w:t>
      </w:r>
      <w:r>
        <w:rPr>
          <w:rFonts w:hint="eastAsia" w:ascii="宋体" w:hAnsi="宋体" w:eastAsia="宋体" w:cs="宋体"/>
          <w:kern w:val="2"/>
          <w:sz w:val="21"/>
          <w:szCs w:val="21"/>
          <w:highlight w:val="lightGray"/>
          <w:lang w:val="en-US" w:eastAsia="zh-CN" w:bidi="ar"/>
        </w:rPr>
        <w:t>页）。</w:t>
      </w:r>
    </w:p>
    <w:p w14:paraId="0BAF982E">
      <w:pPr>
        <w:rPr>
          <w:rFonts w:hint="default" w:ascii="Times New Roman Regular" w:hAnsi="Times New Roman Regular" w:cs="Times New Roman Regular" w:eastAsiaTheme="minorEastAsia"/>
          <w:highlight w:val="lightGray"/>
        </w:rPr>
      </w:pPr>
    </w:p>
    <w:p w14:paraId="42C7B12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Key Assumptions for Validity. For the DID estimates to identify a causal effect of the Reformation, several assumptions must hold. (i) Parallel trends: absent the Reformation, outcomes would have evolved similarly in Protestant and Catholic regions. (ii) No anticipation: agents did not change behavior before the Reformation in anticipation of it. (iii) SUTVA (stable unit treatment value assumption): a territory</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treatment (adoption of Protestantism) did not affect outcomes in other territories. The authors explicitly acknowledge a potential violation of SUTVA through the </w:t>
      </w:r>
      <w:r>
        <w:rPr>
          <w:rFonts w:hint="default" w:ascii="Times New Roman Regular" w:hAnsi="Times New Roman Regular" w:cs="Times New Roman Regular"/>
          <w:lang w:val="en-US"/>
        </w:rPr>
        <w:t>“intensive margin”</w:t>
      </w:r>
      <w:r>
        <w:rPr>
          <w:rFonts w:hint="default" w:ascii="Times New Roman Regular" w:hAnsi="Times New Roman Regular" w:cs="Times New Roman Regular" w:eastAsiaTheme="minorEastAsia"/>
        </w:rPr>
        <w:t xml:space="preserve"> of religious competition — Catholic border regions were affected by Protestantism — and this motivates the heterogeneity analysis in Figure X. (iv) Conditional exogeneity of treatment timing: the case studies serve to address this concern for a subset of territories.</w:t>
      </w:r>
    </w:p>
    <w:p w14:paraId="3A153B1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有效性的关键假设。 要使DID估计识别宗教改革的因果效应，必须满足几个假设。(i) 平行趋势：如果没有宗教改革，新教和天主教地区的结果会有相似的演变。(ii) 无预期：行为人没有在预期宗教改革的情况下提前改变行为。(iii) SUTVA（稳定的单位处理值假设）：一个领地的处理（采纳新教）不会影响其他领地的结果。作者明确承认SUTVA可能通过宗教竞争的</w:t>
      </w:r>
      <w:r>
        <w:rPr>
          <w:rFonts w:hint="default" w:ascii="Times New Roman Regular" w:hAnsi="Times New Roman Regular" w:cs="Times New Roman Regular"/>
          <w:lang w:val="en-US"/>
        </w:rPr>
        <w:t>“集约边际”</w:t>
      </w:r>
      <w:r>
        <w:rPr>
          <w:rFonts w:hint="default" w:ascii="Times New Roman Regular" w:hAnsi="Times New Roman Regular" w:cs="Times New Roman Regular" w:eastAsiaTheme="minorEastAsia"/>
        </w:rPr>
        <w:t>被违反——天主教边境地区受到新教的影响——这激发了图X的异质性分析。(iv) 处理时机的条件外生性：案例研究旨在为领地子集解决这一担忧。</w:t>
      </w:r>
    </w:p>
    <w:p w14:paraId="3F49E3CD">
      <w:pPr>
        <w:rPr>
          <w:rFonts w:hint="default" w:ascii="Times New Roman Regular" w:hAnsi="Times New Roman Regular" w:cs="Times New Roman Regular" w:eastAsiaTheme="minorEastAsia"/>
        </w:rPr>
      </w:pPr>
    </w:p>
    <w:p w14:paraId="7B12A467">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Contribution: What would academia see as the main contribution? / 贡献：学术界会认为主要贡献是什么？</w:t>
      </w:r>
    </w:p>
    <w:p w14:paraId="53EF0E0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paper makes several significant contributions that span economic history, political economy, and the economics of religion.</w:t>
      </w:r>
    </w:p>
    <w:p w14:paraId="0FE0A67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First, the paper provides the first quantitative empirical evidence that the Protestant Reformation played a causal role in the emergence of a more secular society in Europe, and in Protestant Europe in particular (p. 2044). Prior to this paper, the link between the Reformation and secularization was largely asserted on the basis of qualitative historical evidence or theoretical reasoning, with many scholars attributing secularization to intermediate factors such as industrialization, social conflict, or nationalism (p. 2045). The authors fill this gap by documenting the reallocation of resources across three distinct margins — occupational choice, human capital investment, and fixed capital investment — using rich microdata and credible causal identification.</w:t>
      </w:r>
    </w:p>
    <w:p w14:paraId="419E470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Second, the paper introduces a crucial theoretical innovation: the </w:t>
      </w:r>
      <w:r>
        <w:rPr>
          <w:rFonts w:hint="default" w:ascii="Times New Roman Regular" w:hAnsi="Times New Roman Regular" w:cs="Times New Roman Regular"/>
          <w:lang w:val="en-US"/>
        </w:rPr>
        <w:t>“market for political legitimacy”</w:t>
      </w:r>
      <w:r>
        <w:rPr>
          <w:rFonts w:hint="default" w:ascii="Times New Roman Regular" w:hAnsi="Times New Roman Regular" w:cs="Times New Roman Regular" w:eastAsiaTheme="minorEastAsia"/>
        </w:rPr>
        <w:t xml:space="preserve"> alongside the well-studied </w:t>
      </w:r>
      <w:r>
        <w:rPr>
          <w:rFonts w:hint="default" w:ascii="Times New Roman Regular" w:hAnsi="Times New Roman Regular" w:cs="Times New Roman Regular"/>
          <w:lang w:val="en-US"/>
        </w:rPr>
        <w:t>“market for salvation.”</w:t>
      </w:r>
      <w:r>
        <w:rPr>
          <w:rFonts w:hint="default" w:ascii="Times New Roman Regular" w:hAnsi="Times New Roman Regular" w:cs="Times New Roman Regular" w:eastAsiaTheme="minorEastAsia"/>
        </w:rPr>
        <w:t xml:space="preserve"> Prior economic models of religious competition (Ekelund, Hébert, and Tollison 2006) focused exclusively on the relationship between producers and consumers of religion. By adding the political market — in which religious authorities provide legitimacy to rulers in exchange for temporal concessions — the authors generate novel predictions that the market-for-salvation framework alone cannot produce, specifically the prediction that resources will shift not merely from Catholic to Protestant uses but from religious to secular uses, and especially toward uses favored by secular lords (pp. 2038–2039, 2049). This theoretical synthesis of Ekelund, Hébert, and Tollison (2006) and Rubin (2017) provides a more complete framework for understanding the political economy of religion.</w:t>
      </w:r>
    </w:p>
    <w:p w14:paraId="746BAF7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Third, the original data collection effort is substantial. The assembly of individual-level career and degree data from the RAG, hand-coded construction events from the Deutsches Städtebuch, and monastery-level closure data from Jürgensmeier and Schwerdtfeger constitutes a major data contribution that enables analysis at a level of disaggregation previously impossible for this period.</w:t>
      </w:r>
    </w:p>
    <w:p w14:paraId="7F2C43F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Fourth, the paper contributes to classic social science debates. It provides a mechanism for the Reformation</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long-run economic consequences that differs fundamentally from Weber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(1904/05) cultural channel (the </w:t>
      </w:r>
      <w:r>
        <w:rPr>
          <w:rFonts w:hint="default" w:ascii="Times New Roman Regular" w:hAnsi="Times New Roman Regular" w:cs="Times New Roman Regular"/>
          <w:lang w:val="en-US"/>
        </w:rPr>
        <w:t>“Protestant ethic”</w:t>
      </w:r>
      <w:r>
        <w:rPr>
          <w:rFonts w:hint="default" w:ascii="Times New Roman Regular" w:hAnsi="Times New Roman Regular" w:cs="Times New Roman Regular" w:eastAsiaTheme="minorEastAsia"/>
        </w:rPr>
        <w:t>) and from Becker and Woessmann</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(2009) human capital channel (Protestant emphasis on literacy). Instead, the mechanism operates through political economy — the shifting balance of power between religious and secular elites — providing an empirical bridge between the Reformation and the conditions that scholars have linked to modern economic growth: stronger states, more secular governance, and reallocation of talent from rent-seeking to productive activities (p. 2045). The paper also provides empirical nuance to the Weber-Tawney debate, finding that while pre-existing conditions mattered (consistent with Tawney 1926), the Reformation itself represented a decisive break rather than a mere continuation of preexisting trends (p. 2091).</w:t>
      </w:r>
    </w:p>
    <w:p w14:paraId="4F707B9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Fifth, methodologically, the paper demonstrates that the Reformation had effects beyond Protestant regions (through competition</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intensive margin on Catholic border territories) and beyond large cities (with similar effects observed in small towns), suggesting that prior work comparing geographically proximate large Catholic and Protestant cities may not fully capture Protestantism</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long-run impact (p. 2046).</w:t>
      </w:r>
    </w:p>
    <w:p w14:paraId="049CC9D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本文做出了跨经济史、政治经济学和宗教经济学的几项重要贡献。</w:t>
      </w:r>
    </w:p>
    <w:p w14:paraId="2699566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一，本文提供了新教改革在欧洲、特别是新教欧洲更世俗社会的出现中发挥因果作用的首个定量实证证据（第2044页）。在本文之前，宗教改革与世俗化之间的联系主要基于定性历史证据或理论推理来断言，许多学者将世俗化归因于工业化、社会冲突或民族主义等中间因素（第2045页）。作者通过使用丰富的微观数据和可信的因果识别，记录了三个不同边际上的资源再配置——职业选择、人力资本投资和固定资本投资——填补了这一空白。</w:t>
      </w:r>
    </w:p>
    <w:p w14:paraId="55C648F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第二，本文引入了一项关键的理论创新：在已被充分研究的</w:t>
      </w:r>
      <w:r>
        <w:rPr>
          <w:rFonts w:hint="default" w:ascii="Times New Roman Regular" w:hAnsi="Times New Roman Regular" w:cs="Times New Roman Regular"/>
          <w:lang w:val="en-US"/>
        </w:rPr>
        <w:t>“救赎市场”</w:t>
      </w:r>
      <w:r>
        <w:rPr>
          <w:rFonts w:hint="default" w:ascii="Times New Roman Regular" w:hAnsi="Times New Roman Regular" w:cs="Times New Roman Regular" w:eastAsiaTheme="minorEastAsia"/>
        </w:rPr>
        <w:t>之外，加入了</w:t>
      </w:r>
      <w:r>
        <w:rPr>
          <w:rFonts w:hint="default" w:ascii="Times New Roman Regular" w:hAnsi="Times New Roman Regular" w:cs="Times New Roman Regular"/>
          <w:lang w:val="en-US"/>
        </w:rPr>
        <w:t>“政治合法性市场”</w:t>
      </w:r>
      <w:r>
        <w:rPr>
          <w:rFonts w:hint="default" w:ascii="Times New Roman Regular" w:hAnsi="Times New Roman Regular" w:cs="Times New Roman Regular" w:eastAsiaTheme="minorEastAsia"/>
        </w:rPr>
        <w:t>。此前的宗教竞争经济模型（Ekelund, Hébert, and Tollison 2006）专注于宗教的生产者和消费者之间的关系。通过增加政治市场——宗教权威以世俗让步为交换向统治者提供合法性——作者产生了仅凭救赎市场框架无法产生的新颖预测，特别是资源将不仅仅从天主教用途转向新教用途，而是从宗教用途转向世俗用途，尤其转向世俗领主偏好的用途（第2038–2039页、第2049页）。这一对Ekelund, Hébert, and Tollison (2006)和Rubin (2017)的理论综合为理解宗教政治经济学提供了更完整的框架。</w:t>
      </w:r>
    </w:p>
    <w:p w14:paraId="7D39921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第三，原创性数据收集工作量巨大。从RAG汇集个体层面的职业和学位数据、从Deutsches Städtebuch手工编码的建筑事件、以及从Jürgensmeier and Schwerdtfeger获取的修道院层面关闭数据，构成了重大的数据贡献，使得这一时期前所未有的细粒度分析成为可能。</w:t>
      </w:r>
    </w:p>
    <w:p w14:paraId="74CC863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第四，本文对经典社会科学辩论做出了贡献。它为宗教改革的长期经济后果提供了一种与韦伯(1904/05)的文化渠道（</w:t>
      </w:r>
      <w:r>
        <w:rPr>
          <w:rFonts w:hint="default" w:ascii="Times New Roman Regular" w:hAnsi="Times New Roman Regular" w:cs="Times New Roman Regular"/>
          <w:lang w:val="en-US"/>
        </w:rPr>
        <w:t>“新教伦理”</w:t>
      </w:r>
      <w:r>
        <w:rPr>
          <w:rFonts w:hint="default" w:ascii="Times New Roman Regular" w:hAnsi="Times New Roman Regular" w:cs="Times New Roman Regular" w:eastAsiaTheme="minorEastAsia"/>
        </w:rPr>
        <w:t>）和Becker and Woessmann (2009)的人力资本渠道（新教对识字的强调）根本不同的机制。相反，该机制通过政治经济学运作——宗教精英与世俗精英之间权力平衡的转移——在宗教改革与学者们关联到现代经济增长的条件之间提供了实证桥梁：更强的国家、更世俗的治理，以及人才从寻租活动向生产性活动的再配置（第2045页）。本文还为韦伯-陶尼之争提供了实证细节，发现虽然先决条件很重要（与Tawney 1926一致），但宗教改革本身代表了一个决定性的断裂，而非既有趋势的延续（第2091页）。</w:t>
      </w:r>
    </w:p>
    <w:p w14:paraId="7FD0608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五，在方法论上，本文证明宗教改革的影响超出了新教地区（通过竞争在天主教边境领地的集约边际效应）和大城市（在小城镇中观察到相似效应），表明此前比较地理上邻近的大型天主教和新教城市的研究可能未能充分捕捉新教的长期经济影响（第2046页）。</w:t>
      </w:r>
    </w:p>
    <w:p w14:paraId="2C2C5B45">
      <w:pPr>
        <w:rPr>
          <w:rFonts w:hint="default" w:ascii="Times New Roman Regular" w:hAnsi="Times New Roman Regular" w:cs="Times New Roman Regular" w:eastAsiaTheme="minorEastAsia"/>
        </w:rPr>
      </w:pPr>
    </w:p>
    <w:p w14:paraId="2E4B57E3">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Suggestions: Limitations and Potential Improvements / 建议：局限性和潜在改进</w:t>
      </w:r>
    </w:p>
    <w:p w14:paraId="4B18615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Limitation 1 (Author-Acknowledged): Relabeling rather than genuine secularization. The authors raise the possibility that what appears to be secularization is merely the relabeling of activities transferred from Catholic Church jurisdiction to Protestant secular lords — for example, social welfare functions that changed their administrative affiliation without changing their nature (p. 2043). They respond by disaggregating secular construction into fine categories and demonstrating that the shift is driven by unambiguously secular categories — palaces and administrative buildings — rather than potentially ambiguous welfare construction (Figure XI, p. 2086). This response is persuasive for the construction margin. However, the same disaggregation cannot be applied with equal precision to the occupational choice and human capital investment data, where the broad </w:t>
      </w:r>
      <w:r>
        <w:rPr>
          <w:rFonts w:hint="default" w:ascii="Times New Roman Regular" w:hAnsi="Times New Roman Regular" w:cs="Times New Roman Regular"/>
          <w:lang w:val="en-US"/>
        </w:rPr>
        <w:t>“secular”</w:t>
      </w:r>
      <w:r>
        <w:rPr>
          <w:rFonts w:hint="default" w:ascii="Times New Roman Regular" w:hAnsi="Times New Roman Regular" w:cs="Times New Roman Regular" w:eastAsiaTheme="minorEastAsia"/>
        </w:rPr>
        <w:t xml:space="preserve"> category encompasses activities whose economic nature — whether rent-seeking or productive, whether serving public purposes or private ones — remains unobserved.</w:t>
      </w:r>
    </w:p>
    <w:p w14:paraId="7C9573A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局限性1（作者已承认）：重新标记而非真正的世俗化。 作者提出了这样一种可能性：表面上的世俗化仅仅是活动从天主教会管辖权转移到新教世俗领主的重新标记——例如，社会福利功能改变了行政隶属而未改变其性质（第2043页）。他们通过将世俗建筑细分为精细类别并证明转变由明确的世俗类别——宫殿和行政建筑——而非可能模糊的福利建筑所驱动来回应（图XI，第2086页）。这一回应对建筑边际是有说服力的。然而，同样的细分无法以同等精度应用于职业选择和人力资本投资数据，其中宽泛的</w:t>
      </w:r>
      <w:r>
        <w:rPr>
          <w:rFonts w:hint="default" w:ascii="Times New Roman Regular" w:hAnsi="Times New Roman Regular" w:cs="Times New Roman Regular"/>
          <w:lang w:val="en-US"/>
        </w:rPr>
        <w:t>“世俗”</w:t>
      </w:r>
      <w:r>
        <w:rPr>
          <w:rFonts w:hint="default" w:ascii="Times New Roman Regular" w:hAnsi="Times New Roman Regular" w:cs="Times New Roman Regular" w:eastAsiaTheme="minorEastAsia"/>
        </w:rPr>
        <w:t>类别涵盖了经济性质——是寻租还是生产性的、是服务于公共目的还是私人目的——不可观测的活动。</w:t>
      </w:r>
    </w:p>
    <w:p w14:paraId="305702C6">
      <w:pPr>
        <w:rPr>
          <w:rFonts w:hint="default" w:ascii="Times New Roman Regular" w:hAnsi="Times New Roman Regular" w:cs="Times New Roman Regular" w:eastAsiaTheme="minorEastAsia"/>
        </w:rPr>
      </w:pPr>
    </w:p>
    <w:p w14:paraId="175A559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Limitation 2 (Author-Acknowledged): Military construction driven by religious warfare. The authors acknowledge that secular construction might have served religious warfare purposes and show that military construction did not increase through 1600 (Figure XI, p. 2086). This is persuasive for the period under study, though the Thirty Year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War (1618–1648) would dramatically complicate this picture in the subsequent period.</w:t>
      </w:r>
    </w:p>
    <w:p w14:paraId="6941582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局限性2（作者已承认）：宗教战争驱动的军事建设。 作者承认世俗建筑可能服务于宗教战争目的，并展示军事建筑到1600年并未增加（图XI，第2086页）。这对研究期间有说服力，尽管三十年战争（1618–1648年）将在随后时期大大复杂化这一图景。</w:t>
      </w:r>
    </w:p>
    <w:p w14:paraId="62E76182">
      <w:pPr>
        <w:rPr>
          <w:rFonts w:hint="default" w:ascii="Times New Roman Regular" w:hAnsi="Times New Roman Regular" w:cs="Times New Roman Regular" w:eastAsiaTheme="minorEastAsia"/>
        </w:rPr>
      </w:pPr>
    </w:p>
    <w:p w14:paraId="324A906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Limitation 3 (Author-Acknowledged): Selection into Protestantism. The adoption of Protestantism by territorial lords was not random. The authors respond with three strategies: demonstrating parallel pre-Reformation trends across most outcomes, introducing flexible pre-Reformation construction-level controls, and presenting three case studies (Brandenburg /ˈbrɑːndənbɜːrɡ/, ducal Saxony /ˈsæksəni/, Württemberg /ˈvʏrtəmbɛrk/) where the timing of religious change was plausibly exogenous due to unanticipated ruler succession (pp. 2087–2091). The parallel trends evidence is generally persuasive, though the pre-1510 secular construction interaction in Figure IX Panel B is statistically significant (β = 0.96, p = .01), indicating preexisting level differences that the authors address by arguing the post-1550 effects far exceed mean reversion (p. 2081). The case studies are compelling but cover only 3 of 35 territories and are presented graphically rather than formally analyzed, so they cannot fully resolve the identification concern across the entire sample. In summary, the authors have responded to this concern, but the response has limited strength.</w:t>
      </w:r>
    </w:p>
    <w:p w14:paraId="01932EF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局限性3（作者已承认）：新教选择的内生性。 领地领主采纳新教并非随机。作者通过三种策略回应：展示大多数结果在改革前平行的趋势，引入灵活的改革前建筑水平控制，以及呈现三个案例研究（勃兰登堡 /ˈbrɑːndənbɜːrɡ/、萨克森公国 /ˈsæksəni/、符腾堡 /ˈvʏrtəmbɛrk/），其中宗教变革的时机因意外的统治者继承而可以被合理地认为是外生的（第2087–2091页）。平行趋势证据总体上有说服力，尽管图IX面板B中1510年前的世俗建筑交互项在统计上显著（β = 0.96，p = .01），表明存在改革前的水平差异，作者通过论证1550年后的效应远超均值回归来处理（第2081页）。案例研究很有说服力，但仅覆盖35个领地中的3个，且以图形而非正式分析呈现，因此无法完全解决全样本的识别问题。总之，作者回应了这一关切，但回应强度有限。</w:t>
      </w:r>
    </w:p>
    <w:p w14:paraId="4DA858BA">
      <w:pPr>
        <w:rPr>
          <w:rFonts w:hint="default" w:ascii="Times New Roman Regular" w:hAnsi="Times New Roman Regular" w:cs="Times New Roman Regular" w:eastAsiaTheme="minorEastAsia"/>
        </w:rPr>
      </w:pPr>
    </w:p>
    <w:p w14:paraId="06B6A62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Limitation 4 (Author-Acknowledged): No evidence on efficiency or growth consequences. The authors explicitly note that they study reallocation, not efficiency or productivity consequences (p. 2040, fn. 5). This is an honest scope condition, not an oversight. However, it does limit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relevance to the Weber debate and the broader question of how the Reformation affected long-run economic development. The reallocation of resources to secular lords could have been growth-promoting (through public goods provision, as argued by Dittmar and Meisenzahl, forthcoming) or growth-retarding (if lords used resources for conspicuous consumption and rent-seeking). The construction of palaces — highlighted as key evidence — is itself ambiguous in welfare terms.</w:t>
      </w:r>
    </w:p>
    <w:p w14:paraId="7ADA902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局限性4（作者已承认）：缺乏效率或增长后果的证据。 作者明确指出他们研究的是再配置，而非效率或生产力后果（第2040页，脚注5）。这是一个坦诚的范围限定，而非疏忽。然而，这确实限制了本文对韦伯之争和宗教改革如何影响长期经济发展这一更广泛问题的相关性。向世俗领主的资源再配置可能促进增长（通过公共品提供，如Dittmar and Meisenzahl, forthcoming所论证的）或抑制增长（如果领主将资源用于炫耀性消费和寻租）。被强调为关键证据的宫殿建设本身在福利意义上是模糊的。</w:t>
      </w:r>
    </w:p>
    <w:p w14:paraId="0E8BF0F6">
      <w:pPr>
        <w:rPr>
          <w:rFonts w:hint="default" w:ascii="Times New Roman Regular" w:hAnsi="Times New Roman Regular" w:cs="Times New Roman Regular" w:eastAsiaTheme="minorEastAsia"/>
        </w:rPr>
      </w:pPr>
    </w:p>
    <w:p w14:paraId="263E57E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B. Limitations Not Adequately Addressed: Issues That May Threaten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Core Claims / 未被充分解决的局限性：可能威胁论文核心主张的问题</w:t>
      </w:r>
    </w:p>
    <w:p w14:paraId="24A72509">
      <w:pPr>
        <w:rPr>
          <w:rFonts w:hint="default" w:ascii="Times New Roman Regular" w:hAnsi="Times New Roman Regular" w:cs="Times New Roman Regular" w:eastAsiaTheme="minorEastAsia"/>
        </w:rPr>
      </w:pPr>
    </w:p>
    <w:p w14:paraId="15E453D9">
      <w:pPr>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eastAsiaTheme="minorEastAsia"/>
        </w:rPr>
        <w:t xml:space="preserve">Limitation 5 (Primary Theoretical Identification Problem): The </w:t>
      </w:r>
      <w:r>
        <w:rPr>
          <w:rFonts w:hint="default" w:ascii="Times New Roman Regular" w:hAnsi="Times New Roman Regular" w:cs="Times New Roman Regular"/>
          <w:lang w:val="en-US"/>
        </w:rPr>
        <w:t>“market for legitimacy”</w:t>
      </w:r>
      <w:r>
        <w:rPr>
          <w:rFonts w:hint="default" w:ascii="Times New Roman Regular" w:hAnsi="Times New Roman Regular" w:cs="Times New Roman Regular" w:eastAsiaTheme="minorEastAsia"/>
        </w:rPr>
        <w:t xml:space="preserve"> mechanism cannot be distinguished from a simpler confiscation story. This is arguably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most fundamental vulnerability. The author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central theoretical innovation is the claim that the Reformation affected resource allocation not merely by dissolving Catholic institutions, but by operating through a specific mechanism — the reduction of the </w:t>
      </w:r>
      <w:r>
        <w:rPr>
          <w:rFonts w:hint="default" w:ascii="Times New Roman Regular" w:hAnsi="Times New Roman Regular" w:cs="Times New Roman Regular"/>
          <w:lang w:val="en-US"/>
        </w:rPr>
        <w:t>“price”</w:t>
      </w:r>
      <w:r>
        <w:rPr>
          <w:rFonts w:hint="default" w:ascii="Times New Roman Regular" w:hAnsi="Times New Roman Regular" w:cs="Times New Roman Regular" w:eastAsiaTheme="minorEastAsia"/>
        </w:rPr>
        <w:t xml:space="preserve"> secular lords paid for political legitimacy in a market where religious authorities provide endorsement in exchange for temporal concessions (pp. 2038–2039). However, </w:t>
      </w:r>
      <w:r>
        <w:rPr>
          <w:rFonts w:hint="default" w:ascii="Times New Roman Regular" w:hAnsi="Times New Roman Regular" w:cs="Times New Roman Regular" w:eastAsiaTheme="minorEastAsia"/>
          <w:color w:val="0000FF"/>
        </w:rPr>
        <w:t>the empirical evidence the paper marshals — monastery closure and wealth transfer, the shift of graduates into secular occupations, the construction of palaces and administrative buildings — is fully consistent with a much simpler alternative: once territorial lords had the political opportunity to seize church assets and absorb ecclesiastical administrative functions, resources would naturally flow from the monastic system to the lord</w:t>
      </w:r>
      <w:r>
        <w:rPr>
          <w:rFonts w:hint="default" w:ascii="Times New Roman Regular" w:hAnsi="Times New Roman Regular" w:cs="Times New Roman Regular"/>
          <w:color w:val="0000FF"/>
          <w:lang w:val="en-US"/>
        </w:rPr>
        <w:t>’s</w:t>
      </w:r>
      <w:r>
        <w:rPr>
          <w:rFonts w:hint="default" w:ascii="Times New Roman Regular" w:hAnsi="Times New Roman Regular" w:cs="Times New Roman Regular" w:eastAsiaTheme="minorEastAsia"/>
          <w:color w:val="0000FF"/>
        </w:rPr>
        <w:t xml:space="preserve"> household, without any need to invoke a change in the </w:t>
      </w:r>
      <w:r>
        <w:rPr>
          <w:rFonts w:hint="default" w:ascii="Times New Roman Regular" w:hAnsi="Times New Roman Regular" w:cs="Times New Roman Regular"/>
          <w:color w:val="0000FF"/>
          <w:lang w:val="en-US"/>
        </w:rPr>
        <w:t>“price of legitimacy”</w:t>
      </w:r>
      <w:r>
        <w:rPr>
          <w:rFonts w:hint="default" w:ascii="Times New Roman Regular" w:hAnsi="Times New Roman Regular" w:cs="Times New Roman Regular" w:eastAsiaTheme="minorEastAsia"/>
          <w:color w:val="0000FF"/>
        </w:rPr>
        <w:t xml:space="preserve"> as such</w:t>
      </w:r>
      <w:r>
        <w:rPr>
          <w:rFonts w:hint="default" w:ascii="Times New Roman Regular" w:hAnsi="Times New Roman Regular" w:cs="Times New Roman Regular" w:eastAsiaTheme="minorEastAsia"/>
        </w:rPr>
        <w:t xml:space="preserve">. Under this simpler account, the Reformation merely removed a political-legal constraint on confiscation; it did not alter the terms of an ongoing bargaining relationship in a </w:t>
      </w:r>
      <w:r>
        <w:rPr>
          <w:rFonts w:hint="default" w:ascii="Times New Roman Regular" w:hAnsi="Times New Roman Regular" w:cs="Times New Roman Regular"/>
          <w:lang w:val="en-US"/>
        </w:rPr>
        <w:t>“legitimacy market.”</w:t>
      </w:r>
    </w:p>
    <w:p w14:paraId="5DF5AC9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problem is not that the legitimacy-market interpretation is wrong — it may well be correct — but that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research design cannot distinguish it from the confiscation alternative. To do so would require direct evidence on the bargaining process itself: for example, systematic variation in the terms under which Protestant theologians endorsed secular seizure of church property, and whether these terms correlated with the intensity of religious competition, the military balance between lords and church institutions, or other observable determinants of bargaining power. The paper provides rich qualitative evidence that such bargaining occurred (pp. 2053–2058), but this evidence is presented as historical context rather than subjected to formal empirical testing.</w:t>
      </w:r>
    </w:p>
    <w:p w14:paraId="5F09EC7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This matters because the legitimacy-market mechanism is what makes this paper theoretically distinct from Ekelund, Hébert, and Tollison (2006) on the one hand and from a simple </w:t>
      </w:r>
      <w:r>
        <w:rPr>
          <w:rFonts w:hint="default" w:ascii="Times New Roman Regular" w:hAnsi="Times New Roman Regular" w:cs="Times New Roman Regular"/>
          <w:lang w:val="en-US"/>
        </w:rPr>
        <w:t>“political opportunity”</w:t>
      </w:r>
      <w:r>
        <w:rPr>
          <w:rFonts w:hint="default" w:ascii="Times New Roman Regular" w:hAnsi="Times New Roman Regular" w:cs="Times New Roman Regular" w:eastAsiaTheme="minorEastAsia"/>
        </w:rPr>
        <w:t xml:space="preserve"> account on the other. If the confiscation story is sufficient, then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main theoretical contribution — the dual-market framework — becomes a plausible narrative rather than a tested mechanism. The paper would remain valuable as a documentation of secularization patterns, but its claim to have identified a specific causal pathway would be substantially weakened.</w:t>
      </w:r>
    </w:p>
    <w:p w14:paraId="138C9AB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局限性5（首要理论识别问题）：</w:t>
      </w:r>
      <w:r>
        <w:rPr>
          <w:rFonts w:hint="default" w:ascii="Times New Roman Regular" w:hAnsi="Times New Roman Regular" w:cs="Times New Roman Regular"/>
          <w:lang w:val="en-US"/>
        </w:rPr>
        <w:t>“合法性市场”</w:t>
      </w:r>
      <w:r>
        <w:rPr>
          <w:rFonts w:hint="default" w:ascii="Times New Roman Regular" w:hAnsi="Times New Roman Regular" w:cs="Times New Roman Regular" w:eastAsiaTheme="minorEastAsia"/>
        </w:rPr>
        <w:t>机制无法与更简单的没收故事区分开来。 这可以说是本文最根本的薄弱环节。作者的核心理论创新是主张宗教改革不仅仅通过解散天主教机构来影响资源配置，而是通过一个特定机制运作——降低世俗领主在政治合法性市场中为获得宗教权威背书所支付的</w:t>
      </w:r>
      <w:r>
        <w:rPr>
          <w:rFonts w:hint="default" w:ascii="Times New Roman Regular" w:hAnsi="Times New Roman Regular" w:cs="Times New Roman Regular"/>
          <w:lang w:val="en-US"/>
        </w:rPr>
        <w:t>“价格”</w:t>
      </w:r>
      <w:r>
        <w:rPr>
          <w:rFonts w:hint="default" w:ascii="Times New Roman Regular" w:hAnsi="Times New Roman Regular" w:cs="Times New Roman Regular" w:eastAsiaTheme="minorEastAsia"/>
        </w:rPr>
        <w:t>，该市场中宗教权威以世俗让步为交换提供背书（第2038–2039页）。然而，论文汇集的实证证据——修道院关闭和财富转移、毕业生转向世俗职业、宫殿和行政建筑的建造——完全与一个简单得多的替代解释一致：一旦领地领主有了占有教会资产和吸收教会行政功能的政治机会，资源就会自然地从修道院体系流向领主家族，完全不需要援引</w:t>
      </w:r>
      <w:r>
        <w:rPr>
          <w:rFonts w:hint="default" w:ascii="Times New Roman Regular" w:hAnsi="Times New Roman Regular" w:cs="Times New Roman Regular"/>
          <w:lang w:val="en-US"/>
        </w:rPr>
        <w:t>“合法性价格”</w:t>
      </w:r>
      <w:r>
        <w:rPr>
          <w:rFonts w:hint="default" w:ascii="Times New Roman Regular" w:hAnsi="Times New Roman Regular" w:cs="Times New Roman Regular" w:eastAsiaTheme="minorEastAsia"/>
        </w:rPr>
        <w:t>的变化。在这个更简单的解释下，宗教改革仅仅移除了对没收的政治-法律约束；它并未改变</w:t>
      </w:r>
      <w:r>
        <w:rPr>
          <w:rFonts w:hint="default" w:ascii="Times New Roman Regular" w:hAnsi="Times New Roman Regular" w:cs="Times New Roman Regular"/>
          <w:lang w:val="en-US"/>
        </w:rPr>
        <w:t>“合法性市场”</w:t>
      </w:r>
      <w:r>
        <w:rPr>
          <w:rFonts w:hint="default" w:ascii="Times New Roman Regular" w:hAnsi="Times New Roman Regular" w:cs="Times New Roman Regular" w:eastAsiaTheme="minorEastAsia"/>
        </w:rPr>
        <w:t>中持续进行的讨价还价关系的条款。</w:t>
      </w:r>
    </w:p>
    <w:p w14:paraId="54C2AD2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问题不在于合法性市场的解读是错误的——它很可能是正确的——而在于论文的研究设计无法将其与没收替代解释区分开来。要做到这一点，需要关于讨价还价过程本身的直接证据：例如，新教神学家背书世俗占有教会财产的条款的系统性变异，以及这些条款是否与宗教竞争的强度、领主与教会机构之间的军事平衡或讨价还价权力的其他可观测决定因素相关。论文提供了丰富的定性证据表明此类讨价还价确实发生了（第2053–2058页），但这些证据被呈现为历史背景，而非接受正式的实证检验。</w:t>
      </w:r>
    </w:p>
    <w:p w14:paraId="4EDF906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这之所以重要，是因为合法性市场机制正是使本文在理论上区别于Ekelund, Hébert, and Tollison (2006)和简单的</w:t>
      </w:r>
      <w:r>
        <w:rPr>
          <w:rFonts w:hint="default" w:ascii="Times New Roman Regular" w:hAnsi="Times New Roman Regular" w:cs="Times New Roman Regular"/>
          <w:lang w:val="en-US"/>
        </w:rPr>
        <w:t>“政治机会”</w:t>
      </w:r>
      <w:r>
        <w:rPr>
          <w:rFonts w:hint="default" w:ascii="Times New Roman Regular" w:hAnsi="Times New Roman Regular" w:cs="Times New Roman Regular" w:eastAsiaTheme="minorEastAsia"/>
        </w:rPr>
        <w:t>解释的关键。如果没收故事就足够了，那么论文的主要理论贡献——双市场框架——就变成了一个合理的叙事而非经过检验的机制。论文作为世俗化模式的文献记录仍有价值，但其声称已识别出特定因果路径的主张将被大幅削弱。</w:t>
      </w:r>
    </w:p>
    <w:p w14:paraId="67B692EA">
      <w:pPr>
        <w:rPr>
          <w:rFonts w:hint="default" w:ascii="Times New Roman Regular" w:hAnsi="Times New Roman Regular" w:cs="Times New Roman Regular" w:eastAsiaTheme="minorEastAsia"/>
        </w:rPr>
      </w:pPr>
    </w:p>
    <w:p w14:paraId="6CFD88B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Limitation 6: Conceptual slippage between </w:t>
      </w:r>
      <w:r>
        <w:rPr>
          <w:rFonts w:hint="default" w:ascii="Times New Roman Regular" w:hAnsi="Times New Roman Regular" w:cs="Times New Roman Regular"/>
          <w:lang w:val="en-US"/>
        </w:rPr>
        <w:t>“secularization”</w:t>
      </w:r>
      <w:r>
        <w:rPr>
          <w:rFonts w:hint="default" w:ascii="Times New Roman Regular" w:hAnsi="Times New Roman Regular" w:cs="Times New Roman Regular" w:eastAsiaTheme="minorEastAsia"/>
        </w:rPr>
        <w:t xml:space="preserve"> and </w:t>
      </w:r>
      <w:r>
        <w:rPr>
          <w:rFonts w:hint="default" w:ascii="Times New Roman Regular" w:hAnsi="Times New Roman Regular" w:cs="Times New Roman Regular"/>
          <w:lang w:val="en-US"/>
        </w:rPr>
        <w:t>“ruler aggrandizement.”</w:t>
      </w:r>
      <w:r>
        <w:rPr>
          <w:rFonts w:hint="default" w:ascii="Times New Roman Regular" w:hAnsi="Times New Roman Regular" w:cs="Times New Roman Regular" w:eastAsiaTheme="minorEastAsia"/>
        </w:rPr>
        <w:t xml:space="preserve">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title and framing claim to document </w:t>
      </w:r>
      <w:r>
        <w:rPr>
          <w:rFonts w:hint="default" w:ascii="Times New Roman Regular" w:hAnsi="Times New Roman Regular" w:cs="Times New Roman Regular"/>
          <w:lang w:val="en-US"/>
        </w:rPr>
        <w:t>“secularization”</w:t>
      </w:r>
      <w:r>
        <w:rPr>
          <w:rFonts w:hint="default" w:ascii="Times New Roman Regular" w:hAnsi="Times New Roman Regular" w:cs="Times New Roman Regular" w:eastAsiaTheme="minorEastAsia"/>
        </w:rPr>
        <w:t xml:space="preserve"> — the broad shift of resources from religious to secular purposes — which evokes the classic sociological narrative from Durkheim (1893) through Weber (1904/05) to contemporary secularization theory. However, the strongest and most robust empirical findings are more narrowly concentrated on resources shifting toward uses specifically controlled by or favoring territorial lords: administrative occupations in the service of lords, degrees in law and the arts that prepared students for public-sector careers, and the construction of palaces and administrative buildings (Figure V Panel B, p. 2068; Figure VII Panel B, p. 2074; Figure IX Panel C, p. 2079; Figure XI, p. 2086). The paper does not find a significant shift toward private-sector economic activity — private construction categories such as </w:t>
      </w:r>
      <w:r>
        <w:rPr>
          <w:rFonts w:hint="default" w:ascii="Times New Roman Regular" w:hAnsi="Times New Roman Regular" w:cs="Times New Roman Regular"/>
          <w:lang w:val="en-US"/>
        </w:rPr>
        <w:t>“economic”</w:t>
      </w:r>
      <w:r>
        <w:rPr>
          <w:rFonts w:hint="default" w:ascii="Times New Roman Regular" w:hAnsi="Times New Roman Regular" w:cs="Times New Roman Regular" w:eastAsiaTheme="minorEastAsia"/>
        </w:rPr>
        <w:t xml:space="preserve"> (mills, restaurants, breweries) do not show the same pattern as palaces and administrative buildings (Figure XI, p. 2086).</w:t>
      </w:r>
    </w:p>
    <w:p w14:paraId="4259A51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The authors are aware of this distinction, and they explicitly differentiate </w:t>
      </w:r>
      <w:r>
        <w:rPr>
          <w:rFonts w:hint="default" w:ascii="Times New Roman Regular" w:hAnsi="Times New Roman Regular" w:cs="Times New Roman Regular"/>
          <w:lang w:val="en-US"/>
        </w:rPr>
        <w:t>“institutional secularization”</w:t>
      </w:r>
      <w:r>
        <w:rPr>
          <w:rFonts w:hint="default" w:ascii="Times New Roman Regular" w:hAnsi="Times New Roman Regular" w:cs="Times New Roman Regular" w:eastAsiaTheme="minorEastAsia"/>
        </w:rPr>
        <w:t xml:space="preserve"> (the strengthening of territorial lords) from </w:t>
      </w:r>
      <w:r>
        <w:rPr>
          <w:rFonts w:hint="default" w:ascii="Times New Roman Regular" w:hAnsi="Times New Roman Regular" w:cs="Times New Roman Regular"/>
          <w:lang w:val="en-US"/>
        </w:rPr>
        <w:t>“allocational secularization”</w:t>
      </w:r>
      <w:r>
        <w:rPr>
          <w:rFonts w:hint="default" w:ascii="Times New Roman Regular" w:hAnsi="Times New Roman Regular" w:cs="Times New Roman Regular" w:eastAsiaTheme="minorEastAsia"/>
        </w:rPr>
        <w:t xml:space="preserve"> (the shift of resources toward secular uses) (p. 2045). But in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narrative arc, these two are often merged under the single banner of </w:t>
      </w:r>
      <w:r>
        <w:rPr>
          <w:rFonts w:hint="default" w:ascii="Times New Roman Regular" w:hAnsi="Times New Roman Regular" w:cs="Times New Roman Regular"/>
          <w:lang w:val="en-US"/>
        </w:rPr>
        <w:t>“secularization,”</w:t>
      </w:r>
      <w:r>
        <w:rPr>
          <w:rFonts w:hint="default" w:ascii="Times New Roman Regular" w:hAnsi="Times New Roman Regular" w:cs="Times New Roman Regular" w:eastAsiaTheme="minorEastAsia"/>
        </w:rPr>
        <w:t xml:space="preserve"> which creates a conceptual slide from a narrower finding — that the Reformation enriched and empowered territorial lords — to a broader claim — that the Reformation secularized European society. A more precise reading of the evidence would say: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strongest findings support </w:t>
      </w:r>
      <w:r>
        <w:rPr>
          <w:rFonts w:hint="default" w:ascii="Times New Roman Regular" w:hAnsi="Times New Roman Regular" w:cs="Times New Roman Regular"/>
          <w:lang w:val="en-US"/>
        </w:rPr>
        <w:t>“ruler aggrandizement”</w:t>
      </w:r>
      <w:r>
        <w:rPr>
          <w:rFonts w:hint="default" w:ascii="Times New Roman Regular" w:hAnsi="Times New Roman Regular" w:cs="Times New Roman Regular" w:eastAsiaTheme="minorEastAsia"/>
        </w:rPr>
        <w:t xml:space="preserve"> and </w:t>
      </w:r>
      <w:r>
        <w:rPr>
          <w:rFonts w:hint="default" w:ascii="Times New Roman Regular" w:hAnsi="Times New Roman Regular" w:cs="Times New Roman Regular"/>
          <w:lang w:val="en-US"/>
        </w:rPr>
        <w:t>“territorial state consolidation”</w:t>
      </w:r>
      <w:r>
        <w:rPr>
          <w:rFonts w:hint="default" w:ascii="Times New Roman Regular" w:hAnsi="Times New Roman Regular" w:cs="Times New Roman Regular" w:eastAsiaTheme="minorEastAsia"/>
        </w:rPr>
        <w:t xml:space="preserve"> far more than they support </w:t>
      </w:r>
      <w:r>
        <w:rPr>
          <w:rFonts w:hint="default" w:ascii="Times New Roman Regular" w:hAnsi="Times New Roman Regular" w:cs="Times New Roman Regular"/>
          <w:lang w:val="en-US"/>
        </w:rPr>
        <w:t>“societal secularization”</w:t>
      </w:r>
      <w:r>
        <w:rPr>
          <w:rFonts w:hint="default" w:ascii="Times New Roman Regular" w:hAnsi="Times New Roman Regular" w:cs="Times New Roman Regular" w:eastAsiaTheme="minorEastAsia"/>
        </w:rPr>
        <w:t xml:space="preserve"> in the Durkheimian or Weberian sense. This distinction matters because it determines how we connect this paper to the wider literatures on economic modernization and the rise of the secular West. </w:t>
      </w:r>
      <w:r>
        <w:rPr>
          <w:rFonts w:hint="default" w:ascii="Times New Roman Regular" w:hAnsi="Times New Roman Regular" w:cs="Times New Roman Regular"/>
          <w:lang w:val="en-US"/>
        </w:rPr>
        <w:t>“Rulers got richer and built more palaces”</w:t>
      </w:r>
      <w:r>
        <w:rPr>
          <w:rFonts w:hint="default" w:ascii="Times New Roman Regular" w:hAnsi="Times New Roman Regular" w:cs="Times New Roman Regular" w:eastAsiaTheme="minorEastAsia"/>
        </w:rPr>
        <w:t xml:space="preserve"> is an important finding, but it does not automatically imply the kind of broad societal transformation that the word </w:t>
      </w:r>
      <w:r>
        <w:rPr>
          <w:rFonts w:hint="default" w:ascii="Times New Roman Regular" w:hAnsi="Times New Roman Regular" w:cs="Times New Roman Regular"/>
          <w:lang w:val="en-US"/>
        </w:rPr>
        <w:t>“secularization”</w:t>
      </w:r>
      <w:r>
        <w:rPr>
          <w:rFonts w:hint="default" w:ascii="Times New Roman Regular" w:hAnsi="Times New Roman Regular" w:cs="Times New Roman Regular" w:eastAsiaTheme="minorEastAsia"/>
        </w:rPr>
        <w:t xml:space="preserve"> connotes.</w:t>
      </w:r>
    </w:p>
    <w:p w14:paraId="3534BCE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局限性6：</w:t>
      </w:r>
      <w:r>
        <w:rPr>
          <w:rFonts w:hint="default" w:ascii="Times New Roman Regular" w:hAnsi="Times New Roman Regular" w:cs="Times New Roman Regular"/>
          <w:lang w:val="en-US"/>
        </w:rPr>
        <w:t>“世俗化”</w:t>
      </w:r>
      <w:r>
        <w:rPr>
          <w:rFonts w:hint="default" w:ascii="Times New Roman Regular" w:hAnsi="Times New Roman Regular" w:cs="Times New Roman Regular" w:eastAsiaTheme="minorEastAsia"/>
        </w:rPr>
        <w:t>与</w:t>
      </w:r>
      <w:r>
        <w:rPr>
          <w:rFonts w:hint="default" w:ascii="Times New Roman Regular" w:hAnsi="Times New Roman Regular" w:cs="Times New Roman Regular"/>
          <w:lang w:val="en-US"/>
        </w:rPr>
        <w:t>“统治者权力膨胀”</w:t>
      </w:r>
      <w:r>
        <w:rPr>
          <w:rFonts w:hint="default" w:ascii="Times New Roman Regular" w:hAnsi="Times New Roman Regular" w:cs="Times New Roman Regular" w:eastAsiaTheme="minorEastAsia"/>
        </w:rPr>
        <w:t>之间的概念滑移。 论文的标题和框架声称记录了</w:t>
      </w:r>
      <w:r>
        <w:rPr>
          <w:rFonts w:hint="default" w:ascii="Times New Roman Regular" w:hAnsi="Times New Roman Regular" w:cs="Times New Roman Regular"/>
          <w:lang w:val="en-US"/>
        </w:rPr>
        <w:t>“世俗化”</w:t>
      </w:r>
      <w:r>
        <w:rPr>
          <w:rFonts w:hint="default" w:ascii="Times New Roman Regular" w:hAnsi="Times New Roman Regular" w:cs="Times New Roman Regular" w:eastAsiaTheme="minorEastAsia"/>
        </w:rPr>
        <w:t>——资源从宗教向世俗用途的广泛转移——这唤起了从涂尔干(1893)到韦伯(1904/05)再到当代世俗化理论的经典社会学叙事。然而，最强和最稳健的实证发现更狭窄地集中在资源转向领地领主特别控制或偏好的用途：服务于领主的行政职业、为公共部门职业做准备的法学和文科学位，以及宫殿和行政建筑的建造（图V面板B，第2068页；图VII面板B，第2074页；图IX面板C，第2079页；图XI，第2086页）。论文并未发现向私营部门经济活动的显著转移——诸如</w:t>
      </w:r>
      <w:r>
        <w:rPr>
          <w:rFonts w:hint="default" w:ascii="Times New Roman Regular" w:hAnsi="Times New Roman Regular" w:cs="Times New Roman Regular"/>
          <w:lang w:val="en-US"/>
        </w:rPr>
        <w:t>“经济”</w:t>
      </w:r>
      <w:r>
        <w:rPr>
          <w:rFonts w:hint="default" w:ascii="Times New Roman Regular" w:hAnsi="Times New Roman Regular" w:cs="Times New Roman Regular" w:eastAsiaTheme="minorEastAsia"/>
        </w:rPr>
        <w:t>类（磨坊、餐馆、酿酒厂）等私人建筑类别并未表现出与宫殿和行政建筑相同的模式（图XI，第2086页）。</w:t>
      </w:r>
    </w:p>
    <w:p w14:paraId="700CCC1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作者意识到了这一区分，并明确区分了</w:t>
      </w:r>
      <w:r>
        <w:rPr>
          <w:rFonts w:hint="default" w:ascii="Times New Roman Regular" w:hAnsi="Times New Roman Regular" w:cs="Times New Roman Regular"/>
          <w:lang w:val="en-US"/>
        </w:rPr>
        <w:t>“制度性世俗化”</w:t>
      </w:r>
      <w:r>
        <w:rPr>
          <w:rFonts w:hint="default" w:ascii="Times New Roman Regular" w:hAnsi="Times New Roman Regular" w:cs="Times New Roman Regular" w:eastAsiaTheme="minorEastAsia"/>
        </w:rPr>
        <w:t>（领地领主的加强）和</w:t>
      </w:r>
      <w:r>
        <w:rPr>
          <w:rFonts w:hint="default" w:ascii="Times New Roman Regular" w:hAnsi="Times New Roman Regular" w:cs="Times New Roman Regular"/>
          <w:lang w:val="en-US"/>
        </w:rPr>
        <w:t>“配置性世俗化”</w:t>
      </w:r>
      <w:r>
        <w:rPr>
          <w:rFonts w:hint="default" w:ascii="Times New Roman Regular" w:hAnsi="Times New Roman Regular" w:cs="Times New Roman Regular" w:eastAsiaTheme="minorEastAsia"/>
        </w:rPr>
        <w:t>（资源向世俗用途的转移）（第2045页）。但在论文的叙事弧线中，两者常常被合并在</w:t>
      </w:r>
      <w:r>
        <w:rPr>
          <w:rFonts w:hint="default" w:ascii="Times New Roman Regular" w:hAnsi="Times New Roman Regular" w:cs="Times New Roman Regular"/>
          <w:lang w:val="en-US"/>
        </w:rPr>
        <w:t>“世俗化”</w:t>
      </w:r>
      <w:r>
        <w:rPr>
          <w:rFonts w:hint="default" w:ascii="Times New Roman Regular" w:hAnsi="Times New Roman Regular" w:cs="Times New Roman Regular" w:eastAsiaTheme="minorEastAsia"/>
        </w:rPr>
        <w:t>的单一旗帜下，这造成了从较窄发现——宗教改革使领地领主致富和赋权——到更广泛主张——宗教改革使欧洲社会世俗化——的概念滑移。对证据更精确的解读会说：论文最强的发现支持</w:t>
      </w:r>
      <w:r>
        <w:rPr>
          <w:rFonts w:hint="default" w:ascii="Times New Roman Regular" w:hAnsi="Times New Roman Regular" w:cs="Times New Roman Regular"/>
          <w:lang w:val="en-US"/>
        </w:rPr>
        <w:t>“统治者权力膨胀”</w:t>
      </w:r>
      <w:r>
        <w:rPr>
          <w:rFonts w:hint="default" w:ascii="Times New Roman Regular" w:hAnsi="Times New Roman Regular" w:cs="Times New Roman Regular" w:eastAsiaTheme="minorEastAsia"/>
        </w:rPr>
        <w:t>和</w:t>
      </w:r>
      <w:r>
        <w:rPr>
          <w:rFonts w:hint="default" w:ascii="Times New Roman Regular" w:hAnsi="Times New Roman Regular" w:cs="Times New Roman Regular"/>
          <w:lang w:val="en-US"/>
        </w:rPr>
        <w:t>“领地国家整合”</w:t>
      </w:r>
      <w:r>
        <w:rPr>
          <w:rFonts w:hint="default" w:ascii="Times New Roman Regular" w:hAnsi="Times New Roman Regular" w:cs="Times New Roman Regular" w:eastAsiaTheme="minorEastAsia"/>
        </w:rPr>
        <w:t>，远多于支持涂尔干式或韦伯式意义上的</w:t>
      </w:r>
      <w:r>
        <w:rPr>
          <w:rFonts w:hint="default" w:ascii="Times New Roman Regular" w:hAnsi="Times New Roman Regular" w:cs="Times New Roman Regular"/>
          <w:lang w:val="en-US"/>
        </w:rPr>
        <w:t>“社会世俗化”</w:t>
      </w:r>
      <w:r>
        <w:rPr>
          <w:rFonts w:hint="default" w:ascii="Times New Roman Regular" w:hAnsi="Times New Roman Regular" w:cs="Times New Roman Regular" w:eastAsiaTheme="minorEastAsia"/>
        </w:rPr>
        <w:t>。这一区分很重要，因为它决定了我们如何将本文与关于经济现代化和世俗西方崛起的更广泛文献联系起来。</w:t>
      </w:r>
      <w:r>
        <w:rPr>
          <w:rFonts w:hint="default" w:ascii="Times New Roman Regular" w:hAnsi="Times New Roman Regular" w:cs="Times New Roman Regular"/>
          <w:lang w:val="en-US"/>
        </w:rPr>
        <w:t>“统治者变得更富裕并建造了更多宫殿”</w:t>
      </w:r>
      <w:r>
        <w:rPr>
          <w:rFonts w:hint="default" w:ascii="Times New Roman Regular" w:hAnsi="Times New Roman Regular" w:cs="Times New Roman Regular" w:eastAsiaTheme="minorEastAsia"/>
        </w:rPr>
        <w:t>是一项重要发现，但它并不自动意味着</w:t>
      </w:r>
      <w:r>
        <w:rPr>
          <w:rFonts w:hint="default" w:ascii="Times New Roman Regular" w:hAnsi="Times New Roman Regular" w:cs="Times New Roman Regular"/>
          <w:lang w:val="en-US"/>
        </w:rPr>
        <w:t>“世俗化”</w:t>
      </w:r>
      <w:r>
        <w:rPr>
          <w:rFonts w:hint="default" w:ascii="Times New Roman Regular" w:hAnsi="Times New Roman Regular" w:cs="Times New Roman Regular" w:eastAsiaTheme="minorEastAsia"/>
        </w:rPr>
        <w:t>一词所暗示的那种广泛的社会转型。</w:t>
      </w:r>
    </w:p>
    <w:p w14:paraId="39055FAC">
      <w:pPr>
        <w:rPr>
          <w:rFonts w:hint="default" w:ascii="Times New Roman Regular" w:hAnsi="Times New Roman Regular" w:cs="Times New Roman Regular" w:eastAsiaTheme="minorEastAsia"/>
        </w:rPr>
      </w:pPr>
    </w:p>
    <w:p w14:paraId="24C521E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Limitation 7: The career data problem is more severe than a standard missing-data concern. The career information in the RAG is available for only approximately one-quarter of degree recipients between 1480 and 1550 (p. 2063). The authors do not discuss the selection process governing which graduate</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careers were recorded. The most likely pattern is that recorded careers are skewed toward the more prominent, more elite, and more institutionally connected individuals — those who rose to positions in church hierarchies, urban governments, or princely administrations that left documentary traces. If so, the occupational choice data represent a window onto the visible elite trajectory, not an unbiased sample of the overall labor market for university graduates. This means that the finding of a shift from church to secular occupations among Protestant university graduates (Figure V, p. 2068) should more cautiously be interpreted as: the Reformation changed the observable career paths of the most prominent graduates, rather than the broader claim that </w:t>
      </w:r>
      <w:r>
        <w:rPr>
          <w:rFonts w:hint="default" w:ascii="Times New Roman Regular" w:hAnsi="Times New Roman Regular" w:cs="Times New Roman Regular"/>
          <w:lang w:val="en-US"/>
        </w:rPr>
        <w:t>“the allocation of upper-tail human capital”</w:t>
      </w:r>
      <w:r>
        <w:rPr>
          <w:rFonts w:hint="default" w:ascii="Times New Roman Regular" w:hAnsi="Times New Roman Regular" w:cs="Times New Roman Regular" w:eastAsiaTheme="minorEastAsia"/>
        </w:rPr>
        <w:t xml:space="preserve"> was comprehensively reshaped.</w:t>
      </w:r>
    </w:p>
    <w:p w14:paraId="25A2A29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This limitation also interacts with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mechanism story. If career recording is itself endogenous to career prominence, and if the Reformation shifted which types of careers were prestigious and thus recorded, then the observed shift in occupational composition could partly reflect a change in the recording process rather than in actual occupational allocation. For example, if secular administrative positions became more prestigious after the Reformation (because lords were more powerful), graduates in these positions would become more likely to have their careers recorded, inflating the measured share of secular occupations even without any change in the underlying occupational distribution.</w:t>
      </w:r>
    </w:p>
    <w:p w14:paraId="62A732B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degree data (10,022 observations) are less vulnerable to this concern because they are drawn from university registries that recorded all degree recipients, not selectively. This asymmetry means that the human capital investment results (the shift away from theology) rest on firmer empirical ground than the occupational choice results.</w:t>
      </w:r>
    </w:p>
    <w:p w14:paraId="637627A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局限性7：职业数据问题比标准的缺失数据问题更严重。 RAG中的职业信息仅可用于1480至1550年间约四分之一的学位获得者（第2063页）。作者没有讨论决定哪些毕业生职业被记录的选择过程。最可能的模式是，被记录的职业偏向更杰出、更精英、更有制度联系的个体——那些在教会层级、城市政府或亲王行政机构中升至留下文献痕迹的职位的人。如果如此，职业选择数据代表的是对可见精英轨迹的窗口，而非大学毕业生总体劳动力市场的无偏样本。这意味着新教大学毕业生从教会向世俗职业转变的发现（图V，第2068页）应更谨慎地解释为：宗教改革改变了最杰出毕业生的可观察职业路径，而非更广泛的</w:t>
      </w:r>
      <w:r>
        <w:rPr>
          <w:rFonts w:hint="default" w:ascii="Times New Roman Regular" w:hAnsi="Times New Roman Regular" w:cs="Times New Roman Regular"/>
          <w:lang w:val="en-US"/>
        </w:rPr>
        <w:t>“上层人力资本的配置”</w:t>
      </w:r>
      <w:r>
        <w:rPr>
          <w:rFonts w:hint="default" w:ascii="Times New Roman Regular" w:hAnsi="Times New Roman Regular" w:cs="Times New Roman Regular" w:eastAsiaTheme="minorEastAsia"/>
        </w:rPr>
        <w:t>被全面重塑的主张。</w:t>
      </w:r>
    </w:p>
    <w:p w14:paraId="32964FE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这一局限性还与论文的机制故事相互作用。如果职业记录本身内生于职业显著性，而如果宗教改革改变了哪类职业是有声望的从而被记录的，那么观察到的职业构成转变可能部分反映了记录过程的变化而非实际职业配置的变化。例如，如果世俗行政职位在宗教改革后变得更有声望（因为领主更有权势），处于这些职位的毕业生就更可能被记录职业，从而膨胀了世俗职业的衡量份额，即使潜在的职业分布没有任何变化。</w:t>
      </w:r>
    </w:p>
    <w:p w14:paraId="4358969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学位数据（10,022个观测值）较不容易受到这一问题的影响，因为它们来自记录所有学位获得者的大学注册簿，而非选择性记录。这种不对称性意味着人力资本投资结果（远离神学的转变）建立在比职业选择结果更坚实的实证基础上。</w:t>
      </w:r>
    </w:p>
    <w:p w14:paraId="40BAFE35">
      <w:pPr>
        <w:rPr>
          <w:rFonts w:hint="default" w:ascii="Times New Roman Regular" w:hAnsi="Times New Roman Regular" w:cs="Times New Roman Regular" w:eastAsiaTheme="minorEastAsia"/>
        </w:rPr>
      </w:pPr>
    </w:p>
    <w:p w14:paraId="075FCB7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Limitation 8: Territorial coding and jurisdiction mapping introduce non-trivial measurement error. The authors acknowledge that jurisdiction in the Holy Roman Empire involved </w:t>
      </w:r>
      <w:r>
        <w:rPr>
          <w:rFonts w:hint="default" w:ascii="Times New Roman Regular" w:hAnsi="Times New Roman Regular" w:cs="Times New Roman Regular"/>
          <w:lang w:val="en-US"/>
        </w:rPr>
        <w:t>“fluid and overlapping claims among authorities”</w:t>
      </w:r>
      <w:r>
        <w:rPr>
          <w:rFonts w:hint="default" w:ascii="Times New Roman Regular" w:hAnsi="Times New Roman Regular" w:cs="Times New Roman Regular" w:eastAsiaTheme="minorEastAsia"/>
        </w:rPr>
        <w:t xml:space="preserve"> and that the Euratlas regional mapping for 1500 is a proxy for actual jurisdiction over the period studied (p. 2055, fn. 29). This is not a minor caveat. The Holy Roman Empire was characterized by fragmented sovereignty, overlapping jurisdictions, ecclesiastical territories governed by prince-bishops, a significant number of free imperial cities not subject to any territorial lord, and complex feudal relationships in which a single town might owe obligations to multiple authorities. Mechanically assigning each town to a single territorial lord and then projecting that lord</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religious denomination onto the town introduces measurement error in the treatment variable.</w:t>
      </w:r>
    </w:p>
    <w:p w14:paraId="0D18CDC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If this measurement error were purely random — towns being randomly misassigned to Protestant or Catholic territories — it would attenuate estimates toward zero, making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findings conservative. However, the error is unlikely to be random. Towns in contested border regions, towns with strong ecclesiastical presence, free cities with greater autonomy, and towns in areas of overlapping jurisdiction are all more likely to be misassigned, and these characteristics are plausibly correlated with both the intensity of religious competition and the outcomes of interest (construction activity, university access, elite occupational patterns). This could bias the border-effect analysis (Figure X), the small-town robustness check (Figure XII), and the monastery proximity calculations in systematic ways that the authors do not address.</w:t>
      </w:r>
    </w:p>
    <w:p w14:paraId="00D5274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局限性8：领地编码和司法管辖映射引入了非小量的测量误差。 作者承认神圣罗马帝国的司法管辖涉及</w:t>
      </w:r>
      <w:r>
        <w:rPr>
          <w:rFonts w:hint="default" w:ascii="Times New Roman Regular" w:hAnsi="Times New Roman Regular" w:cs="Times New Roman Regular"/>
          <w:lang w:val="en-US"/>
        </w:rPr>
        <w:t>“当局之间流动和重叠的权利主张”</w:t>
      </w:r>
      <w:r>
        <w:rPr>
          <w:rFonts w:hint="default" w:ascii="Times New Roman Regular" w:hAnsi="Times New Roman Regular" w:cs="Times New Roman Regular" w:eastAsiaTheme="minorEastAsia"/>
        </w:rPr>
        <w:t>，1500年的Euratlas区域映射只是研究期间实际管辖权的代理变量（第2055页，脚注29）。这不是一个微不足道的附带说明。神圣罗马帝国的特征是碎片化的主权、重叠的管辖权、由亲王主教治理的教会领地、大量不服从任何领地领主的帝国自由城市，以及复杂的封建关系——在这种关系中，单个城镇可能对多个权威负有义务。机械地将每个城镇分配给单一领地领主，然后将该领主的宗教归属投射给城镇，在处理变量中引入了测量误差。</w:t>
      </w:r>
    </w:p>
    <w:p w14:paraId="35D0D99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如果这种测量误差是纯随机的——城镇被随机地错误分配给新教或天主教领地——它会将估计向零衰减，使论文发现偏保守。然而，误差不太可能是随机的。争议边境地区的城镇、具有强大教会存在的城镇、拥有更大自治权的自由城市，以及重叠管辖区域的城镇都更可能被错误分配，而这些特征与宗教竞争的强度和感兴趣的结果（建筑活动、大学入学、精英职业模式）可能存在相关性。这可能以作者未处理的系统性方式偏倚边境效应分析（图X）、小城镇稳健性检验（图XII）和修道院距离计算。</w:t>
      </w:r>
    </w:p>
    <w:p w14:paraId="72E53DE1">
      <w:pPr>
        <w:rPr>
          <w:rFonts w:hint="default" w:ascii="Times New Roman Regular" w:hAnsi="Times New Roman Regular" w:cs="Times New Roman Regular" w:eastAsiaTheme="minorEastAsia"/>
        </w:rPr>
      </w:pPr>
    </w:p>
    <w:p w14:paraId="5A69001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Limitation 9: The border heterogeneity analysis conflates religious competition with other border-region characteristics. The authors use proximity to Protestant borders as a proxy for the intensity of religious competition faced by Catholic territories, finding larger Protestant-Catholic differences when comparing Protestant territories to Catholic interior regions than to Catholic border regions (Figure X, pp. 2083–2085). This is an elegant empirical exercise, but the interpretation rests on the assumption that the only relevant difference between Catholic border and interior regions is the intensity of religious competition. In practice, border regions systematically differ from interior regions along many dimensions simultaneously: trade routes and commercial activity tend to concentrate along borders; military and geopolitical pressures are more acute; population mobility and the circulation of ideas are greater; urban network density may differ; and legal and institutional competition between neighboring polities is more intense. All of these factors could independently affect the rate of secular construction. The border analysis is therefore better understood as a suggestive pattern consistent with the religious competition story, rather than a clean test of the competition mechanism specifically.</w:t>
      </w:r>
    </w:p>
    <w:p w14:paraId="2386017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局限性9：边境异质性分析将宗教竞争与边境地区的其他特征混为一谈。 作者使用与新教边界的距离作为天主教领地面临的宗教竞争强度的代理变量，发现将新教领地与天主教内陆地区比较时的新教-天主教差异大于与天主教边境地区比较时（图X，第2083–2085页）。这是一个精巧的实证练习，但其解释建立在一个假设之上：天主教边境地区和内陆地区之间唯一相关的差异是宗教竞争的强度。在实践中，边境地区在许多维度上同时与内陆地区系统性地不同：贸易路线和商业活动倾向于沿边界集中；军事和地缘政治压力更为尖锐；人口流动和思想传播更频繁；城市网络密度可能不同；相邻政体之间的法律和制度竞争更为激烈。所有这些因素都可以独立影响世俗建筑的速率。因此，边境分析最好被理解为一种与宗教竞争故事一致的暗示性模式，而非对竞争机制的干净检验。</w:t>
      </w:r>
    </w:p>
    <w:p w14:paraId="7F89BC0C">
      <w:pPr>
        <w:rPr>
          <w:rFonts w:hint="default" w:ascii="Times New Roman Regular" w:hAnsi="Times New Roman Regular" w:cs="Times New Roman Regular" w:eastAsiaTheme="minorEastAsia"/>
        </w:rPr>
      </w:pPr>
    </w:p>
    <w:p w14:paraId="698631B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Limitation 10: Parallel pre-trends do not rule out differential structural elasticities.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most persuasive identification evidence is the absence of differential pre-Reformation trends in outcomes between eventually Protestant and Catholic territories and universities. This is a necessary condition for the validity of the DID design, and the authors present it effectively. However, parallel pre-trends are not a sufficient condition for causal identification. There exists a more subtle threat: even if the two groups of territories followed identical trajectories before 1517, they may have possessed different </w:t>
      </w:r>
      <w:r>
        <w:rPr>
          <w:rFonts w:hint="default" w:ascii="Times New Roman Regular" w:hAnsi="Times New Roman Regular" w:cs="Times New Roman Regular"/>
          <w:lang w:val="en-US"/>
        </w:rPr>
        <w:t>“structural elasticities”</w:t>
      </w:r>
      <w:r>
        <w:rPr>
          <w:rFonts w:hint="default" w:ascii="Times New Roman Regular" w:hAnsi="Times New Roman Regular" w:cs="Times New Roman Regular" w:eastAsiaTheme="minorEastAsia"/>
        </w:rPr>
        <w:t xml:space="preserve"> — different latent capacities to respond to a common shock. Territories that would eventually adopt Protestantism may have differed from Catholic ones not in their pre-Reformation levels or trends, but in their political organization, the strength of their urban oligarchies, the degree of lord-church conflict, or the structure of their elite networks, all of which would determine how powerfully the Reformation shock translated into resource reallocation. Under this scenario, parallel pre-trends are perfectly consistent with the Reformation acting as a common shock that was amplified differently depending on preexisting institutional structures, rather than as a cause that differentially affected Protestant territories through the specific mechanism the authors propose. The three quasi-exogenous timing case studies (pp. 2087–2091) partially mitigate this concern, but as noted, they cover only 3 of 35 territories.</w:t>
      </w:r>
    </w:p>
    <w:p w14:paraId="65F10FE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This concern is a version of the </w:t>
      </w:r>
      <w:r>
        <w:rPr>
          <w:rFonts w:hint="default" w:ascii="Times New Roman Regular" w:hAnsi="Times New Roman Regular" w:cs="Times New Roman Regular"/>
          <w:lang w:val="en-US"/>
        </w:rPr>
        <w:t>“heterogeneous treatment effects”</w:t>
      </w:r>
      <w:r>
        <w:rPr>
          <w:rFonts w:hint="default" w:ascii="Times New Roman Regular" w:hAnsi="Times New Roman Regular" w:cs="Times New Roman Regular" w:eastAsiaTheme="minorEastAsia"/>
        </w:rPr>
        <w:t xml:space="preserve"> problem that has received extensive attention in recent econometric theory (de Chaisemartin and d'Haultfœuille 2020; Sun and Abraham 2021). In a staggered DID design with heterogeneous treatment effects, the standard two-way fixed effects estimator can produce estimates that are difficult to interpret as causal parameters even when parallel trends hold. While this paper does not employ a staggered design in the strict sense (it uses a binary Protestant/Catholic classification rather than variation in treatment timing), the underlying concern about heterogeneous responses to a common shock is directly applicable.</w:t>
      </w:r>
    </w:p>
    <w:p w14:paraId="5182895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局限性10：平行的改革前趋势不能排除不同的结构弹性。 论文最具说服力的识别证据是最终成为新教和天主教的领地及大学之间在结果上不存在差异化的改革前趋势。这是DID设计有效性的必要条件，作者有效地展示了这一点。然而，平行的前趋势并非因果识别的充分条件。存在一种更微妙的威胁：即使两组领地在1517年之前遵循了相同的轨迹，它们可能具有不同的</w:t>
      </w:r>
      <w:r>
        <w:rPr>
          <w:rFonts w:hint="default" w:ascii="Times New Roman Regular" w:hAnsi="Times New Roman Regular" w:cs="Times New Roman Regular"/>
          <w:lang w:val="en-US"/>
        </w:rPr>
        <w:t>“结构弹性”</w:t>
      </w:r>
      <w:r>
        <w:rPr>
          <w:rFonts w:hint="default" w:ascii="Times New Roman Regular" w:hAnsi="Times New Roman Regular" w:cs="Times New Roman Regular" w:eastAsiaTheme="minorEastAsia"/>
        </w:rPr>
        <w:t>——对共同冲击的不同潜在反应能力。最终将采纳新教的领地可能与天主教领地的差异不在于改革前的水平或趋势，而在于它们的政治组织、城市寡头集团的力量、领主-教会冲突的程度或精英网络的结构，所有这些都将决定宗教改革冲击在多大程度上转化为资源再配置。在这种情景下，平行的前趋势与宗教改革作为共同冲击但根据既有制度结构被不同放大是完全一致的，而非作为通过作者提出的特定机制差异化影响新教领地的原因。三个准外生时机案例研究（第2087–2091页）部分缓解了这一担忧，但如前所述，它们仅覆盖35个领地中的3个。</w:t>
      </w:r>
    </w:p>
    <w:p w14:paraId="2C87300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这一担忧是近年来在计量经济学理论中受到广泛关注的</w:t>
      </w:r>
      <w:r>
        <w:rPr>
          <w:rFonts w:hint="default" w:ascii="Times New Roman Regular" w:hAnsi="Times New Roman Regular" w:cs="Times New Roman Regular"/>
          <w:lang w:val="en-US"/>
        </w:rPr>
        <w:t>“异质性处理效应”</w:t>
      </w:r>
      <w:r>
        <w:rPr>
          <w:rFonts w:hint="default" w:ascii="Times New Roman Regular" w:hAnsi="Times New Roman Regular" w:cs="Times New Roman Regular" w:eastAsiaTheme="minorEastAsia"/>
        </w:rPr>
        <w:t>问题的一个版本（de Chaisemartin and d'Haultfœuille 2020; Sun and Abraham 2021）。在具有异质性处理效应的渐进DID设计中，标准的双向固定效应估计量即使在平行趋势成立时也可能产生难以解释为因果参数的估计。虽然本文并未在严格意义上采用渐进设计（它使用二元的新教/天主教分类而非处理时机的变异），但关于对共同冲击的异质性反应的根本担忧是直接适用的。</w:t>
      </w:r>
    </w:p>
    <w:p w14:paraId="0D9F1783">
      <w:pPr>
        <w:rPr>
          <w:rFonts w:hint="default" w:ascii="Times New Roman Regular" w:hAnsi="Times New Roman Regular" w:cs="Times New Roman Regular" w:eastAsiaTheme="minorEastAsia"/>
        </w:rPr>
      </w:pPr>
    </w:p>
    <w:p w14:paraId="0F4AC71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Limitation 11: Intra-Protestant heterogeneity is theoretically suppressed. The paper treats </w:t>
      </w:r>
      <w:r>
        <w:rPr>
          <w:rFonts w:hint="default" w:ascii="Times New Roman Regular" w:hAnsi="Times New Roman Regular" w:cs="Times New Roman Regular"/>
          <w:lang w:val="en-US"/>
        </w:rPr>
        <w:t>“Protestant reformers”</w:t>
      </w:r>
      <w:r>
        <w:rPr>
          <w:rFonts w:hint="default" w:ascii="Times New Roman Regular" w:hAnsi="Times New Roman Regular" w:cs="Times New Roman Regular" w:eastAsiaTheme="minorEastAsia"/>
        </w:rPr>
        <w:t xml:space="preserve"> as a relatively unified entrant in the market for salvation and legitimacy, and the empirical analysis operates at the level of </w:t>
      </w:r>
      <w:r>
        <w:rPr>
          <w:rFonts w:hint="default" w:ascii="Times New Roman Regular" w:hAnsi="Times New Roman Regular" w:cs="Times New Roman Regular"/>
          <w:lang w:val="en-US"/>
        </w:rPr>
        <w:t>“eventually Protestant”</w:t>
      </w:r>
      <w:r>
        <w:rPr>
          <w:rFonts w:hint="default" w:ascii="Times New Roman Regular" w:hAnsi="Times New Roman Regular" w:cs="Times New Roman Regular" w:eastAsiaTheme="minorEastAsia"/>
        </w:rPr>
        <w:t xml:space="preserve"> versus </w:t>
      </w:r>
      <w:r>
        <w:rPr>
          <w:rFonts w:hint="default" w:ascii="Times New Roman Regular" w:hAnsi="Times New Roman Regular" w:cs="Times New Roman Regular"/>
          <w:lang w:val="en-US"/>
        </w:rPr>
        <w:t>“Catholic.”</w:t>
      </w:r>
      <w:r>
        <w:rPr>
          <w:rFonts w:hint="default" w:ascii="Times New Roman Regular" w:hAnsi="Times New Roman Regular" w:cs="Times New Roman Regular" w:eastAsiaTheme="minorEastAsia"/>
        </w:rPr>
        <w:t xml:space="preserve"> The authors acknowledge in footnotes that Lutheranism, Zwinglianism /ˈzwɪŋɡliənɪzəm/, and Calvinism /ˈkælvɪnɪzəm/ differed in their theological positions and in their implications for the church-state relationship (p. 2052, fn. 23). However, these differences are not merely theological niceties. Different Protestant traditions held systematically different views on the legitimacy of secular control over church property, the role of church discipline in governance, the desirability of state-run welfare provision, urban autonomy, and the scope of princely authority. Calvinism, for example, developed much stronger institutional mechanisms for church independence from secular rulers (the consistory system) than Lutheranism, which was generally more accommodating of princely control — a point central to Gorski</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(2003) argument about disciplinary revolution and state formation in the Netherlands and Prussia /ˈprʌʃə/.</w:t>
      </w:r>
    </w:p>
    <w:p w14:paraId="5C5D256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For the German lands in this study, where Lutheranism was predominant, this concern is somewhat mitigated. But it means that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theoretical abstraction — a single </w:t>
      </w:r>
      <w:r>
        <w:rPr>
          <w:rFonts w:hint="default" w:ascii="Times New Roman Regular" w:hAnsi="Times New Roman Regular" w:cs="Times New Roman Regular"/>
          <w:lang w:val="en-US"/>
        </w:rPr>
        <w:t>“entrant”</w:t>
      </w:r>
      <w:r>
        <w:rPr>
          <w:rFonts w:hint="default" w:ascii="Times New Roman Regular" w:hAnsi="Times New Roman Regular" w:cs="Times New Roman Regular" w:eastAsiaTheme="minorEastAsia"/>
        </w:rPr>
        <w:t xml:space="preserve"> offering a lower </w:t>
      </w:r>
      <w:r>
        <w:rPr>
          <w:rFonts w:hint="default" w:ascii="Times New Roman Regular" w:hAnsi="Times New Roman Regular" w:cs="Times New Roman Regular"/>
          <w:lang w:val="en-US"/>
        </w:rPr>
        <w:t>“price”</w:t>
      </w:r>
      <w:r>
        <w:rPr>
          <w:rFonts w:hint="default" w:ascii="Times New Roman Regular" w:hAnsi="Times New Roman Regular" w:cs="Times New Roman Regular" w:eastAsiaTheme="minorEastAsia"/>
        </w:rPr>
        <w:t xml:space="preserve"> of legitimacy — may flatten important heterogeneity in the mechanism. The degree to which Protestant theologians conceded resources to secular lords was not uniform across Protestant traditions, and a more disaggregated analysis might reveal that the </w:t>
      </w:r>
      <w:r>
        <w:rPr>
          <w:rFonts w:hint="default" w:ascii="Times New Roman Regular" w:hAnsi="Times New Roman Regular" w:cs="Times New Roman Regular"/>
          <w:lang w:val="en-US"/>
        </w:rPr>
        <w:t>“market for legitimacy”</w:t>
      </w:r>
      <w:r>
        <w:rPr>
          <w:rFonts w:hint="default" w:ascii="Times New Roman Regular" w:hAnsi="Times New Roman Regular" w:cs="Times New Roman Regular" w:eastAsiaTheme="minorEastAsia"/>
        </w:rPr>
        <w:t xml:space="preserve"> operated very differently under Lutheranism than under Calvinism. This limits the external validity of the framework when extended to non-German Protestant contexts.</w:t>
      </w:r>
    </w:p>
    <w:p w14:paraId="439F504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局限性11：新教内部异质性在理论上被压制。 论文将</w:t>
      </w:r>
      <w:r>
        <w:rPr>
          <w:rFonts w:hint="default" w:ascii="Times New Roman Regular" w:hAnsi="Times New Roman Regular" w:cs="Times New Roman Regular"/>
          <w:lang w:val="en-US"/>
        </w:rPr>
        <w:t>“新教改革者”</w:t>
      </w:r>
      <w:r>
        <w:rPr>
          <w:rFonts w:hint="default" w:ascii="Times New Roman Regular" w:hAnsi="Times New Roman Regular" w:cs="Times New Roman Regular" w:eastAsiaTheme="minorEastAsia"/>
        </w:rPr>
        <w:t>视为救赎和合法性市场中相对统一的进入者，实证分析在</w:t>
      </w:r>
      <w:r>
        <w:rPr>
          <w:rFonts w:hint="default" w:ascii="Times New Roman Regular" w:hAnsi="Times New Roman Regular" w:cs="Times New Roman Regular"/>
          <w:lang w:val="en-US"/>
        </w:rPr>
        <w:t>“最终成为新教”</w:t>
      </w:r>
      <w:r>
        <w:rPr>
          <w:rFonts w:hint="default" w:ascii="Times New Roman Regular" w:hAnsi="Times New Roman Regular" w:cs="Times New Roman Regular" w:eastAsiaTheme="minorEastAsia"/>
        </w:rPr>
        <w:t>与</w:t>
      </w:r>
      <w:r>
        <w:rPr>
          <w:rFonts w:hint="default" w:ascii="Times New Roman Regular" w:hAnsi="Times New Roman Regular" w:cs="Times New Roman Regular"/>
          <w:lang w:val="en-US"/>
        </w:rPr>
        <w:t>“天主教”</w:t>
      </w:r>
      <w:r>
        <w:rPr>
          <w:rFonts w:hint="default" w:ascii="Times New Roman Regular" w:hAnsi="Times New Roman Regular" w:cs="Times New Roman Regular" w:eastAsiaTheme="minorEastAsia"/>
        </w:rPr>
        <w:t>的层面运作。作者在脚注中承认路德宗、茨温利派（Zwinglianism /ˈzwɪŋɡliənɪzəm/）和加尔文主义（Calvinism /ˈkælvɪnɪzəm/）在神学立场及其对政教关系的影响上存在差异（第2052页，脚注23）。然而，这些差异不仅仅是神学上的细微之处。不同的新教传统对世俗控制教会财产的合法性、教会纪律在治理中的作用、国家运营福利供给的可取性、城市自治和亲王权威的范围持有系统性不同的观点。例如，加尔文主义发展出了比路德宗更强的教会独立于世俗统治者的制度机制（宗教法庭制度），路德宗则通常更顺应亲王控制——这是戈尔斯基(Gorski 2003)关于荷兰和普鲁士（Prussia /ˈprʌʃə/）的纪律革命与国家形成论点的核心。</w:t>
      </w:r>
    </w:p>
    <w:p w14:paraId="2C4B1D8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对于本研究中路德宗占主导地位的德语地区，这一担忧有所缓解。但这意味着论文的理论抽象——单一</w:t>
      </w:r>
      <w:r>
        <w:rPr>
          <w:rFonts w:hint="default" w:ascii="Times New Roman Regular" w:hAnsi="Times New Roman Regular" w:cs="Times New Roman Regular"/>
          <w:lang w:val="en-US"/>
        </w:rPr>
        <w:t>“进入者”</w:t>
      </w:r>
      <w:r>
        <w:rPr>
          <w:rFonts w:hint="default" w:ascii="Times New Roman Regular" w:hAnsi="Times New Roman Regular" w:cs="Times New Roman Regular" w:eastAsiaTheme="minorEastAsia"/>
        </w:rPr>
        <w:t>提供更低的合法性</w:t>
      </w:r>
      <w:r>
        <w:rPr>
          <w:rFonts w:hint="default" w:ascii="Times New Roman Regular" w:hAnsi="Times New Roman Regular" w:cs="Times New Roman Regular"/>
          <w:lang w:val="en-US"/>
        </w:rPr>
        <w:t>“价格”</w:t>
      </w:r>
      <w:r>
        <w:rPr>
          <w:rFonts w:hint="default" w:ascii="Times New Roman Regular" w:hAnsi="Times New Roman Regular" w:cs="Times New Roman Regular" w:eastAsiaTheme="minorEastAsia"/>
        </w:rPr>
        <w:t>——可能压平了机制中的重要异质性。新教神学家在多大程度上向世俗领主让渡资源在不同新教传统之间并非统一的，更细分的分析可能揭示</w:t>
      </w:r>
      <w:r>
        <w:rPr>
          <w:rFonts w:hint="default" w:ascii="Times New Roman Regular" w:hAnsi="Times New Roman Regular" w:cs="Times New Roman Regular"/>
          <w:lang w:val="en-US"/>
        </w:rPr>
        <w:t>“合法性市场”</w:t>
      </w:r>
      <w:r>
        <w:rPr>
          <w:rFonts w:hint="default" w:ascii="Times New Roman Regular" w:hAnsi="Times New Roman Regular" w:cs="Times New Roman Regular" w:eastAsiaTheme="minorEastAsia"/>
        </w:rPr>
        <w:t>在路德宗下的运作与在加尔文主义下非常不同。这限制了该框架在扩展到非德国新教语境时的外部效度。</w:t>
      </w:r>
    </w:p>
    <w:p w14:paraId="453371AB">
      <w:pPr>
        <w:rPr>
          <w:rFonts w:hint="default" w:ascii="Times New Roman Regular" w:hAnsi="Times New Roman Regular" w:cs="Times New Roman Regular" w:eastAsiaTheme="minorEastAsia"/>
        </w:rPr>
      </w:pPr>
    </w:p>
    <w:p w14:paraId="652CE796">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Extensions: Potential Extensions and New Research Questions / 拓展：潜在的研究拓展和新的研究问题</w:t>
      </w:r>
    </w:p>
    <w:p w14:paraId="4F383F2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Extension 1: Formal Modeling of the Market for Legitimacy.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informal model invites formalization. A natural extension would be to develop a game-theoretic model of bargaining between secular rulers and religious providers in a setting with entry. This could take the form of an alternating-offers bargaining model (following Rubinstein 1982) in which the Reformation changes the outside option of secular rulers, or a mechanism design model in which rulers choose among competing providers of legitimacy. Such a model could generate quantitative predictions about the relationship between the degree of religious competition and the magnitude of wealth transfer, which could then be tested against the data.</w:t>
      </w:r>
    </w:p>
    <w:p w14:paraId="0C7FFFC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Extension 2: Cross-Country Comparison of Reformation Effects. The German case, while empirically rich, is institutionally specific. A natural extension would be to compare the political economy of the Reformation across England , Scandinavia /ˌskændɪˈneɪviə/, Switzerland /ˈswɪtsərlənd/, the Netherlands /ˈnɛðərləndz/, and Scotland /ˈskɒtlənd/. In England, the dissolution of the monasteries under Henry VIII /ˈhɛnri/ transferred enormous wealth to the gentry (Heldring, Robinson, and Vollmer 2017), but the mechanism was top-down rather than bottom-up. Comparing the magnitude and nature of secularization across these cases would clarify the scope conditions for the </w:t>
      </w:r>
      <w:r>
        <w:rPr>
          <w:rFonts w:hint="default" w:ascii="Times New Roman Regular" w:hAnsi="Times New Roman Regular" w:cs="Times New Roman Regular"/>
          <w:lang w:val="en-US"/>
        </w:rPr>
        <w:t>“market for legitimacy”</w:t>
      </w:r>
      <w:r>
        <w:rPr>
          <w:rFonts w:hint="default" w:ascii="Times New Roman Regular" w:hAnsi="Times New Roman Regular" w:cs="Times New Roman Regular" w:eastAsiaTheme="minorEastAsia"/>
        </w:rPr>
        <w:t xml:space="preserve"> mechanism.</w:t>
      </w:r>
    </w:p>
    <w:p w14:paraId="0D7A566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Extension 3: Long-Run Consequences for State Capacity. The paper documents the short-run (sixteenth-century) reallocation of resources to secular lords but does not trace the long-run implications for state capacity, institutional development, or economic growth. An extension could examine whether the territories that experienced the greatest wealth transfers during the Reformation developed greater fiscal capacity, more extensive bureaucracies, or better public goods provision in subsequent centuries. This would connect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findings to the broader state formation literature (Tilly 1990; Besley and Persson 2009, 2010; Gennaioli and Voth 2015) and to the question of whether the Reformation</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secularizing effects were growth-promoting.</w:t>
      </w:r>
    </w:p>
    <w:p w14:paraId="472D42B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Extension 4: The Counter-Reformation as a Natural Experiment. The Counter-Reformation — the Catholic Church</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response to Protestant competition — provides a natural extension. If the author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framework is correct, the Counter-Reformation should have led Catholic territories to renegotiate the terms of the legitimacy bargain, with the Church conceding more to secular lords in areas of intense competition. Evidence on Catholic institutional reforms, the Council of Trent /trɛnt/ (1545–1563), and the founding of the Jesuits /ˈdʒɛzjuɪts/ could be used to test whether the Church</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response was consistent with the competitive logic of the model.</w:t>
      </w:r>
    </w:p>
    <w:p w14:paraId="551D74F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Extension 5: The Allocation of Talent and Long-Run Innovation. The paper shows that upper-tail human capital shifted from the church to the secular sector. An extension could investigate whether this reallocation had consequences for innovation, scientific output, or intellectual production. The connection to Mokyr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(2005, 2017) arguments about the intellectual origins of modern economic growth and the Enlightenment could be explored empirically by linking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data on university graduate</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fields of study to data on publications, inventions, or participation in learned societies in subsequent periods.</w:t>
      </w:r>
    </w:p>
    <w:p w14:paraId="5F6427B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Connecting to Grzymała-Busse’s Sacred Foundations framework provides a promising extension. Grzymała-Busse emphasizes that the medieval Catholic Church was not merely an obstacle to state formation, but a constitutive institutional rival and model that helped shape European state development. Cantoni, Dittmar, and Yuchtman, by contrast, show that the Reformation triggered a reallocation of resources away from religious institutions and toward secular rulers, especially toward administrative and ruler-favored uses. Read together, the two works suggest a longer-run question: not simply whether the Reformation “disrupted” church-led state formation, but how it transformed or redirected institutional capacities that the medieval Church had previously helped create. This raises a fruitful empirical question: did territories in which the Church had been more deeply embedded in pre-Reformation political development experience greater secular reallocation during the Reformation, or were they more resilient to it? Framed this way, the extension is less a direct synthesis of identical arguments than a historically layered dialogue between two accounts of how religious institutions shaped European political development.</w:t>
      </w:r>
    </w:p>
    <w:p w14:paraId="77B2DD3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把这篇文章与 Grzymała-Busse 的《Sacred Foundations》联系起来，是一个很有潜力的拓展方向。Grzymała-Busse 强调，中世纪天主教会并不只是国家形成的阻碍物，而是一个构成性的制度竞争者与制度模仿对象，它深刻塑造了欧洲国家发展的路径。相比之下，Cantoni、Dittmar 和 Yuchtman 展示的是：宗教改革推动了资源从宗教机构向世俗统治者、尤其是行政和统治者偏好用途的再配置。把两者放在一起，真正有价值的问题并不只是宗教改革是否“打断”了教会推动国家形成的过程，而是：宗教改革如何改变、重组、或重新导向了此前由教会参与塑造的制度能力。这就提出了一个很好的经验问题：那些在改革前教会更深度嵌入政治发展过程的地区，在改革期间是否经历了更强烈的世俗化资源再配置，还是恰恰更能抵抗这种再配置？这样表述时，这一拓展不是把两篇文献简单拼接，而是把它们放入一个跨越中世纪与近代早期的、更分层的历史对话中。</w:t>
      </w:r>
    </w:p>
    <w:p w14:paraId="47BBDCB7">
      <w:pPr>
        <w:rPr>
          <w:rFonts w:hint="default" w:ascii="Times New Roman Regular" w:hAnsi="Times New Roman Regular" w:cs="Times New Roman Regular" w:eastAsiaTheme="minorEastAsia"/>
        </w:rPr>
      </w:pPr>
    </w:p>
    <w:p w14:paraId="3E2F037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Extension 7: Application to Non-European Cases. The framework</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logic — that religious competition shifts the balance of power between religious and secular elites — could be applied to other historical episodes of religious competition, such as the spread of Islam in the Middle East and North Africa, the introduction of Christianity in East Asia, or the contemporary rise of Evangelical Protestantism in Latin America and sub-Saharan Africa. Rubin (2017) has laid the groundwork for such comparisons by contrasting European and Islamic political economies; the empirical methodology developed in this paper could be adapted to test Rubin</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claims quantitatively.</w:t>
      </w:r>
    </w:p>
    <w:p w14:paraId="17F5548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拓展1：合法性市场的形式化建模。 本文的非正式模型邀请形式化。一个自然的拓展是开发世俗统治者与宗教供应者在存在进入的情境下讨价还价的博弈论模型。这可以采取交替提议讨价还价模型（遵循Rubinstein 1982）的形式，其中宗教改革改变了世俗统治者的外部选项，或者采取机制设计模型的形式，其中统治者在竞争性的合法性供应者之间进行选择。这样的模型可以产生关于宗教竞争程度与财富转移规模之间关系的定量预测，然后可以对数据进行检验。</w:t>
      </w:r>
    </w:p>
    <w:p w14:paraId="23ED69C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拓展2：宗教改革效应的跨国比较。 德国案例虽然在实证上很丰富，但在制度上具有特殊性。一个自然的拓展是比较英格兰（England ）、斯堪的纳维亚（Scandinavia /ˌskændɪˈneɪviə/）、瑞士（Switzerland /ˈswɪtsərlənd/）、尼德兰（Netherlands /ˈnɛðərləndz/）和苏格兰（Scotland /ˈskɒtlənd/）宗教改革的政治经济学。在英格兰，亨利八世（Henry VIII /ˈhɛnri/）统治下的修道院解散将巨大财富转移给乡绅（Heldring, Robinson, and Vollmer 2017），但机制是自上而下而非自下而上。比较这些案例中世俗化的规模和性质将阐明</w:t>
      </w:r>
      <w:r>
        <w:rPr>
          <w:rFonts w:hint="default" w:ascii="Times New Roman Regular" w:hAnsi="Times New Roman Regular" w:cs="Times New Roman Regular"/>
          <w:lang w:val="en-US"/>
        </w:rPr>
        <w:t>“合法性市场”</w:t>
      </w:r>
      <w:r>
        <w:rPr>
          <w:rFonts w:hint="default" w:ascii="Times New Roman Regular" w:hAnsi="Times New Roman Regular" w:cs="Times New Roman Regular" w:eastAsiaTheme="minorEastAsia"/>
        </w:rPr>
        <w:t>机制的适用条件。</w:t>
      </w:r>
    </w:p>
    <w:p w14:paraId="017F5B9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拓展3：国家能力的长期后果。 本文记录了资源向世俗领主的短期（十六世纪）再配置，但没有追溯对国家能力、制度发展或经济增长的长期影响。拓展可以检验在宗教改革期间经历最大财富转移的领地是否在随后几个世纪中发展出更大的财政能力、更广泛的官僚机构或更好的公共品提供。这将把本文的发现与更广泛的国家形成文献（Tilly 1990; Besley and Persson 2009, 2010; Gennaioli and Voth 2015）以及宗教改革的世俗化效应是否促进增长的问题联系起来。</w:t>
      </w:r>
    </w:p>
    <w:p w14:paraId="3338315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拓展4：反宗教改革作为自然实验。 反宗教改革——天主教会对新教竞争的回应——提供了自然的拓展。如果作者的框架正确，反宗教改革应导致天主教领地重新谈判合法性交易的条款，教会在竞争激烈的地区向世俗领主做出更多让步。关于天主教制度改革、特伦托会议（Council of Trent /trɛnt/，1545–1563年）和耶稣会（Jesuits /ˈdʒɛzjuɪts/）创立的证据可用于检验教会的回应是否与模型的竞争逻辑一致。</w:t>
      </w:r>
    </w:p>
    <w:p w14:paraId="3F9864B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拓展5：人才配置与长期创新。 本文显示上层人力资本从教会部门转向世俗部门。拓展可以调查这种再配置是否对创新、科学产出或知识生产产生了后果。与Mokyr (2005, 2017)关于现代经济增长和启蒙运动的知识起源论点的联系，可以通过将本文关于大学毕业生学习领域的数据与后续时期的出版物、发明或学术社团参与数据相连接来进行实证探索。</w:t>
      </w:r>
    </w:p>
    <w:p w14:paraId="77C0D96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拓展7：应用于非欧洲案例。 该框架的逻辑——宗教竞争转移了宗教精英与世俗精英之间的权力平衡——可以应用于其他宗教竞争的历史事件，如伊斯兰教在中东和北非的传播、基督教在东亚的引入，或当代福音派新教在拉丁美洲和撒哈拉以南非洲的兴起。Rubin (2017)通过对比欧洲和伊斯兰政治经济学为此类比较奠定了基础；本文开发的实证方法可以被调整用于定量检验Rubin的主张。</w:t>
      </w:r>
    </w:p>
    <w:p w14:paraId="79537F6E">
      <w:pPr>
        <w:rPr>
          <w:rFonts w:hint="default" w:ascii="Times New Roman Regular" w:hAnsi="Times New Roman Regular" w:cs="Times New Roman Regular" w:eastAsiaTheme="minorEastAsia"/>
        </w:rPr>
      </w:pPr>
    </w:p>
    <w:p w14:paraId="2BB61129">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Appendix: Assessment of the Conceptual Framework / 附录：概念框架评估</w:t>
      </w:r>
    </w:p>
    <w:p w14:paraId="2F4C1D9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authors present an informal conceptual framework rather than a formal model. This appendix assesses its structure, internal logic, and potential weaknesses from the perspectives of game theory and econometrics.</w:t>
      </w:r>
    </w:p>
    <w:p w14:paraId="5F93678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Structure of the Framework. The framework posits two interlinked markets. Market 1 is the </w:t>
      </w:r>
      <w:r>
        <w:rPr>
          <w:rFonts w:hint="default" w:ascii="Times New Roman Regular" w:hAnsi="Times New Roman Regular" w:cs="Times New Roman Regular"/>
          <w:lang w:val="en-US"/>
        </w:rPr>
        <w:t>“market for salvation,”</w:t>
      </w:r>
      <w:r>
        <w:rPr>
          <w:rFonts w:hint="default" w:ascii="Times New Roman Regular" w:hAnsi="Times New Roman Regular" w:cs="Times New Roman Regular" w:eastAsiaTheme="minorEastAsia"/>
        </w:rPr>
        <w:t xml:space="preserve"> in which religious providers (churches) sell religious services (salvation, sacraments) to consumers (believers). Market 2 is the </w:t>
      </w:r>
      <w:r>
        <w:rPr>
          <w:rFonts w:hint="default" w:ascii="Times New Roman Regular" w:hAnsi="Times New Roman Regular" w:cs="Times New Roman Regular"/>
          <w:lang w:val="en-US"/>
        </w:rPr>
        <w:t>“market for political legitimacy,”</w:t>
      </w:r>
      <w:r>
        <w:rPr>
          <w:rFonts w:hint="default" w:ascii="Times New Roman Regular" w:hAnsi="Times New Roman Regular" w:cs="Times New Roman Regular" w:eastAsiaTheme="minorEastAsia"/>
        </w:rPr>
        <w:t xml:space="preserve"> in which religious providers sell endorsement/legitimation to secular rulers, who pay in temporal concessions (money, land, tax exemptions, political power). Prior to the Reformation, the Catholic Church holds a monopoly in both markets. The Reformation introduces a competitor (Protestant churches) that offers lower prices in both markets.</w:t>
      </w:r>
    </w:p>
    <w:p w14:paraId="60750E7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框架结构。 该框架假定两个相互关联的市场。市场1是</w:t>
      </w:r>
      <w:r>
        <w:rPr>
          <w:rFonts w:hint="default" w:ascii="Times New Roman Regular" w:hAnsi="Times New Roman Regular" w:cs="Times New Roman Regular"/>
          <w:lang w:val="en-US"/>
        </w:rPr>
        <w:t>“救赎市场”</w:t>
      </w:r>
      <w:r>
        <w:rPr>
          <w:rFonts w:hint="default" w:ascii="Times New Roman Regular" w:hAnsi="Times New Roman Regular" w:cs="Times New Roman Regular" w:eastAsiaTheme="minorEastAsia"/>
        </w:rPr>
        <w:t>，宗教供应者（教会）向消费者（信徒）出售宗教服务（救赎、圣事）。市场2是</w:t>
      </w:r>
      <w:r>
        <w:rPr>
          <w:rFonts w:hint="default" w:ascii="Times New Roman Regular" w:hAnsi="Times New Roman Regular" w:cs="Times New Roman Regular"/>
          <w:lang w:val="en-US"/>
        </w:rPr>
        <w:t>“政治合法性市场”</w:t>
      </w:r>
      <w:r>
        <w:rPr>
          <w:rFonts w:hint="default" w:ascii="Times New Roman Regular" w:hAnsi="Times New Roman Regular" w:cs="Times New Roman Regular" w:eastAsiaTheme="minorEastAsia"/>
        </w:rPr>
        <w:t>，宗教供应者向世俗统治者出售背书/合法化，统治者以世俗让步（金钱、土地、免税权、政治权力）支付。宗教改革之前，天主教会在两个市场中都享有垄断。宗教改革引入了在两个市场中提供更低价格的竞争者（新教教会）。</w:t>
      </w:r>
    </w:p>
    <w:p w14:paraId="57F2C522">
      <w:pPr>
        <w:rPr>
          <w:rFonts w:hint="default" w:ascii="Times New Roman Regular" w:hAnsi="Times New Roman Regular" w:cs="Times New Roman Regular" w:eastAsiaTheme="minorEastAsia"/>
        </w:rPr>
      </w:pPr>
    </w:p>
    <w:p w14:paraId="2103FD0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Predictions. The framework generates several qualitative predictions: (1) The price of salvation falls, especially for consumers purchasing from the entrant. (2) The price of legitimacy falls unambiguously for secular rulers, through three channels: the entrant questions the incumbent</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theology (reducing its legitimating power), the entrant attracts believers away (reducing the value of the incumbent</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endorsement), and rulers can play providers against each other (standard competition logic) (p. 2049). (3) Resources shift from religious to secular control. (4) Within the secular sector, resources shift toward uses favored by empowered rulers.</w:t>
      </w:r>
    </w:p>
    <w:p w14:paraId="469E57A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预测。 该框架产生几项定性预测：(1) 救赎价格下降，特别是对从新进入者购买的消费者。(2) 合法性价格对世俗统治者明确下降，通过三个渠道：新进入者质疑在位者的神学（减少其合法化能力），新进入者吸引信徒离开（减少在位者背书的价值），统治者可以让供应者相互竞争（标准竞争逻辑）（第2049页）。(3) 资源从宗教控制转向世俗控制。(4) 在世俗部门内部，资源转向权力增强的统治者偏好的用途。</w:t>
      </w:r>
    </w:p>
    <w:p w14:paraId="14648187">
      <w:pPr>
        <w:rPr>
          <w:rFonts w:hint="default" w:ascii="Times New Roman Regular" w:hAnsi="Times New Roman Regular" w:cs="Times New Roman Regular" w:eastAsiaTheme="minorEastAsia"/>
        </w:rPr>
      </w:pPr>
    </w:p>
    <w:p w14:paraId="1B36D42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Assessment of Strengths. The framework</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strength lies in its synthesis of two previously separate literatures — the economics of religion (market for salvation) and the political economy of religion (political legitimacy). The prediction that resources shift not just from Catholic to Protestant uses but from religious to secular uses specifically depends on the legitimacy market; the market for salvation alone would predict only a redistribution of believers and resources across religious denominations. This is a genuine and important theoretical contribution.</w:t>
      </w:r>
    </w:p>
    <w:p w14:paraId="15BEFFC3">
      <w:pPr>
        <w:keepNext w:val="0"/>
        <w:keepLines w:val="0"/>
        <w:widowControl w:val="0"/>
        <w:suppressLineNumbers w:val="0"/>
        <w:spacing w:before="0" w:beforeAutospacing="0" w:after="0" w:afterAutospacing="0"/>
        <w:ind w:left="0" w:right="0"/>
        <w:jc w:val="both"/>
        <w:rPr>
          <w:rFonts w:hint="default" w:ascii="Times New Roman Regular" w:hAnsi="Times New Roman Regular" w:eastAsia="宋体" w:cs="Times New Roman Regular"/>
          <w:kern w:val="2"/>
          <w:sz w:val="21"/>
          <w:szCs w:val="21"/>
        </w:rPr>
      </w:pPr>
      <w:r>
        <w:rPr>
          <w:rFonts w:hint="eastAsia" w:ascii="宋体" w:hAnsi="宋体" w:eastAsia="宋体" w:cs="宋体"/>
          <w:kern w:val="2"/>
          <w:sz w:val="21"/>
          <w:szCs w:val="21"/>
          <w:lang w:val="en-US" w:eastAsia="zh-CN" w:bidi="ar"/>
        </w:rPr>
        <w:t>优势评估。</w:t>
      </w:r>
      <w:r>
        <w:rPr>
          <w:rFonts w:hint="default" w:ascii="Times New Roman Regular" w:hAnsi="Times New Roman Regular" w:eastAsia="宋体" w:cs="Times New Roman Regular"/>
          <w:kern w:val="2"/>
          <w:sz w:val="21"/>
          <w:szCs w:val="21"/>
          <w:lang w:val="en-US" w:eastAsia="zh-CN" w:bidi="ar"/>
        </w:rPr>
        <w:t xml:space="preserve"> </w:t>
      </w:r>
      <w:r>
        <w:rPr>
          <w:rFonts w:hint="eastAsia" w:ascii="宋体" w:hAnsi="宋体" w:eastAsia="宋体" w:cs="宋体"/>
          <w:kern w:val="2"/>
          <w:sz w:val="21"/>
          <w:szCs w:val="21"/>
          <w:lang w:val="en-US" w:eastAsia="zh-CN" w:bidi="ar"/>
        </w:rPr>
        <w:t>该框架的优势在于综合了两个此前分离的文献</w:t>
      </w:r>
      <w:r>
        <w:rPr>
          <w:rFonts w:hint="default" w:ascii="Times New Roman Regular" w:hAnsi="Times New Roman Regular" w:eastAsia="Times New Roman Regular" w:cs="Times New Roman Regular"/>
          <w:kern w:val="2"/>
          <w:sz w:val="21"/>
          <w:szCs w:val="21"/>
          <w:lang w:val="en-US" w:eastAsia="zh-CN" w:bidi="ar"/>
        </w:rPr>
        <w:t>——</w:t>
      </w:r>
      <w:r>
        <w:rPr>
          <w:rFonts w:hint="eastAsia" w:ascii="宋体" w:hAnsi="宋体" w:eastAsia="宋体" w:cs="宋体"/>
          <w:kern w:val="2"/>
          <w:sz w:val="21"/>
          <w:szCs w:val="21"/>
          <w:lang w:val="en-US" w:eastAsia="zh-CN" w:bidi="ar"/>
        </w:rPr>
        <w:t>宗教经济学（救赎市场）和宗教政治经济学（政治合法性）。资源不仅从天主教用途转向新教用途，而且从宗教用途转向世俗用途的预测，特别依赖于合法性市场；仅凭救赎市场只能预测信徒和资源在宗教教派之间的重新分配。这是一项真正的、重要的理论贡献。</w:t>
      </w:r>
    </w:p>
    <w:p w14:paraId="71813DDD">
      <w:pPr>
        <w:rPr>
          <w:rFonts w:hint="default" w:ascii="Times New Roman Regular" w:hAnsi="Times New Roman Regular" w:cs="Times New Roman Regular" w:eastAsiaTheme="minorEastAsia"/>
        </w:rPr>
      </w:pPr>
    </w:p>
    <w:p w14:paraId="7F0829A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Assessment of Weaknesses.</w:t>
      </w:r>
    </w:p>
    <w:p w14:paraId="1BEF91D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 Absence of Formal Bargaining Structure. The framework does not specify the bargaining protocol between secular rulers and religious providers. In a formal model, the outcome would depend critically on the bargaining structure — for example, whether the interaction is best modeled as Bertrand competition (providers compete on price, driving the price toward marginal cost), Nash bargaining (surplus is split according to relative bargaining power), or a take-it-or-leave-it offer game (one party makes a proposal). Each structure implies different equilibrium prices and division of surplus. The author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narrative is most consistent with a Nash bargaining framework in which the ruler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outside option improves with the entry of a competitor, but this is never formalized. A Bertrand model would predict the price falling to marginal cost — implying that Protestant theologians should have immediately conceded all resources to lords — which contradicts the historical evidence of gradual concessions (p. 2057). This suggests the </w:t>
      </w:r>
      <w:r>
        <w:rPr>
          <w:rFonts w:hint="default" w:ascii="Times New Roman Regular" w:hAnsi="Times New Roman Regular" w:cs="Times New Roman Regular"/>
          <w:lang w:val="en-US"/>
        </w:rPr>
        <w:t>“market”</w:t>
      </w:r>
      <w:r>
        <w:rPr>
          <w:rFonts w:hint="default" w:ascii="Times New Roman Regular" w:hAnsi="Times New Roman Regular" w:cs="Times New Roman Regular" w:eastAsiaTheme="minorEastAsia"/>
        </w:rPr>
        <w:t xml:space="preserve"> metaphor may be misleading; a bilateral bargaining model with incomplete information might be more appropriate.</w:t>
      </w:r>
    </w:p>
    <w:p w14:paraId="3DEED5F4">
      <w:pPr>
        <w:keepNext w:val="0"/>
        <w:keepLines w:val="0"/>
        <w:widowControl w:val="0"/>
        <w:suppressLineNumbers w:val="0"/>
        <w:spacing w:before="0" w:beforeAutospacing="0" w:after="0" w:afterAutospacing="0"/>
        <w:ind w:left="0" w:right="0"/>
        <w:jc w:val="both"/>
        <w:rPr>
          <w:rFonts w:hint="default" w:ascii="Times New Roman Regular" w:hAnsi="Times New Roman Regular" w:eastAsia="宋体" w:cs="Times New Roman Regular"/>
          <w:kern w:val="2"/>
          <w:sz w:val="21"/>
          <w:szCs w:val="21"/>
        </w:rPr>
      </w:pPr>
      <w:r>
        <w:rPr>
          <w:rFonts w:hint="default" w:ascii="Times New Roman Regular" w:hAnsi="Times New Roman Regular" w:eastAsia="宋体" w:cs="Times New Roman Regular"/>
          <w:kern w:val="2"/>
          <w:sz w:val="21"/>
          <w:szCs w:val="21"/>
          <w:lang w:val="en-US" w:eastAsia="zh-CN" w:bidi="ar"/>
        </w:rPr>
        <w:t xml:space="preserve">(a) </w:t>
      </w:r>
      <w:r>
        <w:rPr>
          <w:rFonts w:hint="eastAsia" w:ascii="宋体" w:hAnsi="宋体" w:eastAsia="宋体" w:cs="宋体"/>
          <w:kern w:val="2"/>
          <w:sz w:val="21"/>
          <w:szCs w:val="21"/>
          <w:lang w:val="en-US" w:eastAsia="zh-CN" w:bidi="ar"/>
        </w:rPr>
        <w:t>缺乏形式化讨价还价结构。 该框架未指明世俗统治者与宗教供应者之间的讨价还价协议。在形式化模型中，结果将关键取决于讨价还价结构</w:t>
      </w:r>
      <w:r>
        <w:rPr>
          <w:rFonts w:hint="default" w:ascii="Times New Roman Regular" w:hAnsi="Times New Roman Regular" w:eastAsia="Times New Roman Regular" w:cs="Times New Roman Regular"/>
          <w:kern w:val="2"/>
          <w:sz w:val="21"/>
          <w:szCs w:val="21"/>
          <w:lang w:val="en-US" w:eastAsia="zh-CN" w:bidi="ar"/>
        </w:rPr>
        <w:t>——</w:t>
      </w:r>
      <w:r>
        <w:rPr>
          <w:rFonts w:hint="eastAsia" w:ascii="宋体" w:hAnsi="宋体" w:eastAsia="宋体" w:cs="宋体"/>
          <w:kern w:val="2"/>
          <w:sz w:val="21"/>
          <w:szCs w:val="21"/>
          <w:lang w:val="en-US" w:eastAsia="zh-CN" w:bidi="ar"/>
        </w:rPr>
        <w:t>例如，互动是否最好被建模为伯特兰竞争（供应者在价格上竞争，将价格推向边际成本）、纳什讨价还价（剩余按相对讨价还价能力分割），还是</w:t>
      </w:r>
      <w:r>
        <w:rPr>
          <w:rFonts w:hint="default" w:ascii="Times New Roman Regular" w:hAnsi="Times New Roman Regular" w:eastAsia="Times New Roman Regular" w:cs="Times New Roman Regular"/>
          <w:kern w:val="2"/>
          <w:sz w:val="21"/>
          <w:szCs w:val="21"/>
          <w:lang w:val="en-US" w:eastAsia="zh-CN" w:bidi="ar"/>
        </w:rPr>
        <w:t>“要么接受要么走人”</w:t>
      </w:r>
      <w:r>
        <w:rPr>
          <w:rFonts w:hint="eastAsia" w:ascii="宋体" w:hAnsi="宋体" w:eastAsia="宋体" w:cs="宋体"/>
          <w:kern w:val="2"/>
          <w:sz w:val="21"/>
          <w:szCs w:val="21"/>
          <w:lang w:val="en-US" w:eastAsia="zh-CN" w:bidi="ar"/>
        </w:rPr>
        <w:t>的提议博弈（一方提出建议）。每种结构意味着不同的均衡价格和剩余分配。作者的叙述最符合纳什讨价还价框架，其中统治者的外部选项随竞争者的进入而改善，但从未被形式化。伯特兰模型将预测价格降至边际成本</w:t>
      </w:r>
      <w:r>
        <w:rPr>
          <w:rFonts w:hint="default" w:ascii="Times New Roman Regular" w:hAnsi="Times New Roman Regular" w:eastAsia="Times New Roman Regular" w:cs="Times New Roman Regular"/>
          <w:kern w:val="2"/>
          <w:sz w:val="21"/>
          <w:szCs w:val="21"/>
          <w:lang w:val="en-US" w:eastAsia="zh-CN" w:bidi="ar"/>
        </w:rPr>
        <w:t>——</w:t>
      </w:r>
      <w:r>
        <w:rPr>
          <w:rFonts w:hint="eastAsia" w:ascii="宋体" w:hAnsi="宋体" w:eastAsia="宋体" w:cs="宋体"/>
          <w:kern w:val="2"/>
          <w:sz w:val="21"/>
          <w:szCs w:val="21"/>
          <w:lang w:val="en-US" w:eastAsia="zh-CN" w:bidi="ar"/>
        </w:rPr>
        <w:t>意味着新教神学家应立即将所有资源让与领主</w:t>
      </w:r>
      <w:r>
        <w:rPr>
          <w:rFonts w:hint="default" w:ascii="Times New Roman Regular" w:hAnsi="Times New Roman Regular" w:eastAsia="Times New Roman Regular" w:cs="Times New Roman Regular"/>
          <w:kern w:val="2"/>
          <w:sz w:val="21"/>
          <w:szCs w:val="21"/>
          <w:lang w:val="en-US" w:eastAsia="zh-CN" w:bidi="ar"/>
        </w:rPr>
        <w:t>——</w:t>
      </w:r>
      <w:r>
        <w:rPr>
          <w:rFonts w:hint="eastAsia" w:ascii="宋体" w:hAnsi="宋体" w:eastAsia="宋体" w:cs="宋体"/>
          <w:kern w:val="2"/>
          <w:sz w:val="21"/>
          <w:szCs w:val="21"/>
          <w:lang w:val="en-US" w:eastAsia="zh-CN" w:bidi="ar"/>
        </w:rPr>
        <w:t>这与逐步让步的历史证据相矛盾（第</w:t>
      </w:r>
      <w:r>
        <w:rPr>
          <w:rFonts w:hint="default" w:ascii="Times New Roman Regular" w:hAnsi="Times New Roman Regular" w:eastAsia="Times New Roman Regular" w:cs="Times New Roman Regular"/>
          <w:kern w:val="2"/>
          <w:sz w:val="21"/>
          <w:szCs w:val="21"/>
          <w:lang w:val="en-US" w:eastAsia="zh-CN" w:bidi="ar"/>
        </w:rPr>
        <w:t>2057</w:t>
      </w:r>
      <w:r>
        <w:rPr>
          <w:rFonts w:hint="eastAsia" w:ascii="宋体" w:hAnsi="宋体" w:eastAsia="宋体" w:cs="宋体"/>
          <w:kern w:val="2"/>
          <w:sz w:val="21"/>
          <w:szCs w:val="21"/>
          <w:lang w:val="en-US" w:eastAsia="zh-CN" w:bidi="ar"/>
        </w:rPr>
        <w:t>页）。这暗示</w:t>
      </w:r>
      <w:r>
        <w:rPr>
          <w:rFonts w:hint="default" w:ascii="Times New Roman Regular" w:hAnsi="Times New Roman Regular" w:eastAsia="Times New Roman Regular" w:cs="Times New Roman Regular"/>
          <w:kern w:val="2"/>
          <w:sz w:val="21"/>
          <w:szCs w:val="21"/>
          <w:lang w:val="en-US" w:eastAsia="zh-CN" w:bidi="ar"/>
        </w:rPr>
        <w:t>“市场”</w:t>
      </w:r>
      <w:r>
        <w:rPr>
          <w:rFonts w:hint="eastAsia" w:ascii="宋体" w:hAnsi="宋体" w:eastAsia="宋体" w:cs="宋体"/>
          <w:kern w:val="2"/>
          <w:sz w:val="21"/>
          <w:szCs w:val="21"/>
          <w:lang w:val="en-US" w:eastAsia="zh-CN" w:bidi="ar"/>
        </w:rPr>
        <w:t>隐喻可能有误导性；具有不完全信息的双边讨价还价模型可能更为恰当。</w:t>
      </w:r>
    </w:p>
    <w:p w14:paraId="371845F6">
      <w:pPr>
        <w:rPr>
          <w:rFonts w:hint="default" w:ascii="Times New Roman Regular" w:hAnsi="Times New Roman Regular" w:cs="Times New Roman Regular" w:eastAsiaTheme="minorEastAsia"/>
        </w:rPr>
      </w:pPr>
    </w:p>
    <w:p w14:paraId="737153C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(b) Underspecification of Outside Options. The framework does not clearly specify what happens if no bargain is struck. Can a secular ruler govern without religious legitimation? The answer for early modern Europe is arguably </w:t>
      </w:r>
      <w:r>
        <w:rPr>
          <w:rFonts w:hint="default" w:ascii="Times New Roman Regular" w:hAnsi="Times New Roman Regular" w:cs="Times New Roman Regular"/>
          <w:lang w:val="en-US"/>
        </w:rPr>
        <w:t>“partially yes”</w:t>
      </w:r>
      <w:r>
        <w:rPr>
          <w:rFonts w:hint="default" w:ascii="Times New Roman Regular" w:hAnsi="Times New Roman Regular" w:cs="Times New Roman Regular" w:eastAsiaTheme="minorEastAsia"/>
        </w:rPr>
        <w:t xml:space="preserve"> — Rubin (2017, which the authors cite extensively) argues that European rulers were relatively less dependent on religious legitimation than rulers in the Islamic world. If ruler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outside option is already good (governing without religious endorsement is feasible), then the </w:t>
      </w:r>
      <w:r>
        <w:rPr>
          <w:rFonts w:hint="default" w:ascii="Times New Roman Regular" w:hAnsi="Times New Roman Regular" w:cs="Times New Roman Regular"/>
          <w:lang w:val="en-US"/>
        </w:rPr>
        <w:t>“price”</w:t>
      </w:r>
      <w:r>
        <w:rPr>
          <w:rFonts w:hint="default" w:ascii="Times New Roman Regular" w:hAnsi="Times New Roman Regular" w:cs="Times New Roman Regular" w:eastAsiaTheme="minorEastAsia"/>
        </w:rPr>
        <w:t xml:space="preserve"> of legitimacy was already low before the Reformation, and the competitive shock may have had smaller effects than the framework implies. Conversely, if religious legitimation was genuinely essential, the framework predicts a larger effect — but then one must explain why Protestant rulers who broke with Rome (before Protestant legitimation was fully established) did not suffer a legitimacy crisis. The framework is silent on this point.</w:t>
      </w:r>
    </w:p>
    <w:p w14:paraId="7A9E27E5">
      <w:pPr>
        <w:keepNext w:val="0"/>
        <w:keepLines w:val="0"/>
        <w:widowControl w:val="0"/>
        <w:suppressLineNumbers w:val="0"/>
        <w:spacing w:before="0" w:beforeAutospacing="0" w:after="0" w:afterAutospacing="0"/>
        <w:ind w:left="0" w:right="0"/>
        <w:jc w:val="both"/>
        <w:rPr>
          <w:rFonts w:hint="default" w:ascii="Times New Roman Regular" w:hAnsi="Times New Roman Regular" w:eastAsia="宋体" w:cs="Times New Roman Regular"/>
          <w:kern w:val="2"/>
          <w:sz w:val="21"/>
          <w:szCs w:val="21"/>
        </w:rPr>
      </w:pPr>
      <w:r>
        <w:rPr>
          <w:rFonts w:hint="default" w:ascii="Times New Roman Regular" w:hAnsi="Times New Roman Regular" w:eastAsia="宋体" w:cs="Times New Roman Regular"/>
          <w:kern w:val="2"/>
          <w:sz w:val="21"/>
          <w:szCs w:val="21"/>
          <w:lang w:val="en-US" w:eastAsia="zh-CN" w:bidi="ar"/>
        </w:rPr>
        <w:t xml:space="preserve">(b) </w:t>
      </w:r>
      <w:r>
        <w:rPr>
          <w:rFonts w:hint="eastAsia" w:ascii="宋体" w:hAnsi="宋体" w:eastAsia="宋体" w:cs="宋体"/>
          <w:kern w:val="2"/>
          <w:sz w:val="21"/>
          <w:szCs w:val="21"/>
          <w:lang w:val="en-US" w:eastAsia="zh-CN" w:bidi="ar"/>
        </w:rPr>
        <w:t>外部选项界定不足。 该框架未清楚指明如果没有达成协议会发生什么。世俗统治者能否在没有宗教合法化的情况下治理？对于近代早期欧洲，答案可以说是</w:t>
      </w:r>
      <w:r>
        <w:rPr>
          <w:rFonts w:hint="default" w:ascii="Times New Roman Regular" w:hAnsi="Times New Roman Regular" w:eastAsia="Times New Roman Regular" w:cs="Times New Roman Regular"/>
          <w:kern w:val="2"/>
          <w:sz w:val="21"/>
          <w:szCs w:val="21"/>
          <w:lang w:val="en-US" w:eastAsia="zh-CN" w:bidi="ar"/>
        </w:rPr>
        <w:t>“部分可以”——Rubin (2017</w:t>
      </w:r>
      <w:r>
        <w:rPr>
          <w:rFonts w:hint="eastAsia" w:ascii="宋体" w:hAnsi="宋体" w:eastAsia="宋体" w:cs="宋体"/>
          <w:kern w:val="2"/>
          <w:sz w:val="21"/>
          <w:szCs w:val="21"/>
          <w:lang w:val="en-US" w:eastAsia="zh-CN" w:bidi="ar"/>
        </w:rPr>
        <w:t>，作者大量引用</w:t>
      </w:r>
      <w:r>
        <w:rPr>
          <w:rFonts w:hint="default" w:ascii="Times New Roman Regular" w:hAnsi="Times New Roman Regular" w:eastAsia="Times New Roman Regular" w:cs="Times New Roman Regular"/>
          <w:kern w:val="2"/>
          <w:sz w:val="21"/>
          <w:szCs w:val="21"/>
          <w:lang w:val="en-US" w:eastAsia="zh-CN" w:bidi="ar"/>
        </w:rPr>
        <w:t>)</w:t>
      </w:r>
      <w:r>
        <w:rPr>
          <w:rFonts w:hint="eastAsia" w:ascii="宋体" w:hAnsi="宋体" w:eastAsia="宋体" w:cs="宋体"/>
          <w:kern w:val="2"/>
          <w:sz w:val="21"/>
          <w:szCs w:val="21"/>
          <w:lang w:val="en-US" w:eastAsia="zh-CN" w:bidi="ar"/>
        </w:rPr>
        <w:t>论证欧洲统治者对宗教合法化的依赖相对低于伊斯兰世界的统治者。如果统治者的外部选项已经很好（在没有宗教背书的情况下治理是可行的），那么宗教改革之前合法性的</w:t>
      </w:r>
      <w:r>
        <w:rPr>
          <w:rFonts w:hint="default" w:ascii="Times New Roman Regular" w:hAnsi="Times New Roman Regular" w:eastAsia="Times New Roman Regular" w:cs="Times New Roman Regular"/>
          <w:kern w:val="2"/>
          <w:sz w:val="21"/>
          <w:szCs w:val="21"/>
          <w:lang w:val="en-US" w:eastAsia="zh-CN" w:bidi="ar"/>
        </w:rPr>
        <w:t>“价格”</w:t>
      </w:r>
      <w:r>
        <w:rPr>
          <w:rFonts w:hint="eastAsia" w:ascii="宋体" w:hAnsi="宋体" w:eastAsia="宋体" w:cs="宋体"/>
          <w:kern w:val="2"/>
          <w:sz w:val="21"/>
          <w:szCs w:val="21"/>
          <w:lang w:val="en-US" w:eastAsia="zh-CN" w:bidi="ar"/>
        </w:rPr>
        <w:t>已经较低，竞争冲击的效应可能小于框架所暗示的。反之，如果宗教合法化确实是必不可少的，框架预测更大的效应</w:t>
      </w:r>
      <w:r>
        <w:rPr>
          <w:rFonts w:hint="default" w:ascii="Times New Roman Regular" w:hAnsi="Times New Roman Regular" w:eastAsia="Times New Roman Regular" w:cs="Times New Roman Regular"/>
          <w:kern w:val="2"/>
          <w:sz w:val="21"/>
          <w:szCs w:val="21"/>
          <w:lang w:val="en-US" w:eastAsia="zh-CN" w:bidi="ar"/>
        </w:rPr>
        <w:t>——</w:t>
      </w:r>
      <w:r>
        <w:rPr>
          <w:rFonts w:hint="eastAsia" w:ascii="宋体" w:hAnsi="宋体" w:eastAsia="宋体" w:cs="宋体"/>
          <w:kern w:val="2"/>
          <w:sz w:val="21"/>
          <w:szCs w:val="21"/>
          <w:lang w:val="en-US" w:eastAsia="zh-CN" w:bidi="ar"/>
        </w:rPr>
        <w:t>但随后必须解释为什么与罗马决裂的新教统治者（在新教合法化完全建立之前）没有遭受合法性危机。框架对此点保持沉默。</w:t>
      </w:r>
    </w:p>
    <w:p w14:paraId="76FC215E">
      <w:pPr>
        <w:rPr>
          <w:rFonts w:hint="default" w:ascii="Times New Roman Regular" w:hAnsi="Times New Roman Regular" w:cs="Times New Roman Regular" w:eastAsiaTheme="minorEastAsia"/>
        </w:rPr>
      </w:pPr>
    </w:p>
    <w:p w14:paraId="245425B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(c) The </w:t>
      </w:r>
      <w:r>
        <w:rPr>
          <w:rFonts w:hint="default" w:ascii="Times New Roman Regular" w:hAnsi="Times New Roman Regular" w:cs="Times New Roman Regular"/>
          <w:lang w:val="en-US"/>
        </w:rPr>
        <w:t>“Price of Legitimacy”</w:t>
      </w:r>
      <w:r>
        <w:rPr>
          <w:rFonts w:hint="default" w:ascii="Times New Roman Regular" w:hAnsi="Times New Roman Regular" w:cs="Times New Roman Regular" w:eastAsiaTheme="minorEastAsia"/>
        </w:rPr>
        <w:t xml:space="preserve"> Is Not Directly Observable. The central theoretical object — the price secular rulers pay for religious legitimation — is never directly measured. The empirical evidence (monastery closure, occupational shift, construction shift) is interpreted as reflecting a change in this price, but could equally be explained by a simpler model in which the Reformation simply removed a constraint (Catholic monopoly control of church assets) without any change in the </w:t>
      </w:r>
      <w:r>
        <w:rPr>
          <w:rFonts w:hint="default" w:ascii="Times New Roman Regular" w:hAnsi="Times New Roman Regular" w:cs="Times New Roman Regular"/>
          <w:lang w:val="en-US"/>
        </w:rPr>
        <w:t>“price of legitimacy”</w:t>
      </w:r>
      <w:r>
        <w:rPr>
          <w:rFonts w:hint="default" w:ascii="Times New Roman Regular" w:hAnsi="Times New Roman Regular" w:cs="Times New Roman Regular" w:eastAsiaTheme="minorEastAsia"/>
        </w:rPr>
        <w:t xml:space="preserve"> as such. The confiscation of monastery wealth by secular lords may have reflected pure opportunism enabled by political chaos, rather than a renegotiated bargain in a </w:t>
      </w:r>
      <w:r>
        <w:rPr>
          <w:rFonts w:hint="default" w:ascii="Times New Roman Regular" w:hAnsi="Times New Roman Regular" w:cs="Times New Roman Regular"/>
          <w:lang w:val="en-US"/>
        </w:rPr>
        <w:t>“market for legitimacy.”</w:t>
      </w:r>
      <w:r>
        <w:rPr>
          <w:rFonts w:hint="default" w:ascii="Times New Roman Regular" w:hAnsi="Times New Roman Regular" w:cs="Times New Roman Regular" w:eastAsiaTheme="minorEastAsia"/>
        </w:rPr>
        <w:t xml:space="preserve"> To distinguish these interpretations empirically, one would need to observe the terms of the bargain itself — for example, the conditions under which Protestant theologians agreed to endorse secular seizure of church property, and how these conditions varied across territories with different degrees of religious competition.</w:t>
      </w:r>
    </w:p>
    <w:p w14:paraId="1976336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(c) </w:t>
      </w:r>
      <w:r>
        <w:rPr>
          <w:rFonts w:hint="default" w:ascii="Times New Roman Regular" w:hAnsi="Times New Roman Regular" w:cs="Times New Roman Regular"/>
          <w:lang w:val="en-US"/>
        </w:rPr>
        <w:t>“合法性价格”</w:t>
      </w:r>
      <w:r>
        <w:rPr>
          <w:rFonts w:hint="default" w:ascii="Times New Roman Regular" w:hAnsi="Times New Roman Regular" w:cs="Times New Roman Regular" w:eastAsiaTheme="minorEastAsia"/>
        </w:rPr>
        <w:t>不可直接观测。 核心理论对象——世俗统治者为宗教合法化支付的价格——从未被直接衡量。实证证据（修道院关闭、职业转移、建筑转移）被解读为反映了这一价格的变化，但同样可以被更简单的模型所解释，即宗教改革只是移除了一个约束（天主教对教会资产的垄断控制），而没有</w:t>
      </w:r>
      <w:r>
        <w:rPr>
          <w:rFonts w:hint="default" w:ascii="Times New Roman Regular" w:hAnsi="Times New Roman Regular" w:cs="Times New Roman Regular"/>
          <w:lang w:val="en-US"/>
        </w:rPr>
        <w:t>“合法性价格”</w:t>
      </w:r>
      <w:r>
        <w:rPr>
          <w:rFonts w:hint="default" w:ascii="Times New Roman Regular" w:hAnsi="Times New Roman Regular" w:cs="Times New Roman Regular" w:eastAsiaTheme="minorEastAsia"/>
        </w:rPr>
        <w:t>本身的任何变化。世俗领主对修道院财富的没收可能反映的是政治混乱所助长的纯粹机会主义，而非</w:t>
      </w:r>
      <w:r>
        <w:rPr>
          <w:rFonts w:hint="default" w:ascii="Times New Roman Regular" w:hAnsi="Times New Roman Regular" w:cs="Times New Roman Regular"/>
          <w:lang w:val="en-US"/>
        </w:rPr>
        <w:t>“合法性市场”</w:t>
      </w:r>
      <w:r>
        <w:rPr>
          <w:rFonts w:hint="default" w:ascii="Times New Roman Regular" w:hAnsi="Times New Roman Regular" w:cs="Times New Roman Regular" w:eastAsiaTheme="minorEastAsia"/>
        </w:rPr>
        <w:t>中重新谈判的交易。要从实证上区分这些解释，需要观察交易本身的条款——例如，新教神学家在何种条件下同意背书世俗对教会财产的占有，以及这些条件如何在宗教竞争程度不同的领地之间变化。</w:t>
      </w:r>
    </w:p>
    <w:p w14:paraId="38E3E043">
      <w:pPr>
        <w:rPr>
          <w:rFonts w:hint="default" w:ascii="Times New Roman Regular" w:hAnsi="Times New Roman Regular" w:cs="Times New Roman Regular" w:eastAsiaTheme="minorEastAsia"/>
        </w:rPr>
      </w:pPr>
    </w:p>
    <w:p w14:paraId="03BD6AF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(d) Static Framework for a Dynamic Process. The framework compares a pre-Reformation equilibrium with a post-Reformation equilibrium, but the historical evidence — including the author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own case studies — reveals a highly dynamic process of bargaining, conflict, and institutional change occurring over decades. The gradual nature of the wealth transfer (with Protestant theologians initially resisting lord</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seizure of resources and only gradually conceding) suggests that a dynamic model — perhaps involving reputation, learning, or repeated bargaining — would better capture the process. The lag between the Reformation (1517) and the consolidation of lord</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property rights (post-1555) is consistent with a dynamic bargaining process but is not predicted by the static framework.</w:t>
      </w:r>
    </w:p>
    <w:p w14:paraId="7582D70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(d) 动态过程的静态框架。 该框架比较了改革前均衡与改革后均衡，但历史证据——包括作者自己的案例研究——揭示了一个历经数十年的高度动态的讨价还价、冲突和制度变迁过程。财富转移的渐进性质（新教神学家最初抵制领主对资源的占有，仅逐步让步）暗示动态模型——可能涉及声誉、学习或重复讨价还价——能更好地捕捉这一过程。宗教改革（1517年）与领主产权巩固（1555年后）之间的时滞与动态讨价还价过程一致，但不能被静态框架所预测。</w:t>
      </w:r>
    </w:p>
    <w:p w14:paraId="7C265775">
      <w:pPr>
        <w:rPr>
          <w:rFonts w:hint="default" w:ascii="Times New Roman Regular" w:hAnsi="Times New Roman Regular" w:cs="Times New Roman Regular" w:eastAsiaTheme="minorEastAsia"/>
        </w:rPr>
      </w:pPr>
    </w:p>
    <w:p w14:paraId="6686F8D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(e) The Role of Violence and Coercion. The framework treats the interaction between rulers and religious providers as a market transaction, but many of the historical events described — including the Schmalkaldic War (1546–1547), the purge of Protestant jurists from the Reichskammergericht, and the formation of the Schmalkaldic League as a military alliance — involve violence and coercion rather than voluntary exchange. A model that incorporates the threat of force and the role of military capacity in determining the division of surplus between secular and religious elites (as in Tilly</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state formation framework) might more accurately capture the mechanism than a market metaphor.</w:t>
      </w:r>
    </w:p>
    <w:p w14:paraId="1522E83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(e) 暴力和强制的作用。 该框架将统治者与宗教供应者之间的互动视为市场交易，但所描述的许多历史事件——包括施马尔卡尔登战争（1546–1547年）、从帝国最高法院清除新教法学家，以及作为军事联盟的施马尔卡尔登联盟的形成——涉及暴力和强制而非自愿交换。一个纳入武力威胁和军事能力在决定世俗与宗教精英之间剩余分配中的作用的模型（如蒂利的国家形成框架）可能比市场隐喻更准确地捕捉该机制。</w:t>
      </w:r>
    </w:p>
    <w:p w14:paraId="676BBC8D">
      <w:pPr>
        <w:rPr>
          <w:rFonts w:hint="default" w:ascii="Times New Roman Regular" w:hAnsi="Times New Roman Regular" w:cs="Times New Roman Regular" w:eastAsiaTheme="minorEastAsia"/>
        </w:rPr>
      </w:pPr>
    </w:p>
    <w:p w14:paraId="03C424C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Overall Assessment. The conceptual framework is analytically productive — it generates hypotheses that are tested and largely confirmed by the data. Its main value is heuristic: it organizes the historical evidence and points to the importance of the political legitimacy market as a transmission mechanism. However, the informality of the framework means that it cannot generate precise quantitative predictions, cannot distinguish its predictions from those of alternative mechanisms, and may obscure important features of the historical process (such as the role of violence and the dynamic nature of bargaining). These are not fatal flaws — the empirical evidence is strong enough to be interesting regardless of the theoretical framework — but they do limit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theoretical contribution relative to what a more formal model could achieve.</w:t>
      </w:r>
    </w:p>
    <w:p w14:paraId="109B008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总体评估。 概念框架在分析上是富有成效的——它产生了经数据检验并大体得到证实的假设。其主要价值是启发性的：它组织了历史证据并指出政治合法性市场作为传导机制的重要性。然而，框架的非形式化意味着它无法产生精确的定量预测，无法将其预测与替代机制的预测区分开来，并且可能遮蔽历史过程的重要特征（如暴力的作用和讨价还价的动态性质）。这些并非致命缺陷——实证证据足够强大，无论理论框架如何都值得关注——但确实限制了本文相对于更形式化模型所能实现的理论贡献。</w:t>
      </w:r>
    </w:p>
    <w:p w14:paraId="64736D18">
      <w:pPr>
        <w:rPr>
          <w:rFonts w:hint="default" w:ascii="Times New Roman Regular" w:hAnsi="Times New Roman Regular" w:cs="Times New Roman Regular" w:eastAsiaTheme="minorEastAsia"/>
        </w:rPr>
      </w:pPr>
    </w:p>
    <w:p w14:paraId="57C9544F">
      <w:pPr>
        <w:rPr>
          <w:rFonts w:hint="default" w:ascii="Times New Roman Regular" w:hAnsi="Times New Roman Regular" w:cs="Times New Roman Regular" w:eastAsiaTheme="minorEastAsia"/>
        </w:rPr>
      </w:pPr>
    </w:p>
    <w:p w14:paraId="3AA6AD0E">
      <w:pPr>
        <w:rPr>
          <w:rFonts w:hint="default" w:ascii="Times New Roman Regular" w:hAnsi="Times New Roman Regular" w:cs="Times New Roman Regular" w:eastAsiaTheme="minorEastAsia"/>
          <w:b/>
          <w:bCs/>
          <w:color w:val="0000FF"/>
          <w:kern w:val="44"/>
          <w:sz w:val="48"/>
          <w:szCs w:val="48"/>
          <w:lang w:val="en-US" w:eastAsia="zh-CN" w:bidi="ar"/>
        </w:rPr>
      </w:pPr>
      <w:r>
        <w:rPr>
          <w:rFonts w:hint="default" w:ascii="Times New Roman Regular" w:hAnsi="Times New Roman Regular" w:cs="Times New Roman Regular" w:eastAsiaTheme="minorEastAsia"/>
          <w:b/>
          <w:bCs/>
          <w:color w:val="0000FF"/>
          <w:kern w:val="44"/>
          <w:sz w:val="48"/>
          <w:szCs w:val="48"/>
          <w:lang w:val="en-US" w:eastAsia="zh-CN" w:bidi="ar"/>
        </w:rPr>
        <w:t>Lecture Notes: Huang &amp; Kang (2022) — State Formation in Korea and Japan, 400–800 CE</w:t>
      </w:r>
    </w:p>
    <w:p w14:paraId="1222CC6B">
      <w:pPr>
        <w:rPr>
          <w:rFonts w:hint="default" w:ascii="Times New Roman Regular" w:hAnsi="Times New Roman Regular" w:cs="Times New Roman Regular" w:eastAsiaTheme="minorEastAsia"/>
        </w:rPr>
      </w:pPr>
    </w:p>
    <w:p w14:paraId="783CAE7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Literature Name / 文献名称</w:t>
      </w:r>
    </w:p>
    <w:p w14:paraId="74011800">
      <w:pPr>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lang w:val="en-US"/>
        </w:rPr>
        <w:t>“State Formation in Korea and Japan, 400–800 CE: Emulation and Learning, Not Bellicist Competition”</w:t>
      </w:r>
    </w:p>
    <w:p w14:paraId="656FD15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中文：《公元400–800年韩国与日本的国家形成：模仿与学习，而非战争竞争》</w:t>
      </w:r>
    </w:p>
    <w:p w14:paraId="011A095C">
      <w:pPr>
        <w:rPr>
          <w:rFonts w:hint="default" w:ascii="Times New Roman Regular" w:hAnsi="Times New Roman Regular" w:cs="Times New Roman Regular" w:eastAsiaTheme="minorEastAsia"/>
        </w:rPr>
      </w:pPr>
    </w:p>
    <w:p w14:paraId="269C58A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Author(s) / 作者</w:t>
      </w:r>
    </w:p>
    <w:p w14:paraId="199990D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Chin-Hao Huang /tʃɪn haʊ hwɑːŋ/ (Assistant Professor, Yale-NUS College, Singapore) and David C. Kang /deɪvɪd keɪ kæŋ/ (Maria Crutcher Professor of International Relations, University of Southern California, Los Angeles) (p. 31).</w:t>
      </w:r>
    </w:p>
    <w:p w14:paraId="65BACDC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黄劲豪 /tʃɪn haʊ hwɑːŋ/（新加坡耶鲁-国大学院助理教授）与姜大卫 David C. Kang /deɪvɪd keɪ kæŋ/（南加州大学国际关系学Maria Crutcher讲席教授）(p. 31)。</w:t>
      </w:r>
    </w:p>
    <w:p w14:paraId="57696619">
      <w:pPr>
        <w:rPr>
          <w:rFonts w:hint="default" w:ascii="Times New Roman Regular" w:hAnsi="Times New Roman Regular" w:cs="Times New Roman Regular" w:eastAsiaTheme="minorEastAsia"/>
        </w:rPr>
      </w:pPr>
    </w:p>
    <w:p w14:paraId="1C6509C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Published Year / 出版年份</w:t>
      </w:r>
    </w:p>
    <w:p w14:paraId="230726B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2022, International Organization, Volume 76, Winter, pp. 1–31. Published online by Cambridge University Press (p. 1).</w:t>
      </w:r>
    </w:p>
    <w:p w14:paraId="2B18A0F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2022年，发表于《国际组织》(International Organization)期刊，第76卷，冬季刊，第1–31页。由剑桥大学出版社在线出版 (p. 1)。</w:t>
      </w:r>
    </w:p>
    <w:p w14:paraId="29F5A870">
      <w:pPr>
        <w:rPr>
          <w:rFonts w:hint="default" w:ascii="Times New Roman Regular" w:hAnsi="Times New Roman Regular" w:cs="Times New Roman Regular" w:eastAsiaTheme="minorEastAsia"/>
        </w:rPr>
      </w:pPr>
    </w:p>
    <w:p w14:paraId="6FB19D9D">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DV: What is the main dependent variable? / 因变量：主要因变量是什么？</w:t>
      </w:r>
    </w:p>
    <w:p w14:paraId="1D080EB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main outcome the paper seeks to explain is state formation in Korea and Japan between roughly the fifth and ninth centuries CE—that is, the emergence of centralized, bureaucratically administered, territorially defined states with the capacity to tax populations, organize military force, and provide public goods. More specifically, the authors are not working with a single, tightly operationalized dependent variable in the quantitative sense. Rather, they treat state formation as a historical institutional outcome visible through a cluster of state-like features, above all the development of centralized bureaucracy, which they explicitly describe as the most central component of the state. They then illustrate this outcome through concrete institutional markers such as administrative hierarchies, national taxation, census-taking, legal codes, military organization, and public goods provision.</w:t>
      </w:r>
    </w:p>
    <w:p w14:paraId="1EC86F2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A more accurate and fair reading is therefore that the DV is not a single uniform indicator composed of six equally weighted parts, but a broader historical process of state-building whose most important institutional expression is bureaucratization. The paper does point to major milestones—such as Japan’s population census, centralized tax system, legal code, large bureaucracy, and provincial–district–village hierarchy, as well as Korea’s Chinese-style administrative codes, national taxation, military reorganization, and later civil service examination—but these are used as evidence of state formation, not as a formally standardized measurement scheme. </w:t>
      </w:r>
    </w:p>
    <w:p w14:paraId="47F0E0B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It is also worth being slightly more cautious than your original draft about treating the civil service examination as a fully symmetric element across both cases: Table 1 lists a Korean civil service examination in 788, but for Japan it refers more cautiously to a national Confucian academy in 671 and an attempt to create civil service exams, rather than presenting the Japanese case in exactly the same way.</w:t>
      </w:r>
    </w:p>
    <w:p w14:paraId="5FCD403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这篇文章试图解释的主要结果，是公元5至9世纪间韩国与日本的国家形成，也就是中央集权、官僚化、领土化国家的出现与巩固，这样的国家具备征税、组织军事力量和提供公共物品的能力。更准确地说，作者并不是在使用一个像量化研究那样被严格统一操作化的单一因变量；相反，他们把国家形成视为一个历史性的制度结果，通过一组</w:t>
      </w:r>
      <w:r>
        <w:rPr>
          <w:rFonts w:hint="default" w:ascii="Times New Roman Regular" w:hAnsi="Times New Roman Regular" w:cs="Times New Roman Regular"/>
          <w:lang w:val="en-US"/>
        </w:rPr>
        <w:t>“更像国家”</w:t>
      </w:r>
      <w:r>
        <w:rPr>
          <w:rFonts w:hint="default" w:ascii="Times New Roman Regular" w:hAnsi="Times New Roman Regular" w:cs="Times New Roman Regular" w:eastAsiaTheme="minorEastAsia"/>
        </w:rPr>
        <w:t>的制度特征来呈现，其中最核心的抓手是中央集权官僚制。作者明确把 bureaucracy 视为 state 最中心的组成部分，再辅以行政层级、全国税收、人口普查、法典、军事组织与公共物品供给等具体制度征象来展示这一结果。</w:t>
      </w:r>
    </w:p>
    <w:p w14:paraId="79626CE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因此，更准确也更 fair 的写法是：这个 DV 不是一个由六个等权部分组成的统一指标，而是一个更广义的历史国家建设过程，其中最重要的制度体现是官僚化。文章确实列举了许多关键制度节点——例如日本的人口普查、中央税制、法典、大型官僚系统以及省—郡—村层级结构；韩国的中国式行政法典、全国税收、军事重组和后来的科举——但这些更像是国家形成的证据，而不是一个严格标准化的测量方案。另一个需要比你原稿更谨慎的地方是：不要把 civil service examination 处理得仿佛韩日两案完全对称。表1对韩国写的是 788 年设立科举，但对日本写得更谨慎，是 671 年设立国学并</w:t>
      </w:r>
      <w:r>
        <w:rPr>
          <w:rFonts w:hint="default" w:ascii="Times New Roman Regular" w:hAnsi="Times New Roman Regular" w:cs="Times New Roman Regular"/>
          <w:lang w:val="en-US"/>
        </w:rPr>
        <w:t>“尝试建立科举”</w:t>
      </w:r>
      <w:r>
        <w:rPr>
          <w:rFonts w:hint="default" w:ascii="Times New Roman Regular" w:hAnsi="Times New Roman Regular" w:cs="Times New Roman Regular" w:eastAsiaTheme="minorEastAsia"/>
        </w:rPr>
        <w:t>，并非完全相同层级、完全成熟的制度。</w:t>
      </w:r>
    </w:p>
    <w:p w14:paraId="07B838B0">
      <w:pPr>
        <w:rPr>
          <w:rFonts w:hint="default" w:ascii="Times New Roman Regular" w:hAnsi="Times New Roman Regular" w:cs="Times New Roman Regular" w:eastAsiaTheme="minorEastAsia"/>
        </w:rPr>
      </w:pPr>
    </w:p>
    <w:p w14:paraId="2BC208EB">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IV: What is the main independent variable? / 自变量：主要自变量是什么？</w:t>
      </w:r>
    </w:p>
    <w:p w14:paraId="656DFF61">
      <w:pPr>
        <w:rPr>
          <w:rFonts w:hint="eastAsia" w:ascii="Times New Roman Regular" w:hAnsi="Times New Roman Regular" w:cs="Times New Roman Regular" w:eastAsiaTheme="minorEastAsia"/>
          <w:lang w:val="en-US" w:eastAsia="zh-CN"/>
        </w:rPr>
      </w:pPr>
      <w:r>
        <w:rPr>
          <w:rFonts w:hint="default" w:ascii="Times New Roman Regular" w:hAnsi="Times New Roman Regular" w:cs="Times New Roman Regular" w:eastAsiaTheme="minorEastAsia"/>
        </w:rPr>
        <w:t>The paper’s main explanatory factor is best understood not as a single independent variable in the narrow sense, but as a broader causal framework of non-bellicist diffusion under a hegemonic regional order. At its center is the claim that Korea and Japan formed states primarily through emulation and learning from China, rather than through bellicist interstate competition. The authors adopt the diffusion framework associated with Simmons, Dobbin, and Garrett and distinguish among coercion, competition, learning, and emulation. Their substantive argument is that, in historical East Asia during the period under study, coercion from China was absent, classic bellicist competition was weak or absent, and emulation—supported by learning—was the dominant mechanism of institutional borrowing.</w:t>
      </w:r>
      <w:r>
        <w:rPr>
          <w:rFonts w:hint="eastAsia" w:ascii="Times New Roman Regular" w:hAnsi="Times New Roman Regular" w:cs="Times New Roman Regular"/>
          <w:lang w:val="en-US" w:eastAsia="zh-CN"/>
        </w:rPr>
        <w:t xml:space="preserve"> </w:t>
      </w:r>
    </w:p>
    <w:p w14:paraId="14B54A6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这篇文章的主要解释因素，最好理解为一种更广义的因果解释框架，而不是狭义上的单一自变量。其核心主张是：韩国和日本的国家形成主要是通过对中国的模仿与学习实现的，而不是通过战争性国家间竞争。作者借用了 Simmons、Dobbin 和 Garrett 的扩散框架，把扩散区分为 coercion、competition、learning 和 emulation 四种机制；他们的实质性论证是，在本文所讨论的东亚历史时期，来自中国的强制并不存在，经典意义上的战争竞争也很弱或基本缺席，而emulation 在 learning 的支持下构成了最主要的制度扩散机制。</w:t>
      </w:r>
    </w:p>
    <w:p w14:paraId="3B0CC04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Emulation is defined as actors adopting policies or ideas deemed appropriate from a social-cultural perspective—an aspirational process driven by the logic of appropriateness, where peripheral elites copy the institutions and norms of a prestigious civilization they respect and admire (p. 6). Learning is defined as a more rational, cost–benefit-oriented process where actors assess the consequences of alternative policies and adopt those deemed more effective—a Bayesian updating process (p. 6). The domestic-level driver of emulation and learning was the competition between the court and the nobility, where courts strategically imported Sinic norms to consolidate power at the expense of the aristocratic class (pp. 24–26).</w:t>
      </w:r>
    </w:p>
    <w:p w14:paraId="1BC302D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模仿被定义为行为体从社会文化视角出发，采纳被视为</w:t>
      </w:r>
      <w:r>
        <w:rPr>
          <w:rFonts w:hint="default" w:ascii="Times New Roman Regular" w:hAnsi="Times New Roman Regular" w:cs="Times New Roman Regular"/>
          <w:lang w:val="en-US"/>
        </w:rPr>
        <w:t>“适当的”</w:t>
      </w:r>
      <w:r>
        <w:rPr>
          <w:rFonts w:hint="default" w:ascii="Times New Roman Regular" w:hAnsi="Times New Roman Regular" w:cs="Times New Roman Regular" w:eastAsiaTheme="minorEastAsia"/>
        </w:rPr>
        <w:t>政策或观念——这是一种由适当性逻辑驱动的、具有向往性质的过程，边缘精英复制他们所尊重和仰慕的高声望文明的制度和规范 (p. 6)。学习被定义为更理性的、基于成本-收益分析的过程，行为体评估不同政策的后果并采纳被认为更有效的那些——一种贝叶斯更新过程 (p. 6)。推动模仿与学习的国内层面驱动力是宫廷与贵族之间的竞争，宫廷战略性地引入中华规范以巩固权力、削弱贵族阶层 (pp. 24–26)。</w:t>
      </w:r>
    </w:p>
    <w:p w14:paraId="42A4BE49">
      <w:pPr>
        <w:rPr>
          <w:rFonts w:hint="default" w:ascii="Times New Roman Regular" w:hAnsi="Times New Roman Regular" w:cs="Times New Roman Regular" w:eastAsiaTheme="minorEastAsia"/>
        </w:rPr>
      </w:pPr>
    </w:p>
    <w:p w14:paraId="0869DF61">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 xml:space="preserve">Stateness: How is the </w:t>
      </w:r>
      <w:r>
        <w:rPr>
          <w:rFonts w:hint="default" w:ascii="Times New Roman Regular" w:hAnsi="Times New Roman Regular" w:cs="Times New Roman Regular"/>
          <w:highlight w:val="yellow"/>
          <w:lang w:val="en-US"/>
        </w:rPr>
        <w:t>“state”</w:t>
      </w:r>
      <w:r>
        <w:rPr>
          <w:rFonts w:hint="default" w:ascii="Times New Roman Regular" w:hAnsi="Times New Roman Regular" w:cs="Times New Roman Regular" w:eastAsiaTheme="minorEastAsia"/>
          <w:highlight w:val="yellow"/>
        </w:rPr>
        <w:t xml:space="preserve"> and/or </w:t>
      </w:r>
      <w:r>
        <w:rPr>
          <w:rFonts w:hint="default" w:ascii="Times New Roman Regular" w:hAnsi="Times New Roman Regular" w:cs="Times New Roman Regular"/>
          <w:highlight w:val="yellow"/>
          <w:lang w:val="en-US"/>
        </w:rPr>
        <w:t>“state building”</w:t>
      </w:r>
      <w:r>
        <w:rPr>
          <w:rFonts w:hint="default" w:ascii="Times New Roman Regular" w:hAnsi="Times New Roman Regular" w:cs="Times New Roman Regular" w:eastAsiaTheme="minorEastAsia"/>
          <w:highlight w:val="yellow"/>
        </w:rPr>
        <w:t xml:space="preserve"> conceptualized and measured? / 国家性：如何概念化和衡量</w:t>
      </w:r>
      <w:r>
        <w:rPr>
          <w:rFonts w:hint="default" w:ascii="Times New Roman Regular" w:hAnsi="Times New Roman Regular" w:cs="Times New Roman Regular"/>
          <w:highlight w:val="yellow"/>
          <w:lang w:val="en-US"/>
        </w:rPr>
        <w:t>“国家”</w:t>
      </w:r>
      <w:r>
        <w:rPr>
          <w:rFonts w:hint="default" w:ascii="Times New Roman Regular" w:hAnsi="Times New Roman Regular" w:cs="Times New Roman Regular" w:eastAsiaTheme="minorEastAsia"/>
          <w:highlight w:val="yellow"/>
        </w:rPr>
        <w:t>及</w:t>
      </w:r>
      <w:r>
        <w:rPr>
          <w:rFonts w:hint="default" w:ascii="Times New Roman Regular" w:hAnsi="Times New Roman Regular" w:cs="Times New Roman Regular"/>
          <w:highlight w:val="yellow"/>
          <w:lang w:val="en-US"/>
        </w:rPr>
        <w:t>“国家建设”</w:t>
      </w:r>
      <w:r>
        <w:rPr>
          <w:rFonts w:hint="default" w:ascii="Times New Roman Regular" w:hAnsi="Times New Roman Regular" w:cs="Times New Roman Regular" w:eastAsiaTheme="minorEastAsia"/>
          <w:highlight w:val="yellow"/>
        </w:rPr>
        <w:t>？</w:t>
      </w:r>
    </w:p>
    <w:p w14:paraId="55AD015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The authors conceptualize the state primarily through its administrative-bureaucratic dimension, while also incorporating coercion, taxation, territorial rule, and legality. They explicitly cite Giddens, Hui, Vu, and Centeno, and their synthesis is clear: the state is a political apparatus ruling over territory, backed by law and coercive capacity, but bureaucratization is treated as the central institutional core. This is one reason the article repeatedly foregrounds </w:t>
      </w:r>
      <w:r>
        <w:rPr>
          <w:rFonts w:hint="default" w:ascii="Times New Roman Regular" w:hAnsi="Times New Roman Regular" w:cs="Times New Roman Regular"/>
          <w:lang w:val="en-US"/>
        </w:rPr>
        <w:t>“centralized bureaucratic control,”</w:t>
      </w:r>
      <w:r>
        <w:rPr>
          <w:rFonts w:hint="default" w:ascii="Times New Roman Regular" w:hAnsi="Times New Roman Regular" w:cs="Times New Roman Regular" w:eastAsiaTheme="minorEastAsia"/>
        </w:rPr>
        <w:t xml:space="preserve"> </w:t>
      </w:r>
      <w:r>
        <w:rPr>
          <w:rFonts w:hint="default" w:ascii="Times New Roman Regular" w:hAnsi="Times New Roman Regular" w:cs="Times New Roman Regular"/>
          <w:lang w:val="en-US"/>
        </w:rPr>
        <w:t>“administrative capacity,”</w:t>
      </w:r>
      <w:r>
        <w:rPr>
          <w:rFonts w:hint="default" w:ascii="Times New Roman Regular" w:hAnsi="Times New Roman Regular" w:cs="Times New Roman Regular" w:eastAsiaTheme="minorEastAsia"/>
        </w:rPr>
        <w:t xml:space="preserve"> and the creation of bureaucratic hierarchies when describing state formation in Korea and Japan.</w:t>
      </w:r>
    </w:p>
    <w:p w14:paraId="79C7992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In terms of measurement, the article relies on historically sequenced qualitative indicators, not formal indices. The authors trace the gradual adoption of Chinese-style institutions and practices that they interpret as evidence of state-building: administrative codes; Chinese-style official titles; provinces and other territorial subdivisions; national taxation and census-taking; conscript militaries; Confucian academies for training officials; legal codes such as the Taika reforms and Taiho code; and, in some cases, civil service examinations or efforts to create them. They also treat the imitation of Chang’an in capitals such as Kyongju and Fujiwara-kyō as part of a broader pattern of systematic state-building mimicry. At the same time, the paper insists that these state-building elements were embedded in a wider process of Sinicization: state formation was </w:t>
      </w:r>
      <w:r>
        <w:rPr>
          <w:rFonts w:hint="default" w:ascii="Times New Roman Regular" w:hAnsi="Times New Roman Regular" w:cs="Times New Roman Regular"/>
          <w:lang w:val="en-US"/>
        </w:rPr>
        <w:t>“inseparable from”</w:t>
      </w:r>
      <w:r>
        <w:rPr>
          <w:rFonts w:hint="default" w:ascii="Times New Roman Regular" w:hAnsi="Times New Roman Regular" w:cs="Times New Roman Regular" w:eastAsiaTheme="minorEastAsia"/>
        </w:rPr>
        <w:t xml:space="preserve"> broader adoption of Chinese civilization, including writing, Buddhism, Confucianism, and other cultural forms. To be fair to the authors, however, this does not mean that every cultural import is itself measured as </w:t>
      </w:r>
      <w:r>
        <w:rPr>
          <w:rFonts w:hint="default" w:ascii="Times New Roman Regular" w:hAnsi="Times New Roman Regular" w:cs="Times New Roman Regular"/>
          <w:lang w:val="en-US"/>
        </w:rPr>
        <w:t>“state capacity.”</w:t>
      </w:r>
      <w:r>
        <w:rPr>
          <w:rFonts w:hint="default" w:ascii="Times New Roman Regular" w:hAnsi="Times New Roman Regular" w:cs="Times New Roman Regular" w:eastAsiaTheme="minorEastAsia"/>
        </w:rPr>
        <w:t xml:space="preserve"> Rather, the argument is that political institutions in Korea and Japan cannot be understood apart from the larger civilizational environment that made those institutions legitimate, prestigious, and thinkable.</w:t>
      </w:r>
    </w:p>
    <w:p w14:paraId="601DBFA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作者对</w:t>
      </w:r>
      <w:r>
        <w:rPr>
          <w:rFonts w:hint="default" w:ascii="Times New Roman Regular" w:hAnsi="Times New Roman Regular" w:cs="Times New Roman Regular"/>
          <w:lang w:val="en-US"/>
        </w:rPr>
        <w:t>“国家”</w:t>
      </w:r>
      <w:r>
        <w:rPr>
          <w:rFonts w:hint="default" w:ascii="Times New Roman Regular" w:hAnsi="Times New Roman Regular" w:cs="Times New Roman Regular" w:eastAsiaTheme="minorEastAsia"/>
        </w:rPr>
        <w:t>的概念化，首先是从其行政—官僚制维度出发，同时也纳入了强制、税收、领土统治和法律秩序。文章明确援引了 Giddens、Hui、Vu 和 Centeno，其综合后的核心很清楚：国家是一个统治特定领土的政治机器，以法律和强制能力为后盾，但官僚化是国家最中心的制度核心。这也是为什么文章在描述韩日国家形成时，一再突出</w:t>
      </w:r>
      <w:r>
        <w:rPr>
          <w:rFonts w:hint="default" w:ascii="Times New Roman Regular" w:hAnsi="Times New Roman Regular" w:cs="Times New Roman Regular"/>
          <w:lang w:val="en-US"/>
        </w:rPr>
        <w:t>“centralized bureaucratic control”“administrative capacity”</w:t>
      </w:r>
      <w:r>
        <w:rPr>
          <w:rFonts w:hint="default" w:ascii="Times New Roman Regular" w:hAnsi="Times New Roman Regular" w:cs="Times New Roman Regular" w:eastAsiaTheme="minorEastAsia"/>
        </w:rPr>
        <w:t>以及各种官僚层级结构的建立。</w:t>
      </w:r>
    </w:p>
    <w:p w14:paraId="7B61023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在</w:t>
      </w:r>
      <w:r>
        <w:rPr>
          <w:rFonts w:hint="default" w:ascii="Times New Roman Regular" w:hAnsi="Times New Roman Regular" w:cs="Times New Roman Regular"/>
          <w:lang w:val="en-US"/>
        </w:rPr>
        <w:t>“测量”</w:t>
      </w:r>
      <w:r>
        <w:rPr>
          <w:rFonts w:hint="default" w:ascii="Times New Roman Regular" w:hAnsi="Times New Roman Regular" w:cs="Times New Roman Regular" w:eastAsiaTheme="minorEastAsia"/>
        </w:rPr>
        <w:t>上，文章依赖的是按时间顺序展开的定性历史征象，而不是量化指数。作者追踪了一系列中国式制度与实践的逐步引入，并把它们解释为国家建设的证据：行政法典、中国式官职与官号、领土分区与行政层级、全国税收和人口普查、征兵制军队、培养官僚的儒学机构、如大化改新与大宝律令之类的法典，以及在某些情况下的科举或建立科举的尝试。作者还把庆州、藤原京等都城对长安的模仿，视为 broader state-building mimicry 的一部分。与此同时，文章又反复强调，这些国家建设要素嵌入在更广泛的Sinicization 进程之中：国家形成与文字、佛教、儒学等中国文明要素的引入</w:t>
      </w:r>
      <w:r>
        <w:rPr>
          <w:rFonts w:hint="default" w:ascii="Times New Roman Regular" w:hAnsi="Times New Roman Regular" w:cs="Times New Roman Regular"/>
          <w:lang w:val="en-US"/>
        </w:rPr>
        <w:t>“不可分离”</w:t>
      </w:r>
      <w:r>
        <w:rPr>
          <w:rFonts w:hint="default" w:ascii="Times New Roman Regular" w:hAnsi="Times New Roman Regular" w:cs="Times New Roman Regular" w:eastAsiaTheme="minorEastAsia"/>
        </w:rPr>
        <w:t>。但为了准确和 fair，也要补一句：这并不等于作者把一切文化借入都直接当作</w:t>
      </w:r>
      <w:r>
        <w:rPr>
          <w:rFonts w:hint="default" w:ascii="Times New Roman Regular" w:hAnsi="Times New Roman Regular" w:cs="Times New Roman Regular"/>
          <w:lang w:val="en-US"/>
        </w:rPr>
        <w:t>“国家能力”</w:t>
      </w:r>
      <w:r>
        <w:rPr>
          <w:rFonts w:hint="default" w:ascii="Times New Roman Regular" w:hAnsi="Times New Roman Regular" w:cs="Times New Roman Regular" w:eastAsiaTheme="minorEastAsia"/>
        </w:rPr>
        <w:t>的测量指标；更准确地说，作者认为韩国与日本的政治制度无法脱离那个让这些制度显得正当、有声望、并且可想象的更大文明环境来理解。</w:t>
      </w:r>
    </w:p>
    <w:p w14:paraId="2CFA60F9">
      <w:pPr>
        <w:rPr>
          <w:rFonts w:hint="default" w:ascii="Times New Roman Regular" w:hAnsi="Times New Roman Regular" w:cs="Times New Roman Regular" w:eastAsiaTheme="minorEastAsia"/>
        </w:rPr>
      </w:pPr>
    </w:p>
    <w:p w14:paraId="4D137D79">
      <w:pPr>
        <w:keepNext w:val="0"/>
        <w:keepLines w:val="0"/>
        <w:widowControl w:val="0"/>
        <w:suppressLineNumbers w:val="0"/>
        <w:spacing w:before="0" w:beforeAutospacing="0" w:after="0" w:afterAutospacing="0"/>
        <w:ind w:left="0" w:right="0"/>
        <w:jc w:val="both"/>
        <w:rPr>
          <w:rFonts w:hint="default" w:ascii="Times New Roman Regular" w:hAnsi="Times New Roman Regular" w:eastAsia="宋体" w:cs="Times New Roman Regular"/>
          <w:kern w:val="2"/>
          <w:sz w:val="21"/>
          <w:szCs w:val="21"/>
          <w:highlight w:val="lightGray"/>
        </w:rPr>
      </w:pPr>
      <w:r>
        <w:rPr>
          <w:rFonts w:hint="default" w:ascii="Times New Roman Regular" w:hAnsi="Times New Roman Regular" w:eastAsia="宋体" w:cs="Times New Roman Regular"/>
          <w:kern w:val="2"/>
          <w:sz w:val="21"/>
          <w:szCs w:val="21"/>
          <w:highlight w:val="lightGray"/>
          <w:lang w:val="en-US" w:eastAsia="zh-CN" w:bidi="ar"/>
        </w:rPr>
        <w:t>In terms of measurement, the authors use a historically descriptive approach rather than quantitative indices. They trace the presence or absence and the timing of adoption of specific institutional markers: administrative hierarchies (provinces, districts, villages), national census and taxation systems, Chinese-style legal and administrative codes (e.g., Japan’s Taika /ˈtaɪkə/ Reforms of 645, Taiho /ˈtaɪhoʊ/ Code of 702; Korea’s /kəˈriːə/ Chinese-style law codes of 373 and 520), civil service examination systems (Korea 788, Japan modeled on Tang /tɑːŋ/), national Confucian academies (Korea 682, Japan ca. 671), and national conscript militaries (Korea 570, Japan 685) (pp. 15, 20–21). The authors also use the physical construction of capital cities modeled on Chinese Chang'an /tʃɑːŋˈɑːn/ (Kyongju /ˈkjʌŋdʒuː/ in Korea, Nara /ˈnɑːrə/ and Kyoto /ˈkjoʊtoʊ/ in Japan) as evidence of institutional mimicry (p. 22).</w:t>
      </w:r>
    </w:p>
    <w:p w14:paraId="08DA2993">
      <w:pPr>
        <w:keepNext w:val="0"/>
        <w:keepLines w:val="0"/>
        <w:widowControl w:val="0"/>
        <w:suppressLineNumbers w:val="0"/>
        <w:spacing w:before="0" w:beforeAutospacing="0" w:after="0" w:afterAutospacing="0"/>
        <w:ind w:left="0" w:right="0"/>
        <w:jc w:val="both"/>
        <w:rPr>
          <w:rFonts w:hint="default" w:ascii="Times New Roman Regular" w:hAnsi="Times New Roman Regular" w:cs="Times New Roman Regular" w:eastAsiaTheme="minorEastAsia"/>
          <w:highlight w:val="lightGray"/>
        </w:rPr>
      </w:pPr>
      <w:r>
        <w:rPr>
          <w:rFonts w:hint="default" w:ascii="Times New Roman Regular" w:hAnsi="Times New Roman Regular" w:eastAsia="宋体" w:cs="Times New Roman Regular"/>
          <w:kern w:val="2"/>
          <w:sz w:val="21"/>
          <w:szCs w:val="21"/>
          <w:highlight w:val="lightGray"/>
          <w:lang w:val="en-US" w:eastAsia="zh-CN" w:bidi="ar"/>
        </w:rPr>
        <w:t>A notable feature is that the authors treat state formation not as an isolated political phenomenon but as inseparable from broader Sinicization—the comprehensive adoption of Chinese civilization including language, writing, religion (Buddhism), philosophy (Confucianism), social structure, art, architecture, and even clothing. This broader civilizational context is itself treated as constitutive of state formation, not merely its background (pp. 13–14).</w:t>
      </w:r>
    </w:p>
    <w:p w14:paraId="7222D9F1">
      <w:pPr>
        <w:rPr>
          <w:rFonts w:hint="default" w:ascii="Times New Roman Regular" w:hAnsi="Times New Roman Regular" w:cs="Times New Roman Regular" w:eastAsiaTheme="minorEastAsia"/>
          <w:highlight w:val="lightGray"/>
        </w:rPr>
      </w:pPr>
      <w:r>
        <w:rPr>
          <w:rFonts w:hint="default" w:ascii="Times New Roman Regular" w:hAnsi="Times New Roman Regular" w:cs="Times New Roman Regular" w:eastAsiaTheme="minorEastAsia"/>
          <w:highlight w:val="lightGray"/>
        </w:rPr>
        <w:t>在测量方面，作者采用历史描述性方法而非量化指标。他们追溯特定制度标志的有无及其采纳时间：行政层级（省、郡、村）、全国性人口普查与税收体系、中国式法律和行政法典（如日本645年的大化改新 /ˈtaɪkə/、702年的大宝律令 /ˈtaɪhoʊ/；韩国373年和520年的中国式法典）、科举考试制度（韩国788年，日本仿照唐制 /tɑːŋ/）、国立儒学院（韩国682年，日本约671年）以及国民征兵制军队（韩国570年，日本685年）(pp. 15, 20–21)。作者还以仿照中国长安 /tʃɑːŋˈɑːn/ 修建的都城——韩国庆州 /ˈkjʌŋdʒuː/、日本奈良 /ˈnɑːrə/ 和京都 /ˈkjoʊtoʊ/——作为制度模仿的证据 (p. 22)。</w:t>
      </w:r>
    </w:p>
    <w:p w14:paraId="2B7BE9C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highlight w:val="lightGray"/>
        </w:rPr>
        <w:t>一个显著特点是，作者不将国家形成视为孤立的政治现象，而是将其视为更广泛的中国化（华化）进程不可分割的一部分——包括对中国文明的全面采纳，涵盖语言、文字、宗教（佛教）、哲学（儒学）、社会结构、艺术、建筑乃至服饰。这一更广泛的文明脉络本身被视为国家形成的构成性要素，而非仅仅是其背景 (pp. 13–14)。</w:t>
      </w:r>
    </w:p>
    <w:p w14:paraId="40BDBDF4">
      <w:pPr>
        <w:rPr>
          <w:rFonts w:hint="default" w:ascii="Times New Roman Regular" w:hAnsi="Times New Roman Regular" w:cs="Times New Roman Regular" w:eastAsiaTheme="minorEastAsia"/>
        </w:rPr>
      </w:pPr>
    </w:p>
    <w:p w14:paraId="67560A84">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Argument: What is the core argument? / 论点：核心论点是什么？</w:t>
      </w:r>
    </w:p>
    <w:p w14:paraId="531A6FD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The core argument is that state formation in Korea and Japan between the fifth and ninth centuries CE was driven primarily by emulation and learning from Chinese civilization, not by bellicist interstate competition. This directly challenges the dominant </w:t>
      </w:r>
      <w:r>
        <w:rPr>
          <w:rFonts w:hint="default" w:ascii="Times New Roman Regular" w:hAnsi="Times New Roman Regular" w:cs="Times New Roman Regular"/>
          <w:lang w:val="en-US"/>
        </w:rPr>
        <w:t>“bellicist paradigm”</w:t>
      </w:r>
      <w:r>
        <w:rPr>
          <w:rFonts w:hint="default" w:ascii="Times New Roman Regular" w:hAnsi="Times New Roman Regular" w:cs="Times New Roman Regular" w:eastAsiaTheme="minorEastAsia"/>
        </w:rPr>
        <w:t xml:space="preserve"> in the social sciences, epitomized by Charles Tilly </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dictum that </w:t>
      </w:r>
      <w:r>
        <w:rPr>
          <w:rFonts w:hint="default" w:ascii="Times New Roman Regular" w:hAnsi="Times New Roman Regular" w:cs="Times New Roman Regular"/>
          <w:lang w:val="en-US"/>
        </w:rPr>
        <w:t>“war made the state, and the state made war”</w:t>
      </w:r>
      <w:r>
        <w:rPr>
          <w:rFonts w:hint="default" w:ascii="Times New Roman Regular" w:hAnsi="Times New Roman Regular" w:cs="Times New Roman Regular" w:eastAsiaTheme="minorEastAsia"/>
        </w:rPr>
        <w:t xml:space="preserve"> (p. 2). The authors contend that the bellicist thesis is not a universal deductive theory but rather an inductively derived, Europe-specific narrative that has been erroneously generalized (pp. 2–3).</w:t>
      </w:r>
    </w:p>
    <w:p w14:paraId="43B06C1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argument rests on three pillars. First, the authors demonstrate the near-total absence of interstate war in the East Asian region during the period of state formation. Between the fifth and eighth centuries, there was only one interstate war involving Korea, Japan, or China: the Korean War of Unification of 660–668 (p. 9). For centuries before and after, these polities did not compete for territory, prestige, or authority. Most critically, during the third to fifth centuries, when initial state formation began in both Korea and Japan, China itself was politically divided and posed no military threat whatsoever (p. 9). This directly undermines the causal chain posited by the bellicist thesis.</w:t>
      </w:r>
    </w:p>
    <w:p w14:paraId="3E2E941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Second, the authors present extensive empirical evidence of comprehensive emulation and learning from China. The overall scale of borrowing in both Korea and Japan was essentially total—encompassing not just political institutions but also religion, philosophy, language, writing, art, architecture, education, clothing, and social structure (pp. 13–18). The authors argue that such wholesale adoption implies emulation (aspirational imitation driven by the logic of appropriateness) rather than selective learning (rational cost–benefit assessment of individual elements) (pp. 7, 16).</w:t>
      </w:r>
    </w:p>
    <w:p w14:paraId="2714F42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Third, the authors identify a domestic political mechanism: the competition between the court and the nobility. Korean and Japanese courts strategically imported Chinese institutions—particularly Buddhism, Confucianism, and meritocratic civil service systems—to consolidate central authority at the expense of entrenched aristocratic classes. Chinese investiture and tribute relationships provided domestic legitimacy, and the institutional apparatus of the Chinese-style state enabled courts to channel noble ambitions through state institutions rather than against them (pp. 24–26).</w:t>
      </w:r>
    </w:p>
    <w:p w14:paraId="4B224AF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paper positions itself as offering not just a negation of the bellicist thesis but a positive theoretical alternative: that hegemonic systems characterized by civilizational influence and a logic of appropriateness can drive state formation through emulation and learning in the absence of war (pp. 2–3, 27).</w:t>
      </w:r>
    </w:p>
    <w:p w14:paraId="052234D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核心论点是：公元五至九世纪韩国和日本的国家形成主要是由对中国文明的模仿和学习驱动的，而非由战争性国家间竞争驱动。这直接挑战了社会科学中占主导地位的</w:t>
      </w:r>
      <w:r>
        <w:rPr>
          <w:rFonts w:hint="default" w:ascii="Times New Roman Regular" w:hAnsi="Times New Roman Regular" w:cs="Times New Roman Regular"/>
          <w:lang w:val="en-US"/>
        </w:rPr>
        <w:t>“战争主义范式”</w:t>
      </w:r>
      <w:r>
        <w:rPr>
          <w:rFonts w:hint="default" w:ascii="Times New Roman Regular" w:hAnsi="Times New Roman Regular" w:cs="Times New Roman Regular" w:eastAsiaTheme="minorEastAsia"/>
        </w:rPr>
        <w:t>，其典型表述是Charles Tilly 的名言：</w:t>
      </w:r>
      <w:r>
        <w:rPr>
          <w:rFonts w:hint="default" w:ascii="Times New Roman Regular" w:hAnsi="Times New Roman Regular" w:cs="Times New Roman Regular"/>
          <w:lang w:val="en-US"/>
        </w:rPr>
        <w:t>“战争造就了国家，国家制造了战争”</w:t>
      </w:r>
      <w:r>
        <w:rPr>
          <w:rFonts w:hint="default" w:ascii="Times New Roman Regular" w:hAnsi="Times New Roman Regular" w:cs="Times New Roman Regular" w:eastAsiaTheme="minorEastAsia"/>
        </w:rPr>
        <w:t xml:space="preserve"> (p. 2)。作者认为，战争主义论题并非普适性的演绎理论，而是一个归纳推导的、欧洲特定的叙事，被错误地推广为普遍规律 (pp. 2–3)。</w:t>
      </w:r>
    </w:p>
    <w:p w14:paraId="5A179E5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论证建立在三大支柱之上。第一，作者证明了在国家形成时期，东亚地区几乎完全不存在国家间战争。五至八世纪之间，涉及韩国、日本或中国的国家间战争仅有一场：660–668年的朝鲜统一战争 (p. 9)。在此前后的数个世纪中，这些政治体并未相互争夺领土、声望或权威。最为关键的是，在三至五世纪韩国和日本初始国家形成阶段，中国本身处于政治分裂状态，对外毫无军事威胁 (p. 9)。这直接瓦解了战争主义论题所假定的因果链条。</w:t>
      </w:r>
    </w:p>
    <w:p w14:paraId="70DDBAB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第二，作者提供了大量实证证据，证明了对中国全面的模仿与学习。韩国和日本的借鉴规模本质上是全方位的——不仅涵盖政治制度，还包括宗教、哲学、语言、文字、艺术、建筑、教育、服饰和社会结构 (pp. 13–18)。作者认为，如此大规模的全盘采纳暗示的是模仿（由适当性逻辑驱动的向往性模仿），而非选择性学习（对单个要素的理性成本-收益评估）(pp. 7, 16)。</w:t>
      </w:r>
    </w:p>
    <w:p w14:paraId="6DA997F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三，作者识别出一个国内政治机制：宫廷与贵族之间的竞争。韩国和日本的宫廷战略性地引入中国制度——特别是佛教、儒学和以才能为标准的科举体系——以巩固中央权威、削弱根深蒂固的贵族阶层。中国的册封和朝贡关系提供了国内合法性，中国式国家的制度机器使宫廷得以将贵族的野心引导至国家制度之内而非对抗国家 (pp. 24–26)。</w:t>
      </w:r>
    </w:p>
    <w:p w14:paraId="555273A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论文将自身定位为不仅是对战争主义论题的否定，更是提供了一个积极的理论替代方案：以文明影响力和适当性逻辑为特征的霸权体系，能够在没有战争的情况下通过模仿和学习驱动国家形成 (pp. 2–3, 27)。</w:t>
      </w:r>
    </w:p>
    <w:p w14:paraId="013E9209">
      <w:pPr>
        <w:rPr>
          <w:rFonts w:hint="default" w:ascii="Times New Roman Regular" w:hAnsi="Times New Roman Regular" w:cs="Times New Roman Regular" w:eastAsiaTheme="minorEastAsia"/>
        </w:rPr>
      </w:pPr>
    </w:p>
    <w:p w14:paraId="71C667B9">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Mechanisms: What mechanisms are proposed? / 机制：提出了哪些机制？</w:t>
      </w:r>
    </w:p>
    <w:p w14:paraId="5B0790D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paper proposes a layered causal story rather than a single mechanism. At the broadest level, the authors argue that East Asia was a hegemonic regional order centered on China, not a European-style multipolar system of recurrent existential threats. In this environment, diffusion moved from core to periphery under conditions in which war was relatively rare and China’s civilizational prestige remained powerful even when China itself was politically divided or militarily weak. This systemic background matters because it makes non-coercive borrowing intelligible: Korean and Japanese elites looked to China not mainly out of fear, but because Chinese civilization had become the authoritative regional model of political and cultural order.</w:t>
      </w:r>
    </w:p>
    <w:p w14:paraId="753183E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Within that broader order, the key diffusion mechanisms are emulation and learning, with the authors insisting that these are analytically distinct but empirically intertwined. Emulation refers to aspirational copying driven by a logic of appropriateness: actors adopt institutions, norms, and practices because they are seen as authoritative, legitimate, prestigious, or simply the proper way to organize rule. Learning refers more to a logic of consequences, in which actors assess what works better and borrow accordingly. The authors explicitly say that emulation, learning, and competition can coexist, and that it is probably impossible to definitively distinguish emulation from learning; nevertheless, they argue that the overall pattern in Korea and Japan points more strongly toward emulation. Their evidence rests on three probative criteria: the borrowing was highly comprehensive rather than selective; the justifications found in historical texts appealed more often to legitimacy and appropriateness than to explicit cost–benefit reasoning; and many borrowed practices involved direct mimicry rather than substantial localization. Examples include Chinese writing systems, Confucian political discourse, legal-administrative codes, taxation, capitals modeled on Chang’an, and repeated textual or institutional reproduction of Chinese forms.</w:t>
      </w:r>
    </w:p>
    <w:p w14:paraId="4075269E">
      <w:pPr>
        <w:rPr>
          <w:rFonts w:hint="default" w:ascii="Times New Roman Regular" w:hAnsi="Times New Roman Regular" w:cs="Times New Roman Regular" w:eastAsiaTheme="minorEastAsia"/>
        </w:rPr>
      </w:pPr>
    </w:p>
    <w:p w14:paraId="44A1FA9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At the domestic level, the paper adds a more proximate political mechanism: competition between the court and the nobility. Korean and Japanese courts imported Sinic norms and institutions partly because these enhanced royal prestige and domestic legitimacy, and partly because they helped the court centralize power and channel noble ambition into the institutions of the state. The authors describe this as a process in which nobles increasingly competed within the state—as officials, exam candidates, or scholar-elites—rather than against it. This domestic mechanism is important, but it should be stated somewhat cautiously: the paper clearly advances it, and ties it to legitimacy, prestige, Buddhism, Confucianism, and bureaucratic centralization, but it presents it more as a historically grounded extension of the argument than as a fully demonstrated micro-level mechanism in the stricter sense. Finally, the authors also point to a regionwide epistemic community—especially Buddhist monks and Confucian scholars, along with tribute missions and Japanese embassies to China—as one important transmission channel through which ideas, texts, techniques, and institutional models circulated.</w:t>
      </w:r>
    </w:p>
    <w:p w14:paraId="24BBCEE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这篇文章提出的不是单一机制，而是一套分层展开的因果叙事。在最宏观的层面，作者认为东亚是一个以中国为中心的霸权性区域秩序，而不是像欧洲那样由持续性生存威胁塑造的多极体系。在这种环境中，扩散是从 core 向 periphery 发生的；战争相对稀少，而中国的文明声望即便在中国本身政治分裂或军事虚弱时也依旧强大。这个体系背景之所以重要，是因为它让非强制性的制度借入变得可理解：韩日精英之所以面向中国，不主要是出于恐惧，而是因为中国文明已经成为该区域政治与文化秩序的权威范本。</w:t>
      </w:r>
    </w:p>
    <w:p w14:paraId="16B84D0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在这个更大的区域秩序之内，关键扩散机制是 emulation 与 learning。作者坚持认为二者在分析上可以区分，但在经验上高度交织。Emulation 指的是由适当性逻辑驱动的向往性模仿：行为者之所以采纳制度、规范与实践，是因为它们被视为有权威、正当、有声望，或者干脆就是</w:t>
      </w:r>
      <w:r>
        <w:rPr>
          <w:rFonts w:hint="default" w:ascii="Times New Roman Regular" w:hAnsi="Times New Roman Regular" w:cs="Times New Roman Regular"/>
          <w:lang w:val="en-US"/>
        </w:rPr>
        <w:t>“应该如此”</w:t>
      </w:r>
      <w:r>
        <w:rPr>
          <w:rFonts w:hint="default" w:ascii="Times New Roman Regular" w:hAnsi="Times New Roman Regular" w:cs="Times New Roman Regular" w:eastAsiaTheme="minorEastAsia"/>
        </w:rPr>
        <w:t>的统治方式。Learning 则更接近后果逻辑：行为者评估什么更有效，因此加以借鉴。作者明确说 emulation、learning 和 competition 可以共存，而且几乎不可能 definitively 区分前两者；但他们仍然主张，就整体模式而言，韩国和日本更符合 emulation。其证据依赖三条</w:t>
      </w:r>
      <w:r>
        <w:rPr>
          <w:rFonts w:hint="default" w:ascii="Times New Roman Regular" w:hAnsi="Times New Roman Regular" w:cs="Times New Roman Regular"/>
          <w:lang w:val="en-US"/>
        </w:rPr>
        <w:t>“试探性”</w:t>
      </w:r>
      <w:r>
        <w:rPr>
          <w:rFonts w:hint="default" w:ascii="Times New Roman Regular" w:hAnsi="Times New Roman Regular" w:cs="Times New Roman Regular" w:eastAsiaTheme="minorEastAsia"/>
        </w:rPr>
        <w:t>标准：借入规模高度全面而非选择性；历史文本中的理由更多诉诸 legitimacy / appropriateness，而不是明确的成本收益推理；以及许多借入体现为直接 mimicry，而不是大幅度本地化。相关例子包括中国文字系统、儒家政治话语、法律与行政法典、税制、模仿长安的都城，以及大量文本和制度形式对中国样式的再生产。</w:t>
      </w:r>
    </w:p>
    <w:p w14:paraId="2155EF7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在国内层面，文章又加上了一个更近端的政治机制：宫廷与贵族之间的竞争。韩国与日本的王室/宫廷之所以引入中国式规范与制度，一部分是因为这些东西能提升王权的 prestige 和 domestic legitimacy，另一部分则是因为它们有助于中央集权，把贵族的野心和竞争导入国家制度内部。作者把这一过程描述为：贵族越来越不是在国家之外与国家对抗，而是在国家之内作为官员、考试参与者或 scholar-elites 去竞争。这个国内机制很重要，但表述上宜略微保守：文章确实清楚提出了它，并把它与 legitimacy、prestige、佛教、儒学和官僚集中化联系起来；但它更像是作者用历史材料支持的一条延伸性解释，而不是在严格意义上被完全证明的微观机制。最后，作者还强调一个区域性的知识共同体——特别是佛教僧侣、儒者，以及朝贡使团和日本遣使——作为制度、文本、技术和思想传播的重要渠道。</w:t>
      </w:r>
    </w:p>
    <w:p w14:paraId="600F8B58">
      <w:pPr>
        <w:rPr>
          <w:rFonts w:hint="default" w:ascii="Times New Roman Regular" w:hAnsi="Times New Roman Regular" w:cs="Times New Roman Regular" w:eastAsiaTheme="minorEastAsia"/>
        </w:rPr>
      </w:pPr>
    </w:p>
    <w:p w14:paraId="195FE417">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Data: What data is used to test the argument? / 数据：用什么数据检验论点？</w:t>
      </w:r>
    </w:p>
    <w:p w14:paraId="299D0F9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paper relies entirely on qualitative historical evidence drawn from secondary historiographic sources. There is no original primary-source archival research, no quantitative dataset, and no formal statistical analysis. The data can be categorized as follows:</w:t>
      </w:r>
    </w:p>
    <w:p w14:paraId="18371BF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Geographic coverage and time period: The study covers the Korean peninsula (focusing on Silla /ˈsɪlə/, Paekche /ˈpɛktʃeɪ/, and Koguryŏ /koʊˈɡʊrjoʊ/) and Japan (focusing on the Yamato /ˈjɑːmɑːtoʊ/ state and its successors through the Nara /ˈnɑːrə/ and early Heian /ˈheɪɑːn/ periods), roughly from 400 to 800 CE, with contextual references extending earlier and later (pp. 1, 12–15).</w:t>
      </w:r>
    </w:p>
    <w:p w14:paraId="4861AE8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Unit of analysis: The primary unit of analysis is the polity (kingdom or state), though the argument also addresses sub-state elite actors (the court and the nobility) and the regional system as a whole.</w:t>
      </w:r>
    </w:p>
    <w:p w14:paraId="439981D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Measuring the DV (state formation): The authors trace institutional development through secondary historical accounts, documenting the timing of adoption of specific state institutions as listed in their summary timeline (Table 1, p. 15). Sources include standard East Asian history textbooks and monographs: Seth /sɛθ/ (2016) on Korean history, Holcombe /ˈhoʊlkoʊm/ (2011) on East Asian history, Ebrey /ˈɛbri/ and Walthall /ˈwɔːlθɔːl/ (2014) on pre-modern East Asia, de Bary /dəˈbɛri/ et al. (2001) on Japanese historical sources, Lee /liː/ and de Bary (1997) on Korean historical sources, Batten /ˈbætən/ (1986, 2003) on Japanese frontiers, and Sugimoto /suːɡɪˈmoʊtoʊ/ and Swain /sweɪn/ (1989) on Japanese science and culture.</w:t>
      </w:r>
    </w:p>
    <w:p w14:paraId="20EA810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Measuring the IV (emulation and learning vs. bellicist competition): The authors assess the mechanism of diffusion using three criteria: (1) overall scale of borrowing (total vs. selective); (2) justification given at the time (logic of appropriateness vs. consequences); and (3) whether there was mimicry or modification for each individual institution (pp. 7–8). Evidence for the absence of bellicist pressures is drawn from the historical record of interstate wars (or lack thereof), relying on secondary accounts of diplomatic and military history across the region.</w:t>
      </w:r>
    </w:p>
    <w:p w14:paraId="480F1E9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Measuring the absence of war: The authors document that between the fifth and eighth centuries there was only one interstate war involving any two of Korea, Japan, and China—the Korean War of Unification of 660–668 (p. 9)—and they present detailed evidence that even this war does not fit the bellicist causal logic (pp. 9–11).</w:t>
      </w:r>
    </w:p>
    <w:p w14:paraId="002290B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Primary historical sources cited indirectly: The paper quotes from or references the Samguk sagi /sɑːmɡʊk sɑːɡi/ (1145), Samguk yusa /sɑːmɡʊk juːsɑː/ (13th century), Kojiki /koʊˈdʒiːki/ (712), Nihon Shoki /niˈhɒn ˈʃoʊki/ (720), Prince Shotoku /ʃoʊˈtoʊkuː/</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Seventeen Injunctions (604), and the Taiho /ˈtaɪhoʊ/ and Yoro /ˈjoʊroʊ/ Codes, but always through secondary translations and interpretations (pp. 10, 17–23).</w:t>
      </w:r>
    </w:p>
    <w:p w14:paraId="3ED0C66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论文完全依赖从二手历史文献中提取的定性历史证据。没有原始一手档案研究，没有量化数据集，也没有正式的统计分析。数据可按以下类别归纳：</w:t>
      </w:r>
    </w:p>
    <w:p w14:paraId="6CB4938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地理覆盖范围与时间段： 研究覆盖朝鲜半岛（聚焦新罗 /ˈsɪlə/、百济 /ˈpɛktʃeɪ/ 和高句丽 /koʊˈɡʊrjoʊ/）和日本（聚焦大和 /ˈjɑːmɑːtoʊ/ 国及其后继政权，直至奈良 /ˈnɑːrə/ 和平安 /ˈheɪɑːn/ 时代初期），大约从公元400年至800年，上下文参考在时间上有所延伸 (pp. 1, 12–15)。</w:t>
      </w:r>
    </w:p>
    <w:p w14:paraId="67E125F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分析单位： 主要分析单位是政治体（王国或国家），但论证也涉及次国家层级的精英行为者（宫廷和贵族）以及整个区域体系。</w:t>
      </w:r>
    </w:p>
    <w:p w14:paraId="3C634E6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因变量（国家形成）的测量： 作者通过二手历史叙述追踪制度发展，记录特定国家制度被采纳的时间，如其总结时间线所示（表1，p. 15）。资料来源包括标准的东亚史教科书和专著：Seth /sɛθ/ (2016) 关于韩国史，Holcombe /ˈhoʊlkoʊm/ (2011) 关于东亚史，Ebrey /ˈɛbri/ 和Walthall /ˈwɔːlθɔːl/ (2014) 关于前现代东亚，de Bary /dəˈbɛri/ 等 (2001) 关于日本历史文献，Lee /liː/ 和de Bary (1997) 关于韩国历史文献，Batten /ˈbætən/ (1986, 2003) 关于日本边疆，以及Sugimoto /suːɡɪˈmoʊtoʊ/ 和Swain /sweɪn/ (1989) 关于日本科学与文化。</w:t>
      </w:r>
    </w:p>
    <w:p w14:paraId="3166B0D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自变量（模仿和学习 vs. 战争竞争）的测量： 作者使用三个标准评估扩散机制：(1) 借鉴的总体规模（全面 vs. 选择性）；(2) 当时给出的理由（适当性逻辑 vs. 后果逻辑）；(3) 对每个具体制度而言，是模仿还是修改适应 (pp. 7–8)。关于战争压力不存在的证据来自国家间战争（或其缺失）的历史记录，依据的是该区域外交和军事史的二手叙述。</w:t>
      </w:r>
    </w:p>
    <w:p w14:paraId="239C6EE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战争缺失的测量： 作者记录了五至八世纪之间涉及韩国、日本或中国之中任何两者的国家间战争仅有一场——660–668年的朝鲜统一战争 (p. 9)——并提供了详细证据表明即使这场战争也不符合战争主义的因果逻辑 (pp. 9–11)。</w:t>
      </w:r>
    </w:p>
    <w:p w14:paraId="5918DC4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间接引用的一手历史文献： 论文引用或提及了《三国史记》/sɑːmɡʊk sɑːɡi/ (1145)、《三国遗事》/sɑːmɡʊk juːsɑː/ (13世纪)、《古事记》/koʊˈdʒiːki/ (712)、《日本书纪》/niˈhɒn ˈʃoʊki/ (720)、圣德太子 /ʃoʊˈtoʊkuː/ 十七条宪法 (604) 以及大宝律令 /ˈtaɪhoʊ/ 和养老律令 /ˈjoʊroʊ/，但均通过二手翻译和解读引用 (pp. 10, 17–23)。</w:t>
      </w:r>
    </w:p>
    <w:p w14:paraId="12CD3A59">
      <w:pPr>
        <w:rPr>
          <w:rFonts w:hint="default" w:ascii="Times New Roman Regular" w:hAnsi="Times New Roman Regular" w:cs="Times New Roman Regular" w:eastAsiaTheme="minorEastAsia"/>
        </w:rPr>
      </w:pPr>
    </w:p>
    <w:p w14:paraId="10585BD9">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Methods: What methods are employed? / 方法：使用了什么方法？</w:t>
      </w:r>
    </w:p>
    <w:p w14:paraId="055C62C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paper employs qualitative comparative-historical analysis based on secondary historical scholarship, interpretive reading of texts, and historically ordered comparison. It does not use formal modeling, statistical analysis, original archival coding, or a quantitative cross-polity design. The authors assemble evidence from historiography on Korea, Japan, and East Asia more broadly, and use that material to build a structured argument against the universality of the bellicist thesis while advancing diffusion-based alternatives. The paper compares East Asia with Europe at the level of system type and historical pathway, and within East Asia it juxtaposes Korea and Japan as parallel cases of state formation under Chinese hegemonic influence. It also relies heavily on a chronological reconstruction of institutional adoption—summarized especially in Table 1—to show that state-building unfolded gradually, unevenly, and largely outside a context of interstate war.</w:t>
      </w:r>
    </w:p>
    <w:p w14:paraId="1F0A895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It is reasonable to say that the article contains process-tracing-like elements, because it reconstructs sequences of borrowing, institutional change, and justification over time, and uses those sequences to argue that emulation and learning fit the historical record better than bellicist competition. However, for the sake of accuracy and fairness, it is better not to label the paper simply as rigorous process tracing. The paper does not systematically stage explicit hoop tests, smoking-gun tests, or finely discriminating within-case tests between rival mechanisms in the stricter methodological sense. Rather, it is better described as an interpretive comparative-historical argument that combines chronological narrative, conceptual distinction, and anti-bellicist negative-case reasoning. A central part of the method is precisely to show what did not happen: the paper argues that the core bellicist expectations fail in East Asia because interstate war was nearly absent, the only major war did not line up temporally or causally with state-building, and the most state-like or most Sinicized polity did not straightforwardly behave as bellicist logic would predict.</w:t>
      </w:r>
    </w:p>
    <w:p w14:paraId="28BA988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这篇文章使用的是定性的比较历史分析，其基础是二手历史研究、对文本的解释性阅读，以及按时间顺序展开的历史比较。它没有使用形式模型、统计分析、原创档案编码，也没有构造量化的跨政治体比较设计。作者从韩国史、日本史以及更广义东亚史的史学研究中汇集材料，用这些材料一方面反驳 bellicist thesis 的普遍性，另一方面提出基于扩散的替代解释。文章在体系类型和历史路径层面把东亚与欧洲进行对照；在东亚内部，又把韩国和日本并置为在中国霸权性影响下形成国家的两个平行案例。它还非常依赖制度采纳的时间顺序重建——尤其体现在表1——以说明国家建设是渐进的、不均衡的，而且大体上发生在国家间战争缺失的环境中。</w:t>
      </w:r>
    </w:p>
    <w:p w14:paraId="18DABBA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如果要说得细一点，可以说这篇文章带有一些 process-tracing-like 的成分，因为它确实重建了制度借入、制度变化和正当化话语的时间序列，并据此主张 emulation 和 learning 比 bellicist competition 更符合历史记录。但为了准确和 fair，最好不要直接把这篇文章称为严格意义上的 process tracing。因为它并没有像严格方法论意义上的过程追踪那样，系统设置 hoop tests、smoking-gun tests，或对竞争性机制进行细密的 case-internal discrimination。更准确的说法是：它是一篇解释性的比较历史论证，把时间序列叙事、概念区分和反 bellicist 的</w:t>
      </w:r>
      <w:r>
        <w:rPr>
          <w:rFonts w:hint="default" w:ascii="Times New Roman Regular" w:hAnsi="Times New Roman Regular" w:cs="Times New Roman Regular"/>
          <w:lang w:val="en-US"/>
        </w:rPr>
        <w:t>“否定性论证”</w:t>
      </w:r>
      <w:r>
        <w:rPr>
          <w:rFonts w:hint="default" w:ascii="Times New Roman Regular" w:hAnsi="Times New Roman Regular" w:cs="Times New Roman Regular" w:eastAsiaTheme="minorEastAsia"/>
        </w:rPr>
        <w:t>结合在一起。其方法中的一个核心部分，恰恰是展示什么没有发生：文章试图证明，bellicist 的几个关键预期在东亚都不成立——国家间战争几乎缺席，唯一那场重要战争在时间和因果上都对不上国家建设，而且最</w:t>
      </w:r>
      <w:r>
        <w:rPr>
          <w:rFonts w:hint="default" w:ascii="Times New Roman Regular" w:hAnsi="Times New Roman Regular" w:cs="Times New Roman Regular"/>
          <w:lang w:val="en-US"/>
        </w:rPr>
        <w:t>“国家化”</w:t>
      </w:r>
      <w:r>
        <w:rPr>
          <w:rFonts w:hint="default" w:ascii="Times New Roman Regular" w:hAnsi="Times New Roman Regular" w:cs="Times New Roman Regular" w:eastAsiaTheme="minorEastAsia"/>
        </w:rPr>
        <w:t>或最中国化的 polity 也没有按 bellicist 逻辑那样直接表现。</w:t>
      </w:r>
    </w:p>
    <w:p w14:paraId="3F14B44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Assumptions for validity: Several assumptions must hold for this method to be persuasive. First, the historiographic consensus on which the authors rely must be accurate—since they conduct no original primary-source research, they are dependent on the interpretations of area-studies historians. Second, the three-part framework for distinguishing emulation from learning (scale, justification, mimicry vs. modification) must be accepted as a valid operationalization of analytically distinct concepts—an issue the authors themselves acknowledge is difficult (pp. 6–7). Third, the absence of evidence for bellicist pressures must be accepted as evidence of absence—a logical step that requires confidence in the completeness of the historical record. Fourth, the comparison with Europe must be accepted as analytically productive despite the enormous differences in geography, chronology, technology, and social structure.</w:t>
      </w:r>
    </w:p>
    <w:p w14:paraId="3A9BC769">
      <w:pPr>
        <w:keepNext w:val="0"/>
        <w:keepLines w:val="0"/>
        <w:widowControl w:val="0"/>
        <w:suppressLineNumbers w:val="0"/>
        <w:spacing w:before="0" w:beforeAutospacing="0" w:after="0" w:afterAutospacing="0"/>
        <w:ind w:left="0" w:right="0"/>
        <w:jc w:val="both"/>
        <w:rPr>
          <w:rFonts w:hint="default" w:ascii="Times New Roman Regular" w:hAnsi="Times New Roman Regular" w:eastAsia="宋体" w:cs="Times New Roman Regular"/>
          <w:kern w:val="2"/>
          <w:sz w:val="21"/>
          <w:szCs w:val="21"/>
        </w:rPr>
      </w:pPr>
      <w:r>
        <w:rPr>
          <w:rFonts w:hint="eastAsia" w:ascii="宋体" w:hAnsi="宋体" w:eastAsia="宋体" w:cs="宋体"/>
          <w:kern w:val="2"/>
          <w:sz w:val="21"/>
          <w:szCs w:val="21"/>
          <w:lang w:val="en-US" w:eastAsia="zh-CN" w:bidi="ar"/>
        </w:rPr>
        <w:t>方法有效性的前提假设：</w:t>
      </w:r>
      <w:r>
        <w:rPr>
          <w:rFonts w:hint="default" w:ascii="Times New Roman Regular" w:hAnsi="Times New Roman Regular" w:eastAsia="宋体" w:cs="Times New Roman Regular"/>
          <w:kern w:val="2"/>
          <w:sz w:val="21"/>
          <w:szCs w:val="21"/>
          <w:lang w:val="en-US" w:eastAsia="zh-CN" w:bidi="ar"/>
        </w:rPr>
        <w:t xml:space="preserve"> </w:t>
      </w:r>
      <w:r>
        <w:rPr>
          <w:rFonts w:hint="eastAsia" w:ascii="宋体" w:hAnsi="宋体" w:eastAsia="宋体" w:cs="宋体"/>
          <w:kern w:val="2"/>
          <w:sz w:val="21"/>
          <w:szCs w:val="21"/>
          <w:lang w:val="en-US" w:eastAsia="zh-CN" w:bidi="ar"/>
        </w:rPr>
        <w:t>若干假设必须成立，该方法才具有说服力。第一，作者所依赖的历史学界共识必须准确</w:t>
      </w:r>
      <w:r>
        <w:rPr>
          <w:rFonts w:hint="default" w:ascii="Times New Roman Regular" w:hAnsi="Times New Roman Regular" w:eastAsia="Times New Roman Regular" w:cs="Times New Roman Regular"/>
          <w:kern w:val="2"/>
          <w:sz w:val="21"/>
          <w:szCs w:val="21"/>
          <w:lang w:val="en-US" w:eastAsia="zh-CN" w:bidi="ar"/>
        </w:rPr>
        <w:t>——</w:t>
      </w:r>
      <w:r>
        <w:rPr>
          <w:rFonts w:hint="eastAsia" w:ascii="宋体" w:hAnsi="宋体" w:eastAsia="宋体" w:cs="宋体"/>
          <w:kern w:val="2"/>
          <w:sz w:val="21"/>
          <w:szCs w:val="21"/>
          <w:lang w:val="en-US" w:eastAsia="zh-CN" w:bidi="ar"/>
        </w:rPr>
        <w:t xml:space="preserve">由于他们未进行原始一手资料研究，完全依赖于区域研究历史学家的解读。第二，区分模仿与学习的三部分框架（规模、理由、模仿 </w:t>
      </w:r>
      <w:r>
        <w:rPr>
          <w:rFonts w:hint="default" w:ascii="Times New Roman Regular" w:hAnsi="Times New Roman Regular" w:eastAsia="Times New Roman Regular" w:cs="Times New Roman Regular"/>
          <w:kern w:val="2"/>
          <w:sz w:val="21"/>
          <w:szCs w:val="21"/>
          <w:lang w:val="en-US" w:eastAsia="zh-CN" w:bidi="ar"/>
        </w:rPr>
        <w:t xml:space="preserve">vs. </w:t>
      </w:r>
      <w:r>
        <w:rPr>
          <w:rFonts w:hint="eastAsia" w:ascii="宋体" w:hAnsi="宋体" w:eastAsia="宋体" w:cs="宋体"/>
          <w:kern w:val="2"/>
          <w:sz w:val="21"/>
          <w:szCs w:val="21"/>
          <w:lang w:val="en-US" w:eastAsia="zh-CN" w:bidi="ar"/>
        </w:rPr>
        <w:t>修改适应）必须被接受为对分析上可区分的概念的有效操作化</w:t>
      </w:r>
      <w:r>
        <w:rPr>
          <w:rFonts w:hint="default" w:ascii="Times New Roman Regular" w:hAnsi="Times New Roman Regular" w:eastAsia="Times New Roman Regular" w:cs="Times New Roman Regular"/>
          <w:kern w:val="2"/>
          <w:sz w:val="21"/>
          <w:szCs w:val="21"/>
          <w:lang w:val="en-US" w:eastAsia="zh-CN" w:bidi="ar"/>
        </w:rPr>
        <w:t>——</w:t>
      </w:r>
      <w:r>
        <w:rPr>
          <w:rFonts w:hint="eastAsia" w:ascii="宋体" w:hAnsi="宋体" w:eastAsia="宋体" w:cs="宋体"/>
          <w:kern w:val="2"/>
          <w:sz w:val="21"/>
          <w:szCs w:val="21"/>
          <w:lang w:val="en-US" w:eastAsia="zh-CN" w:bidi="ar"/>
        </w:rPr>
        <w:t xml:space="preserve">这是作者自己也承认困难的问题 </w:t>
      </w:r>
      <w:r>
        <w:rPr>
          <w:rFonts w:hint="default" w:ascii="Times New Roman Regular" w:hAnsi="Times New Roman Regular" w:eastAsia="Times New Roman Regular" w:cs="Times New Roman Regular"/>
          <w:kern w:val="2"/>
          <w:sz w:val="21"/>
          <w:szCs w:val="21"/>
          <w:lang w:val="en-US" w:eastAsia="zh-CN" w:bidi="ar"/>
        </w:rPr>
        <w:t>(pp. 6–7)</w:t>
      </w:r>
      <w:r>
        <w:rPr>
          <w:rFonts w:hint="eastAsia" w:ascii="宋体" w:hAnsi="宋体" w:eastAsia="宋体" w:cs="宋体"/>
          <w:kern w:val="2"/>
          <w:sz w:val="21"/>
          <w:szCs w:val="21"/>
          <w:lang w:val="en-US" w:eastAsia="zh-CN" w:bidi="ar"/>
        </w:rPr>
        <w:t>。第三，战争压力证据的缺失必须被接受为缺失的证据</w:t>
      </w:r>
      <w:r>
        <w:rPr>
          <w:rFonts w:hint="default" w:ascii="Times New Roman Regular" w:hAnsi="Times New Roman Regular" w:eastAsia="Times New Roman Regular" w:cs="Times New Roman Regular"/>
          <w:kern w:val="2"/>
          <w:sz w:val="21"/>
          <w:szCs w:val="21"/>
          <w:lang w:val="en-US" w:eastAsia="zh-CN" w:bidi="ar"/>
        </w:rPr>
        <w:t>——</w:t>
      </w:r>
      <w:r>
        <w:rPr>
          <w:rFonts w:hint="eastAsia" w:ascii="宋体" w:hAnsi="宋体" w:eastAsia="宋体" w:cs="宋体"/>
          <w:kern w:val="2"/>
          <w:sz w:val="21"/>
          <w:szCs w:val="21"/>
          <w:lang w:val="en-US" w:eastAsia="zh-CN" w:bidi="ar"/>
        </w:rPr>
        <w:t>这一逻辑步骤要求对历史记录的完整性有信心。第四，与欧洲的比较必须被接受为具有分析生产力的，尽管在地理、时间、技术和社会结构方面存在巨大差异。</w:t>
      </w:r>
    </w:p>
    <w:p w14:paraId="18562ABB">
      <w:pPr>
        <w:rPr>
          <w:rFonts w:hint="default" w:ascii="Times New Roman Regular" w:hAnsi="Times New Roman Regular" w:cs="Times New Roman Regular" w:eastAsiaTheme="minorEastAsia"/>
        </w:rPr>
      </w:pPr>
    </w:p>
    <w:p w14:paraId="1F0003CE">
      <w:pPr>
        <w:keepNext w:val="0"/>
        <w:keepLines w:val="0"/>
        <w:widowControl w:val="0"/>
        <w:suppressLineNumbers w:val="0"/>
        <w:spacing w:before="0" w:beforeAutospacing="0" w:after="0" w:afterAutospacing="0"/>
        <w:ind w:left="0" w:right="0"/>
        <w:jc w:val="both"/>
        <w:rPr>
          <w:rFonts w:hint="default" w:ascii="Times New Roman Regular" w:hAnsi="Times New Roman Regular" w:eastAsia="宋体" w:cs="Times New Roman Regular"/>
          <w:kern w:val="2"/>
          <w:sz w:val="21"/>
          <w:szCs w:val="21"/>
        </w:rPr>
      </w:pPr>
      <w:r>
        <w:rPr>
          <w:rFonts w:hint="default" w:ascii="Times New Roman Regular" w:hAnsi="Times New Roman Regular" w:eastAsia="宋体" w:cs="Times New Roman Regular"/>
          <w:kern w:val="2"/>
          <w:sz w:val="21"/>
          <w:szCs w:val="21"/>
          <w:lang w:val="en-US" w:eastAsia="zh-CN" w:bidi="ar"/>
        </w:rPr>
        <w:t>Negative case analysis: A significant portion of the argument is devoted to demonstrating what did NOT cause state formation—namely, interstate war. The authors systematically examine three bellicist hypotheses and show that none finds support in the historical record: (1) that the most state-like polity should win wars (Silla, the least Sinicized, won); (2) that war should produce state formation (centuries of state-building occurred without war); and (3) that more state formation should lead to more war (the Tang refrained from annexation, Silla did not expand beyond the peninsula, and Japan’s borders remained fixed) (pp. 10–11).</w:t>
      </w:r>
    </w:p>
    <w:p w14:paraId="16D542A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否定性案例分析：论证的重要部分致力于证明什么没有导致国家形成——即国家间战争。作者系统检验了三个战争主义假说，并表明历史记录均不支持它们：(1) 最具国家形态的政治体应赢得战争（实际上中国化程度最低的新罗获胜）；(2) 战争应产生国家形成（数世纪的国家建设在没有战争的情况下进行）；(3) 更多国家形成应导致更多战争（唐朝放弃吞并，新罗未向半岛以外扩张，日本边界保持不变）(pp. 10–11)。</w:t>
      </w:r>
    </w:p>
    <w:p w14:paraId="531DA06F">
      <w:pPr>
        <w:rPr>
          <w:rFonts w:hint="default" w:ascii="Times New Roman Regular" w:hAnsi="Times New Roman Regular" w:cs="Times New Roman Regular" w:eastAsiaTheme="minorEastAsia"/>
        </w:rPr>
      </w:pPr>
    </w:p>
    <w:p w14:paraId="33502FB3">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Contribution: What is the main contribution? / 贡献：主要学术贡献是什么？</w:t>
      </w:r>
    </w:p>
    <w:p w14:paraId="0E32FBB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paper makes several contributions that the discipline would recognize as significant.</w:t>
      </w:r>
    </w:p>
    <w:p w14:paraId="482352D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First, it offers a new positive theory of state formation based on emulation and learning within a hegemonic international system. This goes beyond merely criticizing the bellicist paradigm; it provides an alternative causal account with a specified mechanism (civilizational emulation under hegemony) and scope conditions (hegemonic systems where a civilizational core exists and war is rare). This is a theoretical contribution to the state formation literature that has been dominated by the bellicist thesis since Tilly (pp. 2–3, 27).</w:t>
      </w:r>
    </w:p>
    <w:p w14:paraId="47D74C0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Second, it makes a major empirical contribution by bringing deep and extensive East Asian historical evidence to bear on a core question in political science and international relations. The paper addresses a striking empirical lacuna: state formation occurred in Korea and Japan roughly 1,000 years before it did in Europe, yet this fact has been almost entirely ignored by the social science literature on state formation (pp. 1–2). The detailed timeline of institutional adoption (Table 1, p. 15) and the systematic discussion of emulation evidence provide a rich empirical foundation for future research.</w:t>
      </w:r>
    </w:p>
    <w:p w14:paraId="491780A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Third, it contributes to the decolonization and de-Eurocentrization of international relations theory by demonstrating that a core concept (state formation) and a core causal mechanism (bellicist competition) are not universal truths but rather historically contingent products of the European experience. The paper argues that examining East Asian history generates different assumptions and would lead to different theories about how politics works (pp. 2–3).</w:t>
      </w:r>
    </w:p>
    <w:p w14:paraId="3C9E862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Fourth, it contributes to the literature on international diffusion by developing and applying the emulation–learning distinction to a new empirical domain (premodern state formation) and by specifying the domestic political mechanism (court-vs-nobility competition) that mediates the diffusion process (pp. 5–8, 24–27).</w:t>
      </w:r>
    </w:p>
    <w:p w14:paraId="605C7F7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Fifth, it suggests a reconceptualization of the relationship between international systems and unit-level outcomes, arguing that hegemonic systems produce fundamentally different incentives for institutional development than balance-of-power systems—a systemic insight with implications well beyond the East Asian case (p. 2).</w:t>
      </w:r>
    </w:p>
    <w:p w14:paraId="681DE29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论文做出了学界公认具有重要性的多方面贡献。</w:t>
      </w:r>
    </w:p>
    <w:p w14:paraId="7E995E3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一，它提出了一个基于霸权国际体系内模仿与学习的新的国家形成正面理论。这超越了对战争主义范式的单纯批判，提供了一个具有明确机制（霸权下的文明模仿）和范围条件（存在文明核心且战争稀少的霸权体系）的替代性因果解释。这是对自Tilly以来一直被战争主义论题主导的国家形成文献的理论贡献 (pp. 2–3, 27)。</w:t>
      </w:r>
    </w:p>
    <w:p w14:paraId="7366CAF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二，它通过将深入而广泛的东亚历史证据引入政治学和国际关系的一个核心问题，做出了重大实证贡献。论文填补了一个引人注目的经验空白：韩国和日本的国家形成比欧洲早了大约一千年，但这一事实几乎完全被社会科学关于国家形成的文献所忽略 (pp. 1–2)。制度采纳的详细时间线（表1，p. 15）和对模仿证据的系统讨论为未来研究提供了丰富的实证基础。</w:t>
      </w:r>
    </w:p>
    <w:p w14:paraId="2F91F8F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三，它通过证明一个核心概念（国家形成）和一个核心因果机制（战争竞争）并非普遍真理而是欧洲经验的历史偶然产物，为国际关系理论的去殖民化和去欧洲中心化做出了贡献。论文主张，考察东亚历史会产生不同的假设，并可能导出关于政治运作方式的不同理论 (pp. 2–3)。</w:t>
      </w:r>
    </w:p>
    <w:p w14:paraId="6CEF50D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第四，它通过在新的经验领域（前现代国家形成）发展和应用模仿-学习的区分，并明确指出了中介扩散过程的国内政治机制（宫廷对抗贵族的竞争），为国际扩散文献做出了贡献 (pp. 5–8, 24–27)。</w:t>
      </w:r>
    </w:p>
    <w:p w14:paraId="4885C55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第五，它提出了对国际体系与单元层面结果之间关系的再概念化，主张霸权体系为制度发展提供了与均势体系根本不同的激励——这一体系性洞见的意义远超东亚案例 (p. 2)。</w:t>
      </w:r>
    </w:p>
    <w:p w14:paraId="186F9861">
      <w:pPr>
        <w:rPr>
          <w:rFonts w:hint="default" w:ascii="Times New Roman Regular" w:hAnsi="Times New Roman Regular" w:cs="Times New Roman Regular" w:eastAsiaTheme="minorEastAsia"/>
        </w:rPr>
      </w:pPr>
    </w:p>
    <w:p w14:paraId="50118320">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Suggestions: Limitations and potential improvements / 建议：局限性与潜在改进</w:t>
      </w:r>
    </w:p>
    <w:p w14:paraId="100C31F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 Limitations the Authors Acknowledge / 作者自己承认的局限性</w:t>
      </w:r>
    </w:p>
    <w:p w14:paraId="6EF1DEB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A1. The emulation–learning distinction is inherently fragile. / 模仿与学习的区分本质上是脆弱的。</w:t>
      </w:r>
    </w:p>
    <w:p w14:paraId="7FEACDC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The authors are remarkably candid about this problem. They explicitly state that </w:t>
      </w:r>
      <w:r>
        <w:rPr>
          <w:rFonts w:hint="default" w:ascii="Times New Roman Regular" w:hAnsi="Times New Roman Regular" w:cs="Times New Roman Regular"/>
          <w:lang w:val="en-US"/>
        </w:rPr>
        <w:t>“it is probably impossible to definitively differentiate between emulation and learning”</w:t>
      </w:r>
      <w:r>
        <w:rPr>
          <w:rFonts w:hint="default" w:ascii="Times New Roman Regular" w:hAnsi="Times New Roman Regular" w:cs="Times New Roman Regular" w:eastAsiaTheme="minorEastAsia"/>
        </w:rPr>
        <w:t xml:space="preserve"> and describe their three-part framework — scale of borrowing, type of justification, and degree of mimicry versus modification — as merely </w:t>
      </w:r>
      <w:r>
        <w:rPr>
          <w:rFonts w:hint="default" w:ascii="Times New Roman Regular" w:hAnsi="Times New Roman Regular" w:cs="Times New Roman Regular"/>
          <w:lang w:val="en-US"/>
        </w:rPr>
        <w:t>“a probative way of organizing research,”</w:t>
      </w:r>
      <w:r>
        <w:rPr>
          <w:rFonts w:hint="default" w:ascii="Times New Roman Regular" w:hAnsi="Times New Roman Regular" w:cs="Times New Roman Regular" w:eastAsiaTheme="minorEastAsia"/>
        </w:rPr>
        <w:t xml:space="preserve"> not a decisive test (p. 7). They also quote Solingen (2012) to the effect that these mechanisms </w:t>
      </w:r>
      <w:r>
        <w:rPr>
          <w:rFonts w:hint="default" w:ascii="Times New Roman Regular" w:hAnsi="Times New Roman Regular" w:cs="Times New Roman Regular"/>
          <w:lang w:val="en-US"/>
        </w:rPr>
        <w:t>“often operate in tandem and interactively and are hard to disentangle from each other”</w:t>
      </w:r>
      <w:r>
        <w:rPr>
          <w:rFonts w:hint="default" w:ascii="Times New Roman Regular" w:hAnsi="Times New Roman Regular" w:cs="Times New Roman Regular" w:eastAsiaTheme="minorEastAsia"/>
        </w:rPr>
        <w:t xml:space="preserve"> (p. 6). This candor, however, does not resolve the underlying problem. If the core independent variable (emulation as distinct from learning) cannot be cleanly separated from its closest alternative, then the central causal claim lacks the analytical sharpness required for falsification. Any given instance of institutional adoption could be classified as either emulation or learning depending on the interpretive lens applied. The authors attempt to manage this by arguing that the overall pattern — the sheer comprehensiveness of borrowing, the dominance of appropriateness-based justifications, and the prevalence of outright mimicry — tips the balance toward emulation (pp. 16–24). This is a reasonable interpretive judgment, but it remains a judgment, not a test. Professional scholars would note that what the paper actually demonstrates is a composite diffusion process in which emulation and learning are intertwined; the insistence on labeling it primarily </w:t>
      </w:r>
      <w:r>
        <w:rPr>
          <w:rFonts w:hint="default" w:ascii="Times New Roman Regular" w:hAnsi="Times New Roman Regular" w:cs="Times New Roman Regular"/>
          <w:lang w:val="en-US"/>
        </w:rPr>
        <w:t>“emulation”</w:t>
      </w:r>
      <w:r>
        <w:rPr>
          <w:rFonts w:hint="default" w:ascii="Times New Roman Regular" w:hAnsi="Times New Roman Regular" w:cs="Times New Roman Regular" w:eastAsiaTheme="minorEastAsia"/>
        </w:rPr>
        <w:t xml:space="preserve"> may be doing more rhetorical than analytical work.</w:t>
      </w:r>
    </w:p>
    <w:p w14:paraId="0EC1C46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作者对这一问题相当坦诚。他们明确表示</w:t>
      </w:r>
      <w:r>
        <w:rPr>
          <w:rFonts w:hint="default" w:ascii="Times New Roman Regular" w:hAnsi="Times New Roman Regular" w:cs="Times New Roman Regular"/>
          <w:lang w:val="en-US"/>
        </w:rPr>
        <w:t>“要明确区分模仿与学习可能是不可能的”</w:t>
      </w:r>
      <w:r>
        <w:rPr>
          <w:rFonts w:hint="default" w:ascii="Times New Roman Regular" w:hAnsi="Times New Roman Regular" w:cs="Times New Roman Regular" w:eastAsiaTheme="minorEastAsia"/>
        </w:rPr>
        <w:t>，并将其三部分框架——借鉴规模、理由类型、模仿与修改程度——仅仅描述为</w:t>
      </w:r>
      <w:r>
        <w:rPr>
          <w:rFonts w:hint="default" w:ascii="Times New Roman Regular" w:hAnsi="Times New Roman Regular" w:cs="Times New Roman Regular"/>
          <w:lang w:val="en-US"/>
        </w:rPr>
        <w:t>“一种试探性的研究组织方式”</w:t>
      </w:r>
      <w:r>
        <w:rPr>
          <w:rFonts w:hint="default" w:ascii="Times New Roman Regular" w:hAnsi="Times New Roman Regular" w:cs="Times New Roman Regular" w:eastAsiaTheme="minorEastAsia"/>
        </w:rPr>
        <w:t>，而非决定性检验 (p. 7)。他们还引用Solingen (2012) 指出这些机制</w:t>
      </w:r>
      <w:r>
        <w:rPr>
          <w:rFonts w:hint="default" w:ascii="Times New Roman Regular" w:hAnsi="Times New Roman Regular" w:cs="Times New Roman Regular"/>
          <w:lang w:val="en-US"/>
        </w:rPr>
        <w:t>“往往协同运作且相互交织，难以拆分”</w:t>
      </w:r>
      <w:r>
        <w:rPr>
          <w:rFonts w:hint="default" w:ascii="Times New Roman Regular" w:hAnsi="Times New Roman Regular" w:cs="Times New Roman Regular" w:eastAsiaTheme="minorEastAsia"/>
        </w:rPr>
        <w:t xml:space="preserve"> (p. 6)。然而，这种坦诚并未解决根本问题。如果核心自变量（作为区别于学习的模仿）无法与其最接近的替代解释清晰分离，那么中心因果主张就缺乏可证伪所需的分析锐度。任何给定的制度采纳实例都可以根据解释视角被归类为模仿或学习。作者试图通过论证整体模式——借鉴的全面性、适当性理由的主导地位、以及直接模仿的普遍性——将天平倾向模仿来应对这一问题 (pp. 16–24)。这是一个合理的解释性判断，但仍然是判断而非检验。专业学者会注意到，论文实际展示的是一个模仿与学习相互交织的复合扩散过程；坚持将其主要标记为</w:t>
      </w:r>
      <w:r>
        <w:rPr>
          <w:rFonts w:hint="default" w:ascii="Times New Roman Regular" w:hAnsi="Times New Roman Regular" w:cs="Times New Roman Regular"/>
          <w:lang w:val="en-US"/>
        </w:rPr>
        <w:t>“模仿”</w:t>
      </w:r>
      <w:r>
        <w:rPr>
          <w:rFonts w:hint="default" w:ascii="Times New Roman Regular" w:hAnsi="Times New Roman Regular" w:cs="Times New Roman Regular" w:eastAsiaTheme="minorEastAsia"/>
        </w:rPr>
        <w:t>可能在修辞上做的工作多于分析上的。</w:t>
      </w:r>
    </w:p>
    <w:p w14:paraId="0572A4D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A2. The domestic mechanism is acknowledged as underdeveloped. / 国内机制被承认为尚不充分。</w:t>
      </w:r>
    </w:p>
    <w:p w14:paraId="29210C9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The authors explicitly position the paper as </w:t>
      </w:r>
      <w:r>
        <w:rPr>
          <w:rFonts w:hint="default" w:ascii="Times New Roman Regular" w:hAnsi="Times New Roman Regular" w:cs="Times New Roman Regular"/>
          <w:lang w:val="en-US"/>
        </w:rPr>
        <w:t>“agenda-setting”</w:t>
      </w:r>
      <w:r>
        <w:rPr>
          <w:rFonts w:hint="default" w:ascii="Times New Roman Regular" w:hAnsi="Times New Roman Regular" w:cs="Times New Roman Regular" w:eastAsiaTheme="minorEastAsia"/>
        </w:rPr>
        <w:t xml:space="preserve"> and state that future research should move </w:t>
      </w:r>
      <w:r>
        <w:rPr>
          <w:rFonts w:hint="default" w:ascii="Times New Roman Regular" w:hAnsi="Times New Roman Regular" w:cs="Times New Roman Regular"/>
          <w:lang w:val="en-US"/>
        </w:rPr>
        <w:t>“back along the causal chain”</w:t>
      </w:r>
      <w:r>
        <w:rPr>
          <w:rFonts w:hint="default" w:ascii="Times New Roman Regular" w:hAnsi="Times New Roman Regular" w:cs="Times New Roman Regular" w:eastAsiaTheme="minorEastAsia"/>
        </w:rPr>
        <w:t xml:space="preserve"> to investigate the domestic political causes of emulation more thoroughly (p. 27). They identify the court-versus-nobility dynamic as a key area for future work. This self-awareness is fair, but it means that what is arguably the most important part of their causal story — the proximate domestic mechanism that explains why elites actually chose to emulate — is also the thinnest part of the paper. The court-versus-nobility narrative is presented more as a plausible account than as a demonstrated mechanism. To genuinely establish this mechanism, one would need to show more systematically: which nobles resisted and how; why courts chose specifically Chinese-style institutions rather than other available tools of centralization; and how exactly the adoption of Chinese institutions altered the bargaining structure between court and nobility. The paper offers suggestive evidence — for example, that Chinese investiture gave Korean kings leverage against the aristocracy (p. 25), or that Buddhism served as a useful counter to noble power (p. 25) — but these are illustrative vignettes, not a systematic tracing of the mechanism across cases and over time. In sum,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most important domestic-level mechanism is its least developed component, and this is a structural weakness that the author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own agenda-setting framing does not fully excuse.</w:t>
      </w:r>
    </w:p>
    <w:p w14:paraId="3C317F8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作者明确将论文定位为</w:t>
      </w:r>
      <w:r>
        <w:rPr>
          <w:rFonts w:hint="default" w:ascii="Times New Roman Regular" w:hAnsi="Times New Roman Regular" w:cs="Times New Roman Regular"/>
          <w:lang w:val="en-US"/>
        </w:rPr>
        <w:t>“议程设定”</w:t>
      </w:r>
      <w:r>
        <w:rPr>
          <w:rFonts w:hint="default" w:ascii="Times New Roman Regular" w:hAnsi="Times New Roman Regular" w:cs="Times New Roman Regular" w:eastAsiaTheme="minorEastAsia"/>
        </w:rPr>
        <w:t>性质，并表示未来研究需要</w:t>
      </w:r>
      <w:r>
        <w:rPr>
          <w:rFonts w:hint="default" w:ascii="Times New Roman Regular" w:hAnsi="Times New Roman Regular" w:cs="Times New Roman Regular"/>
          <w:lang w:val="en-US"/>
        </w:rPr>
        <w:t>“沿因果链回溯”</w:t>
      </w:r>
      <w:r>
        <w:rPr>
          <w:rFonts w:hint="default" w:ascii="Times New Roman Regular" w:hAnsi="Times New Roman Regular" w:cs="Times New Roman Regular" w:eastAsiaTheme="minorEastAsia"/>
        </w:rPr>
        <w:t>，更深入地研究模仿的国内政治原因 (p. 27)。他们将宫廷对抗贵族的动力学确定为未来工作的关键领域。这种自觉是公平的，但这意味着他们因果叙事中最重要的部分——解释精英为何实际选择模仿的近端国内机制——也是论文最薄弱的部分。宫廷对抗贵族的叙事更像是一个合理的解释，而非经过充分论证的机制。要真正确立这一机制，需要更系统地展示：哪些贵族进行了抵制、如何抵制；宫廷为何特定地选择中国式制度而非其他可用的集权化工具；以及中国制度的采纳究竟如何改变了宫廷与贵族之间的博弈结构。论文提供了一些暗示性证据——例如中国的册封赋予韩国国王对抗贵族的筹码 (p. 25)，或佛教作为制衡贵族权力的有用工具 (p. 25)——但这些是示例性片段，而非对该机制跨案例、跨时间的系统追踪。简言之，论文最重要的国内层面机制恰恰是其发展最不充分的组成部分，而作者自己的</w:t>
      </w:r>
      <w:r>
        <w:rPr>
          <w:rFonts w:hint="default" w:ascii="Times New Roman Regular" w:hAnsi="Times New Roman Regular" w:cs="Times New Roman Regular"/>
          <w:lang w:val="en-US"/>
        </w:rPr>
        <w:t>“议程设定”</w:t>
      </w:r>
      <w:r>
        <w:rPr>
          <w:rFonts w:hint="default" w:ascii="Times New Roman Regular" w:hAnsi="Times New Roman Regular" w:cs="Times New Roman Regular" w:eastAsiaTheme="minorEastAsia"/>
        </w:rPr>
        <w:t>定位并不能完全为这一结构性弱点开脱。</w:t>
      </w:r>
    </w:p>
    <w:p w14:paraId="2D35F62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A3. The bellicist thesis is acknowledged as more complex than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main polemical target suggests. / 战争主义论题被承认比论文主要论战对象所暗示的更为复杂。</w:t>
      </w:r>
    </w:p>
    <w:p w14:paraId="3530DE5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The authors are not entirely unaware of the internal complexity of the European state formation literature. They note, for instance, that Gorski (2003) emphasizes the impact of Reformation ideas, and that Grzymala-Busse (2020) emphasizes the role of the Catholic Church and emulation of religious institutions in European statebuilding (p. 4). They acknowledge that </w:t>
      </w:r>
      <w:r>
        <w:rPr>
          <w:rFonts w:hint="default" w:ascii="Times New Roman Regular" w:hAnsi="Times New Roman Regular" w:cs="Times New Roman Regular"/>
          <w:lang w:val="en-US"/>
        </w:rPr>
        <w:t>“there were also processes of emulation in Europe, in addition to bellicist war”</w:t>
      </w:r>
      <w:r>
        <w:rPr>
          <w:rFonts w:hint="default" w:ascii="Times New Roman Regular" w:hAnsi="Times New Roman Regular" w:cs="Times New Roman Regular" w:eastAsiaTheme="minorEastAsia"/>
        </w:rPr>
        <w:t xml:space="preserve"> (p. 4). However, their actual argumentative strategy proceeds as if the bellicist thesis were a strong monocausal claim — that war is the sole driver of state formation everywhere. The more sophisticated versions of the bellicist tradition (e.g., Tilly 1992, Ertman 1997, Gorski and Sharma 2017) already treat war as one mechanism among several and allow for ideational, religious, and emulative factors. The author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real contribution is not to refute the strongest version of bellicism but to show that a non-bellicist pathway existed in an important historical region. The limitation is that this polemical simplification — acknowledging complexity in passing but then reverting to a strong binary framing — weakens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engagement with the best available scholarship on the European side.</w:t>
      </w:r>
    </w:p>
    <w:p w14:paraId="090D877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作者并非完全不知道欧洲国家形成文献的内部复杂性。他们注意到Gorski (2003) 强调宗教改革观念的影响，Grzymala-Busse (2020) 强调天主教会的角色及其在欧洲国家建设中的制度模仿 (p. 4)。他们承认</w:t>
      </w:r>
      <w:r>
        <w:rPr>
          <w:rFonts w:hint="default" w:ascii="Times New Roman Regular" w:hAnsi="Times New Roman Regular" w:cs="Times New Roman Regular"/>
          <w:lang w:val="en-US"/>
        </w:rPr>
        <w:t>“在欧洲，除了战争主义战争之外，也存在模仿过程”</w:t>
      </w:r>
      <w:r>
        <w:rPr>
          <w:rFonts w:hint="default" w:ascii="Times New Roman Regular" w:hAnsi="Times New Roman Regular" w:cs="Times New Roman Regular" w:eastAsiaTheme="minorEastAsia"/>
        </w:rPr>
        <w:t xml:space="preserve"> (p. 4)。然而，他们实际的论证策略却将战争主义论题当作一个强单因果主张来处理——即战争是所有地方国家形成的唯一驱动力。战争主义传统更精细的版本（如Tilly 1992, Ertman 1997, Gorski和Sharma 2017）已经将战争视为多种机制之一，并为观念、宗教和模仿因素留有空间。作者的真正贡献不是反驳最强版本的战争主义，而是展示了一个重要历史区域中存在非战争主义的路径。其局限在于，这种论战简化——在附带中承认复杂性，然后回归强二元框架——削弱了论文与欧洲方面最优秀学术成果的对话深度。</w:t>
      </w:r>
    </w:p>
    <w:p w14:paraId="318D0548">
      <w:pPr>
        <w:rPr>
          <w:rFonts w:hint="default" w:ascii="Times New Roman Regular" w:hAnsi="Times New Roman Regular" w:cs="Times New Roman Regular" w:eastAsiaTheme="minorEastAsia"/>
        </w:rPr>
      </w:pPr>
    </w:p>
    <w:p w14:paraId="1B2A60E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B. Limitations the Authors Do Not Acknowledge / 作者未承认的局限性</w:t>
      </w:r>
    </w:p>
    <w:p w14:paraId="7CFB15F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B1. Selection on the dependent variable. / 因变量选择偏差。</w:t>
      </w:r>
    </w:p>
    <w:p w14:paraId="0F52E35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paper selects Korea and Japan — two polities that successfully Sinicized and successfully formed states — and then argues that emulation of China caused their state formation. This research design cannot establish causality because it does not systematically examine the full range of variation. A rigorous test of the emulation thesis would require examining: (a) polities that were exposed to Chinese civilization but did not form Chinese-style states, or formed them only partially and temporarily; (b) polities that formed states through pathways other than Chinese emulation; and (c) polities that adopted some Chinese institutions but not others, to identify which elements were necessary and which were epiphenomenal. The authors briefly mention that steppe societies rejected Chinese civilization and did not form Chinese-style states (p. 28), but this is invoked as a confirming aside rather than incorporated into a systematic comparative design. A more rigorous approach would examine polities such as the Khitan /ˈkiːtɑːn/ Liao, the Jurchen /ˈdʒɜːrtʃən/ Jin, the Nanzhao /ˈnɑːndʒaʊ/ kingdom, early Tibet /tɪˈbɛt/, and the Balhae /bɑːlˈheɪ/ state, all of which had varying degrees of exposure to Chinese civilization and varying outcomes in state formation. Without such comparison, the paper demonstrates correlation — emulation and state formation co-occurred — but cannot confidently establish the direction or exclusivity of causation.</w:t>
      </w:r>
    </w:p>
    <w:p w14:paraId="40780A8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论文选择了韩国和日本——两个成功中国化并成功形成国家的政治体——然后论证对中国的模仿导致了它们的国家形成。这种研究设计无法建立因果关系，因为它没有系统检验全部变异范围。对模仿论题的严格检验需要考察：(a) 接触了中国文明但未形成中国式国家、或仅部分和暂时形成的政治体；(b) 通过中国模仿以外的路径形成国家的政治体；(c) 采纳了部分中国制度但非全部的政治体，以辨别哪些要素是必要的、哪些是附带现象。作者简要提到草原社会拒绝中国文明且未形成中国式国家 (p. 28)，但这被作为确认性旁注而非纳入系统比较设计。更严谨的方法应考察契丹 /ˈkiːtɑːn/ 辽、女真 /ˈdʒɜːrtʃən/ 金、南诏 /ˈnɑːndʒaʊ/、早期吐蕃 /tɪˈbɛt/ 和渤海 /bɑːlˈheɪ/ 等政治体，它们对中国文明的接触程度和国家形成结果各不相同。没有这种比较，论文展示的是相关性——模仿与国家形成共同发生——但无法自信地确立因果方向或排他性。</w:t>
      </w:r>
    </w:p>
    <w:p w14:paraId="282C53D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B2. Endogeneity between emulation and state capacity. / 模仿与国家能力之间的内生性。</w:t>
      </w:r>
    </w:p>
    <w:p w14:paraId="15DF02C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argument that emulation caused state formation faces a serious reverse-causality problem. The very activities that constitute emulation — sending embassies to China, training monks and scholars in Chinese learning, implementing complex administrative reforms, building capital cities on Chinese models, conducting population censuses — all presuppose a substantial degree of pre-existing organizational capacity. A polity that lacked any proto-state infrastructure could not have carried out these activities in the first place. This suggests that what actually occurred was a co-constitutive process: some initial, indigenous level of political centralization and elite organization made emulation possible, and emulation in turn deepened and formalized that centralization. The paper does not engage with this chicken-and-egg problem. The authors occasionally hint at it — for instance, by noting that all three Korean kingdoms had origins in the first century BCE and had coexisted for seven centuries before the unification war (p. 9), implying centuries of prior political development — but they do not theorize what that prior development consisted of or how it enabled the emulation they describe. A more complete account would need to specify the pre-conditions for effective emulation and model the feedback loop between emulation and capacity-building, rather than treating emulation as a unidirectional external cause imposed on a blank slate.</w:t>
      </w:r>
    </w:p>
    <w:p w14:paraId="3D63B53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模仿导致国家形成的论点面临严重的反向因果问题。构成模仿的活动本身——派遣使团赴中国、在中国学问中培训僧侣和学者、实施复杂的行政改革、按中国模式建造都城、进行人口普查——都以相当程度的预先存在的组织能力为前提。一个缺乏任何原始国家基础设施的政治体从一开始就无法执行这些活动。这表明实际发生的是一个共同构成的过程：某种初始的、本土的政治集权化和精英组织使模仿成为可能，而模仿反过来深化和正式化了这种集权。论文未涉及这一先有鸡还是先有蛋的问题。作者偶尔暗示了这一点——例如指出三个朝鲜王国均起源于公元前一世纪并在统一战争前共存了七个世纪 (p. 9)，暗示了数世纪的先前政治发展——但他们未理论化这种先前发展由什么构成，也未说明它如何使他们所描述的模仿成为可能。更完整的解释需要明确有效模仿的前提条件，并对模仿与能力建设之间的反馈循环进行建模，而非将模仿视为施加于白纸之上的单向外部原因。</w:t>
      </w:r>
    </w:p>
    <w:p w14:paraId="49E4E6B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B3. The </w:t>
      </w:r>
      <w:r>
        <w:rPr>
          <w:rFonts w:hint="default" w:ascii="Times New Roman Regular" w:hAnsi="Times New Roman Regular" w:cs="Times New Roman Regular"/>
          <w:lang w:val="en-US"/>
        </w:rPr>
        <w:t>“absence of war”</w:t>
      </w:r>
      <w:r>
        <w:rPr>
          <w:rFonts w:hint="default" w:ascii="Times New Roman Regular" w:hAnsi="Times New Roman Regular" w:cs="Times New Roman Regular" w:eastAsiaTheme="minorEastAsia"/>
        </w:rPr>
        <w:t xml:space="preserve"> claim depends on a narrowly defined analytical boundary. / </w:t>
      </w:r>
      <w:r>
        <w:rPr>
          <w:rFonts w:hint="default" w:ascii="Times New Roman Regular" w:hAnsi="Times New Roman Regular" w:cs="Times New Roman Regular"/>
          <w:lang w:val="en-US"/>
        </w:rPr>
        <w:t>“战争缺失”</w:t>
      </w:r>
      <w:r>
        <w:rPr>
          <w:rFonts w:hint="default" w:ascii="Times New Roman Regular" w:hAnsi="Times New Roman Regular" w:cs="Times New Roman Regular" w:eastAsiaTheme="minorEastAsia"/>
        </w:rPr>
        <w:t>的论断依赖于狭义界定的分析边界。</w:t>
      </w:r>
    </w:p>
    <w:p w14:paraId="1B5186D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author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striking claim that </w:t>
      </w:r>
      <w:r>
        <w:rPr>
          <w:rFonts w:hint="default" w:ascii="Times New Roman Regular" w:hAnsi="Times New Roman Regular" w:cs="Times New Roman Regular"/>
          <w:lang w:val="en-US"/>
        </w:rPr>
        <w:t>“between the fifth and eighth centuries there was only one interstate war involving Korea, Japan, or China”</w:t>
      </w:r>
      <w:r>
        <w:rPr>
          <w:rFonts w:hint="default" w:ascii="Times New Roman Regular" w:hAnsi="Times New Roman Regular" w:cs="Times New Roman Regular" w:eastAsiaTheme="minorEastAsia"/>
        </w:rPr>
        <w:t xml:space="preserve"> (p. 9) rests on two definitional choices that deserve scrutiny. First, </w:t>
      </w:r>
      <w:r>
        <w:rPr>
          <w:rFonts w:hint="default" w:ascii="Times New Roman Regular" w:hAnsi="Times New Roman Regular" w:cs="Times New Roman Regular"/>
          <w:lang w:val="en-US"/>
        </w:rPr>
        <w:t>“war”</w:t>
      </w:r>
      <w:r>
        <w:rPr>
          <w:rFonts w:hint="default" w:ascii="Times New Roman Regular" w:hAnsi="Times New Roman Regular" w:cs="Times New Roman Regular" w:eastAsiaTheme="minorEastAsia"/>
        </w:rPr>
        <w:t xml:space="preserve"> is defined as interstate war between the three main polities. This excludes intra-peninsular rivalry among the three Korean kingdoms, which lasted for centuries and involved sustained military competition; it excludes the internal coercion and military campaigns through which the Yamato court subjugated rival clans and chiefdoms in the Japanese archipelago; it excludes frontier conflicts and pacification campaigns; and it excludes the broader pattern of steppe-sedentary conflict that the authors themselves acknowledge as a persistent feature of the Chinese imperial experience (p. 8). If the analytical lens is widened to include coercive processes at the sub-interstate level, bellicist dynamics may not disappear but rather operate at a different scale. The consolidation of central authority in both Korea and Japan involved the suppression or subordination of local power-holders — a process that, while not </w:t>
      </w:r>
      <w:r>
        <w:rPr>
          <w:rFonts w:hint="default" w:ascii="Times New Roman Regular" w:hAnsi="Times New Roman Regular" w:cs="Times New Roman Regular"/>
          <w:lang w:val="en-US"/>
        </w:rPr>
        <w:t>“interstate war”</w:t>
      </w:r>
      <w:r>
        <w:rPr>
          <w:rFonts w:hint="default" w:ascii="Times New Roman Regular" w:hAnsi="Times New Roman Regular" w:cs="Times New Roman Regular" w:eastAsiaTheme="minorEastAsia"/>
        </w:rPr>
        <w:t xml:space="preserve"> in the Westphalian sense, is functionally equivalent to the kinds of internal coercion that Tilly and others describe as integral to European state formation.</w:t>
      </w:r>
    </w:p>
    <w:p w14:paraId="4C3DE47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Second, the relevant </w:t>
      </w:r>
      <w:r>
        <w:rPr>
          <w:rFonts w:hint="default" w:ascii="Times New Roman Regular" w:hAnsi="Times New Roman Regular" w:cs="Times New Roman Regular"/>
          <w:lang w:val="en-US"/>
        </w:rPr>
        <w:t>“system”</w:t>
      </w:r>
      <w:r>
        <w:rPr>
          <w:rFonts w:hint="default" w:ascii="Times New Roman Regular" w:hAnsi="Times New Roman Regular" w:cs="Times New Roman Regular" w:eastAsiaTheme="minorEastAsia"/>
        </w:rPr>
        <w:t xml:space="preserve"> is defined as China–Korea–Japan. But the authors themselves acknowledge that the East Asian order included steppe peoples, Tibet (which </w:t>
      </w:r>
      <w:r>
        <w:rPr>
          <w:rFonts w:hint="default" w:ascii="Times New Roman Regular" w:hAnsi="Times New Roman Regular" w:cs="Times New Roman Regular"/>
          <w:lang w:val="en-US"/>
        </w:rPr>
        <w:t>“briefly”</w:t>
      </w:r>
      <w:r>
        <w:rPr>
          <w:rFonts w:hint="default" w:ascii="Times New Roman Regular" w:hAnsi="Times New Roman Regular" w:cs="Times New Roman Regular" w:eastAsiaTheme="minorEastAsia"/>
        </w:rPr>
        <w:t xml:space="preserve"> imitated Tang), and other frontier polities (pp. 1, 28). Once the system boundary is relaxed, the picture of a peaceful hegemonic order becomes less clean. Steppe threats to Chinese dynasties were a persistent feature of the system, and they significantly shaped Chinese military and fiscal institutions, which were then the very institutions emulated by Korea and Japan. In other words, even if Korea and Japan did not themselves face direct military threats, the institutions they emulated were substantially products of</w:t>
      </w:r>
      <w:r>
        <w:rPr>
          <w:rFonts w:hint="default" w:ascii="Times New Roman Regular" w:hAnsi="Times New Roman Regular" w:cs="Times New Roman Regular" w:eastAsiaTheme="minorEastAsia"/>
          <w:color w:val="0000FF"/>
        </w:rPr>
        <w:t xml:space="preserve"> China</w:t>
      </w:r>
      <w:r>
        <w:rPr>
          <w:rFonts w:hint="default" w:ascii="Times New Roman Regular" w:hAnsi="Times New Roman Regular" w:cs="Times New Roman Regular"/>
          <w:color w:val="0000FF"/>
          <w:lang w:val="en-US"/>
        </w:rPr>
        <w:t>’s</w:t>
      </w:r>
      <w:r>
        <w:rPr>
          <w:rFonts w:hint="default" w:ascii="Times New Roman Regular" w:hAnsi="Times New Roman Regular" w:cs="Times New Roman Regular" w:eastAsiaTheme="minorEastAsia"/>
          <w:color w:val="0000FF"/>
        </w:rPr>
        <w:t xml:space="preserve"> own bellicist experience with the steppe</w:t>
      </w:r>
      <w:r>
        <w:rPr>
          <w:rFonts w:hint="default" w:ascii="Times New Roman Regular" w:hAnsi="Times New Roman Regular" w:cs="Times New Roman Regular" w:eastAsiaTheme="minorEastAsia"/>
        </w:rPr>
        <w:t>. This indirect link between war and state formation — mediated through the hegemon</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own war-driven institutional development — is not addressed by the authors, and </w:t>
      </w:r>
      <w:bookmarkStart w:id="0" w:name="_GoBack"/>
      <w:bookmarkEnd w:id="0"/>
      <w:r>
        <w:rPr>
          <w:rFonts w:hint="default" w:ascii="Times New Roman Regular" w:hAnsi="Times New Roman Regular" w:cs="Times New Roman Regular" w:eastAsiaTheme="minorEastAsia"/>
        </w:rPr>
        <w:t>it complicates the clean separation between bellicist and emulative pathways.</w:t>
      </w:r>
    </w:p>
    <w:p w14:paraId="3D58417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作者</w:t>
      </w:r>
      <w:r>
        <w:rPr>
          <w:rFonts w:hint="default" w:ascii="Times New Roman Regular" w:hAnsi="Times New Roman Regular" w:cs="Times New Roman Regular"/>
          <w:lang w:val="en-US"/>
        </w:rPr>
        <w:t>“五至八世纪之间涉及韩国、日本或中国的国家间战争仅有一场”</w:t>
      </w:r>
      <w:r>
        <w:rPr>
          <w:rFonts w:hint="default" w:ascii="Times New Roman Regular" w:hAnsi="Times New Roman Regular" w:cs="Times New Roman Regular" w:eastAsiaTheme="minorEastAsia"/>
        </w:rPr>
        <w:t>的醒目论断 (p. 9) 依赖于两个值得审视的定义选择。第一，</w:t>
      </w:r>
      <w:r>
        <w:rPr>
          <w:rFonts w:hint="default" w:ascii="Times New Roman Regular" w:hAnsi="Times New Roman Regular" w:cs="Times New Roman Regular"/>
          <w:lang w:val="en-US"/>
        </w:rPr>
        <w:t>“战争”</w:t>
      </w:r>
      <w:r>
        <w:rPr>
          <w:rFonts w:hint="default" w:ascii="Times New Roman Regular" w:hAnsi="Times New Roman Regular" w:cs="Times New Roman Regular" w:eastAsiaTheme="minorEastAsia"/>
        </w:rPr>
        <w:t>被定义为三个主要政治体之间的国家间战争。这排除了三个朝鲜王国之间持续数世纪的半岛内部竞争及军事对抗；排除了大和宫廷征服日本列岛上敌对氏族和酋邦的内部强制与军事行动；排除了边疆冲突和平定战役；也排除了作者自己承认的中国帝国经验中持续存在的草原-定居冲突模式 (p. 8)。如果将分析视角扩展到次国家间层面的强制过程，战争主义动力学可能不会消失，而只是在不同尺度上运作。韩国和日本中央权威的巩固都涉及对地方权力持有者的压制或收编——这一过程虽非威斯特伐利亚意义上的</w:t>
      </w:r>
      <w:r>
        <w:rPr>
          <w:rFonts w:hint="default" w:ascii="Times New Roman Regular" w:hAnsi="Times New Roman Regular" w:cs="Times New Roman Regular"/>
          <w:lang w:val="en-US"/>
        </w:rPr>
        <w:t>“国家间战争”</w:t>
      </w:r>
      <w:r>
        <w:rPr>
          <w:rFonts w:hint="default" w:ascii="Times New Roman Regular" w:hAnsi="Times New Roman Regular" w:cs="Times New Roman Regular" w:eastAsiaTheme="minorEastAsia"/>
        </w:rPr>
        <w:t>，但在功能上等同于Tilly等人所描述的欧洲国家形成中不可或缺的内部强制类型。</w:t>
      </w:r>
    </w:p>
    <w:p w14:paraId="3790178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第二，相关</w:t>
      </w:r>
      <w:r>
        <w:rPr>
          <w:rFonts w:hint="default" w:ascii="Times New Roman Regular" w:hAnsi="Times New Roman Regular" w:cs="Times New Roman Regular"/>
          <w:lang w:val="en-US"/>
        </w:rPr>
        <w:t>“体系”</w:t>
      </w:r>
      <w:r>
        <w:rPr>
          <w:rFonts w:hint="default" w:ascii="Times New Roman Regular" w:hAnsi="Times New Roman Regular" w:cs="Times New Roman Regular" w:eastAsiaTheme="minorEastAsia"/>
        </w:rPr>
        <w:t>被界定为中日韩。但作者自己承认东亚秩序包括草原民族、吐蕃（</w:t>
      </w:r>
      <w:r>
        <w:rPr>
          <w:rFonts w:hint="default" w:ascii="Times New Roman Regular" w:hAnsi="Times New Roman Regular" w:cs="Times New Roman Regular"/>
          <w:lang w:val="en-US"/>
        </w:rPr>
        <w:t>“短暂地”</w:t>
      </w:r>
      <w:r>
        <w:rPr>
          <w:rFonts w:hint="default" w:ascii="Times New Roman Regular" w:hAnsi="Times New Roman Regular" w:cs="Times New Roman Regular" w:eastAsiaTheme="minorEastAsia"/>
        </w:rPr>
        <w:t>模仿了唐朝）以及其他边疆政治体 (pp. 1, 28)。一旦放宽体系边界，和平霸权秩序的图景就不那么干净了。草原对中国王朝的威胁是该体系的持续特征，它深刻地塑造了中国的军事和财政制度，而这些制度恰恰是韩国和日本所模仿的对象。换言之，即使韩国和日本本身未面临直接军事威胁，它们所模仿的制度在相当程度上是中国自身与草原之间战争主义经验的产物。这种战争与国家形成之间的间接联系——通过霸权国自身由战争驱动的制度发展为中介——未被作者讨论，它使战争主义路径与模仿路径之间的清晰分离变得复杂。</w:t>
      </w:r>
    </w:p>
    <w:p w14:paraId="26ADE34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B4. Survivorship bias in the historical record. / 历史记录中的幸存者偏差。</w:t>
      </w:r>
    </w:p>
    <w:p w14:paraId="453AA73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The historical sources on which the authors rely — court histories such as the Samguk sagi /sɑːmɡʊk sɑːɡi/, the Kojiki /koʊˈdʒiːki/, the Nihon Shoki /niˈhɒn ˈʃoʊki/, legal codes, and royal inscriptions — were produced by the very elites who championed and benefited from Sinicization. These texts naturally frame the adoption of Chinese institutions as legitimate, prestigious, and appropriate, because their authors were the people who had adopted and were invested in those institutions. When the authors use these sources to demonstrate that the </w:t>
      </w:r>
      <w:r>
        <w:rPr>
          <w:rFonts w:hint="default" w:ascii="Times New Roman Regular" w:hAnsi="Times New Roman Regular" w:cs="Times New Roman Regular"/>
          <w:lang w:val="en-US"/>
        </w:rPr>
        <w:t>“logic of appropriateness”</w:t>
      </w:r>
      <w:r>
        <w:rPr>
          <w:rFonts w:hint="default" w:ascii="Times New Roman Regular" w:hAnsi="Times New Roman Regular" w:cs="Times New Roman Regular" w:eastAsiaTheme="minorEastAsia"/>
        </w:rPr>
        <w:t xml:space="preserve"> drove institutional adoption (pp. 18–20), there is a risk of circularity: the evidence for emulation-as-appropriateness is drawn from texts whose authors had every reason to present their choices in precisely those terms. The justifications recorded in these chronicles may represent post hoc elite self-legitimation rather than the actual motivations that drove the broader process. A critical historiographic perspective would note that we do not have access to the voices of those who lost — the nobles who were displaced, the local traditions that were suppressed, the populations who bore the costs of institutional transformation. The absence of dissenting voices from the record does not mean dissent did not exist; it means the historical record is itself a product of the process the authors are trying to explain. This does not invalidate the author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evidence, but it significantly limits the confidence with which one can treat elite texts as transparent windows onto the underlying causal mechanism.</w:t>
      </w:r>
    </w:p>
    <w:p w14:paraId="5459C0E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作者所依赖的历史资料——如《三国史记》/sɑːmɡʊk sɑːɡi/、《古事记》/koʊˈdʒiːki/、《日本书纪》/niˈhɒn ˈʃoʊki/ 等宫廷史书、法典和王室铭文——正是由倡导并受益于中国化的精英所创作。这些文本自然将中国制度的采纳框定为合法的、有声望的、恰当的，因为其作者正是采纳了这些制度并对此有切身利益的人。当作者使用这些资料来证明</w:t>
      </w:r>
      <w:r>
        <w:rPr>
          <w:rFonts w:hint="default" w:ascii="Times New Roman Regular" w:hAnsi="Times New Roman Regular" w:cs="Times New Roman Regular"/>
          <w:lang w:val="en-US"/>
        </w:rPr>
        <w:t>“适当性逻辑”</w:t>
      </w:r>
      <w:r>
        <w:rPr>
          <w:rFonts w:hint="default" w:ascii="Times New Roman Regular" w:hAnsi="Times New Roman Regular" w:cs="Times New Roman Regular" w:eastAsiaTheme="minorEastAsia"/>
        </w:rPr>
        <w:t>驱动了制度采纳 (pp. 18–20) 时，存在循环论证的风险：作为适当性的模仿的证据来自那些有充分理由以恰恰这种方式呈现其选择的文本作者。这些编年史中记录的理由可能代表的是精英的事后自我正当化，而非驱动更广泛过程的实际动机。批判性史学视角会注意到，我们无法接触到失败者的声音——被排挤的贵族、被压制的地方传统、承受制度转型成本的民众。记录中反对声音的缺失不意味着反对不存在；它意味着历史记录本身就是作者试图解释的过程的产物。这并不使作者的证据无效，但它显著限制了将精英文本视为底层因果机制透明窗口的信心。</w:t>
      </w:r>
    </w:p>
    <w:p w14:paraId="2D91291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B5. Institutional form is conflated with state capacity in operation. / 制度形式与实际运作中的国家能力被混为一谈。</w:t>
      </w:r>
    </w:p>
    <w:p w14:paraId="359EB6B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This is perhaps the most fundamental unaddressed problem in the paper. The authors provide extensive evidence that Korea and Japan adopted Chinese institutional forms: titles, legal codes, administrative hierarchies, capital city layouts, court dress, writing systems, examination systems, and so on (pp. 15–24). But institutional adoption — copying the formal structure — is not the same as institutional effectiveness — actually extracting revenue, projecting authority into the periphery, displacing patrimonial networks with bureaucratic governance, and sustaining these capacities over time. The paper is far stronger on evidence of form than on evidence of capacity in operation. The authors cite the figure of 7,000 men staffing the Japanese imperial bureaucracy by the eighth century (p. 1), and they reference archaeological evidence supporting the functioning of the Nara-period tax system (p. 21, citing Batten 2003). But these are relatively isolated data points within a much larger narrative that is dominated by evidence of what was copied rather than evidence of what actually worked. The risk is that the argument slides from </w:t>
      </w:r>
      <w:r>
        <w:rPr>
          <w:rFonts w:hint="default" w:ascii="Times New Roman Regular" w:hAnsi="Times New Roman Regular" w:cs="Times New Roman Regular"/>
          <w:lang w:val="en-US"/>
        </w:rPr>
        <w:t>“Korea and Japan emulated Chinese state forms”</w:t>
      </w:r>
      <w:r>
        <w:rPr>
          <w:rFonts w:hint="default" w:ascii="Times New Roman Regular" w:hAnsi="Times New Roman Regular" w:cs="Times New Roman Regular" w:eastAsiaTheme="minorEastAsia"/>
        </w:rPr>
        <w:t xml:space="preserve"> to </w:t>
      </w:r>
      <w:r>
        <w:rPr>
          <w:rFonts w:hint="default" w:ascii="Times New Roman Regular" w:hAnsi="Times New Roman Regular" w:cs="Times New Roman Regular"/>
          <w:lang w:val="en-US"/>
        </w:rPr>
        <w:t>“Korea and Japan formed effective states through emulation,”</w:t>
      </w:r>
      <w:r>
        <w:rPr>
          <w:rFonts w:hint="default" w:ascii="Times New Roman Regular" w:hAnsi="Times New Roman Regular" w:cs="Times New Roman Regular" w:eastAsiaTheme="minorEastAsia"/>
        </w:rPr>
        <w:t xml:space="preserve"> when the second claim requires substantially more evidence than the first. This matters because if much of what was adopted was superficial or ceremonial — a possibility that the author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own diffusion framework acknowledges under the label of </w:t>
      </w:r>
      <w:r>
        <w:rPr>
          <w:rFonts w:hint="default" w:ascii="Times New Roman Regular" w:hAnsi="Times New Roman Regular" w:cs="Times New Roman Regular"/>
          <w:lang w:val="en-US"/>
        </w:rPr>
        <w:t>“ritualistic copying”</w:t>
      </w:r>
      <w:r>
        <w:rPr>
          <w:rFonts w:hint="default" w:ascii="Times New Roman Regular" w:hAnsi="Times New Roman Regular" w:cs="Times New Roman Regular" w:eastAsiaTheme="minorEastAsia"/>
        </w:rPr>
        <w:t xml:space="preserve"> (p. 7) — then the relationship between emulation and genuine state formation is weaker than the paper claims. A more rigorous treatment would need to distinguish carefully between the adoption of institutional templates and the achievement of effective governance, providing independent evidence for the latter that does not simply consist of demonstrating the former.</w:t>
      </w:r>
    </w:p>
    <w:p w14:paraId="65F92AE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这可能是论文中最根本的未被讨论的问题。作者提供了大量证据表明韩国和日本采纳了中国的制度形式：官衔、法典、行政层级、都城布局、宫廷服饰、文字体系、科举制度等等 (pp. 15–24)。但制度采纳——复制正式结构——与制度有效性——实际征收税收、将权威投射到边缘地区、以官僚治理取代庇护网络、并长期维持这些能力——并不是同一回事。论文在形式证据方面远强于实际运作能力的证据。作者引用了八世纪日本帝国官僚体系有7,000人的数据 (p. 1)，并提及考古证据支持奈良时期税收体系的运作 (p. 21，引用Batten 2003)。但在一个更多被</w:t>
      </w:r>
      <w:r>
        <w:rPr>
          <w:rFonts w:hint="default" w:ascii="Times New Roman Regular" w:hAnsi="Times New Roman Regular" w:cs="Times New Roman Regular"/>
          <w:lang w:val="en-US"/>
        </w:rPr>
        <w:t>“什么被复制了”</w:t>
      </w:r>
      <w:r>
        <w:rPr>
          <w:rFonts w:hint="default" w:ascii="Times New Roman Regular" w:hAnsi="Times New Roman Regular" w:cs="Times New Roman Regular" w:eastAsiaTheme="minorEastAsia"/>
        </w:rPr>
        <w:t>而非</w:t>
      </w:r>
      <w:r>
        <w:rPr>
          <w:rFonts w:hint="default" w:ascii="Times New Roman Regular" w:hAnsi="Times New Roman Regular" w:cs="Times New Roman Regular"/>
          <w:lang w:val="en-US"/>
        </w:rPr>
        <w:t>“什么实际运作了”</w:t>
      </w:r>
      <w:r>
        <w:rPr>
          <w:rFonts w:hint="default" w:ascii="Times New Roman Regular" w:hAnsi="Times New Roman Regular" w:cs="Times New Roman Regular" w:eastAsiaTheme="minorEastAsia"/>
        </w:rPr>
        <w:t>的证据所主导的庞大叙事中，这些是相对孤立的数据点。论证面临的风险是从</w:t>
      </w:r>
      <w:r>
        <w:rPr>
          <w:rFonts w:hint="default" w:ascii="Times New Roman Regular" w:hAnsi="Times New Roman Regular" w:cs="Times New Roman Regular"/>
          <w:lang w:val="en-US"/>
        </w:rPr>
        <w:t>“韩国和日本模仿了中国的国家形式”</w:t>
      </w:r>
      <w:r>
        <w:rPr>
          <w:rFonts w:hint="default" w:ascii="Times New Roman Regular" w:hAnsi="Times New Roman Regular" w:cs="Times New Roman Regular" w:eastAsiaTheme="minorEastAsia"/>
        </w:rPr>
        <w:t>滑向</w:t>
      </w:r>
      <w:r>
        <w:rPr>
          <w:rFonts w:hint="default" w:ascii="Times New Roman Regular" w:hAnsi="Times New Roman Regular" w:cs="Times New Roman Regular"/>
          <w:lang w:val="en-US"/>
        </w:rPr>
        <w:t>“韩国和日本通过模仿形成了有效国家”</w:t>
      </w:r>
      <w:r>
        <w:rPr>
          <w:rFonts w:hint="default" w:ascii="Times New Roman Regular" w:hAnsi="Times New Roman Regular" w:cs="Times New Roman Regular" w:eastAsiaTheme="minorEastAsia"/>
        </w:rPr>
        <w:t>，而第二个主张需要的证据远多于第一个。这很重要，因为如果被采纳的许多内容是表面的或仪式性的——作者自己的扩散框架在</w:t>
      </w:r>
      <w:r>
        <w:rPr>
          <w:rFonts w:hint="default" w:ascii="Times New Roman Regular" w:hAnsi="Times New Roman Regular" w:cs="Times New Roman Regular"/>
          <w:lang w:val="en-US"/>
        </w:rPr>
        <w:t>“仪式化复制”</w:t>
      </w:r>
      <w:r>
        <w:rPr>
          <w:rFonts w:hint="default" w:ascii="Times New Roman Regular" w:hAnsi="Times New Roman Regular" w:cs="Times New Roman Regular" w:eastAsiaTheme="minorEastAsia"/>
        </w:rPr>
        <w:t>标签下承认了这种可能性 (p. 7)——那么模仿与真正国家形成之间的关系就弱于论文所声称的。更严谨的处理需要仔细区分制度模板的采纳与有效治理的实现，并为后者提供不仅仅是展示前者的独立证据。</w:t>
      </w:r>
    </w:p>
    <w:p w14:paraId="26E71ED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B6. The system boundary is pre-tailored to support the </w:t>
      </w:r>
      <w:r>
        <w:rPr>
          <w:rFonts w:hint="default" w:ascii="Times New Roman Regular" w:hAnsi="Times New Roman Regular" w:cs="Times New Roman Regular"/>
          <w:lang w:val="en-US"/>
        </w:rPr>
        <w:t>“peace”</w:t>
      </w:r>
      <w:r>
        <w:rPr>
          <w:rFonts w:hint="default" w:ascii="Times New Roman Regular" w:hAnsi="Times New Roman Regular" w:cs="Times New Roman Regular" w:eastAsiaTheme="minorEastAsia"/>
        </w:rPr>
        <w:t xml:space="preserve"> claim. / 体系边界被预先裁剪以支持</w:t>
      </w:r>
      <w:r>
        <w:rPr>
          <w:rFonts w:hint="default" w:ascii="Times New Roman Regular" w:hAnsi="Times New Roman Regular" w:cs="Times New Roman Regular"/>
          <w:lang w:val="en-US"/>
        </w:rPr>
        <w:t>“和平”</w:t>
      </w:r>
      <w:r>
        <w:rPr>
          <w:rFonts w:hint="default" w:ascii="Times New Roman Regular" w:hAnsi="Times New Roman Regular" w:cs="Times New Roman Regular" w:eastAsiaTheme="minorEastAsia"/>
        </w:rPr>
        <w:t>论断。</w:t>
      </w:r>
    </w:p>
    <w:p w14:paraId="7F02925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As noted under B3, the authors define the relevant international system as China–Korea–Japan and then demonstrate that war among these three was rare. But this system definition is itself a choice that pre-selects for the conclusion. The authors acknowledge that steppe peoples constituted a persistent military threat to Chinese dynasties (p. 8), that Tibet briefly imitated Tang institutions (p. 1), and that frontier peoples </w:t>
      </w:r>
      <w:r>
        <w:rPr>
          <w:rFonts w:hint="default" w:ascii="Times New Roman Regular" w:hAnsi="Times New Roman Regular" w:cs="Times New Roman Regular"/>
          <w:lang w:val="en-US"/>
        </w:rPr>
        <w:t>“interacted with China, occasionally using Chinese practices and ideas in their foreign relations”</w:t>
      </w:r>
      <w:r>
        <w:rPr>
          <w:rFonts w:hint="default" w:ascii="Times New Roman Regular" w:hAnsi="Times New Roman Regular" w:cs="Times New Roman Regular" w:eastAsiaTheme="minorEastAsia"/>
        </w:rPr>
        <w:t xml:space="preserve"> (p. 14). Once the analytical boundary is expanded to include these actors, the picture of a peaceful hegemonic order characterized by the absence of bellicist pressures becomes substantially more complicated. The steppe-sedentary military frontier was one of the most consequential and enduring features of the East Asian order, and it directly shaped the Chinese fiscal-military institutions that Korea and Japan subsequently emulated. The </w:t>
      </w:r>
      <w:r>
        <w:rPr>
          <w:rFonts w:hint="default" w:ascii="Times New Roman Regular" w:hAnsi="Times New Roman Regular" w:cs="Times New Roman Regular"/>
          <w:lang w:val="en-US"/>
        </w:rPr>
        <w:t>“peace”</w:t>
      </w:r>
      <w:r>
        <w:rPr>
          <w:rFonts w:hint="default" w:ascii="Times New Roman Regular" w:hAnsi="Times New Roman Regular" w:cs="Times New Roman Regular" w:eastAsiaTheme="minorEastAsia"/>
        </w:rPr>
        <w:t xml:space="preserve"> of the Korea–Japan subsystem may have been partly a function of geographic insulation (separated by the sea from the main theaters of steppe-sedentary conflict) rather than a systemic property of the East Asian order as a whole. The methodological lesson is that the scope of the anti-bellicist argument is sensitive to the prior choice of system boundaries, and a different boundary would produce a different assessment of the role of war.</w:t>
      </w:r>
    </w:p>
    <w:p w14:paraId="124FB49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如B3所述，作者将相关国际体系定义为中日韩，然后证明这三者之间的战争罕见。但这一体系定义本身就是一个预先选择有利于结论的选择。作者承认草原民族对中国王朝构成了持续的军事威胁 (p. 8)，吐蕃短暂地模仿了唐朝制度 (p. 1)，边疆民族</w:t>
      </w:r>
      <w:r>
        <w:rPr>
          <w:rFonts w:hint="default" w:ascii="Times New Roman Regular" w:hAnsi="Times New Roman Regular" w:cs="Times New Roman Regular"/>
          <w:lang w:val="en-US"/>
        </w:rPr>
        <w:t>“与中国互动，偶尔在其对外关系中使用中国的惯例和观念”</w:t>
      </w:r>
      <w:r>
        <w:rPr>
          <w:rFonts w:hint="default" w:ascii="Times New Roman Regular" w:hAnsi="Times New Roman Regular" w:cs="Times New Roman Regular" w:eastAsiaTheme="minorEastAsia"/>
        </w:rPr>
        <w:t xml:space="preserve"> (p. 14)。一旦分析边界扩展到包括这些行为体，以战争主义压力缺失为特征的和平霸权秩序的图景就变得复杂得多。草原-定居军事边疆是东亚秩序中最具后果性和最持久的特征之一，它直接塑造了韩国和日本随后模仿的中国财政-军事制度。韩日子系统的</w:t>
      </w:r>
      <w:r>
        <w:rPr>
          <w:rFonts w:hint="default" w:ascii="Times New Roman Regular" w:hAnsi="Times New Roman Regular" w:cs="Times New Roman Regular"/>
          <w:lang w:val="en-US"/>
        </w:rPr>
        <w:t>“和平”</w:t>
      </w:r>
      <w:r>
        <w:rPr>
          <w:rFonts w:hint="default" w:ascii="Times New Roman Regular" w:hAnsi="Times New Roman Regular" w:cs="Times New Roman Regular" w:eastAsiaTheme="minorEastAsia"/>
        </w:rPr>
        <w:t>可能部分是地理隔绝的结果（被海洋与草原-定居冲突的主要战场分隔），而非东亚秩序整体的体系属性。方法论上的教训是，反战争主义论证的范围对先前体系边界的选择很敏感，不同的边界会产生对战争角色的不同评估。</w:t>
      </w:r>
    </w:p>
    <w:p w14:paraId="69FF3F4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B7. The paper risks replacing one regional particularism with another. / 论文有以一种地区特殊主义替代另一种的风险。</w:t>
      </w:r>
    </w:p>
    <w:p w14:paraId="43C8652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The authors successfully demonstrate that the bellicist thesis, inductively derived from the European experience, should not be treated as a universal law of state formation. This is a valuable contribution. However, the paper at times appears to make a symmetrical move in the opposite direction: presenting the East Asian emulation-under-hegemony pathway as if it were an alternative general theory of state formation, rather than a different particular case. The authors write that their research </w:t>
      </w:r>
      <w:r>
        <w:rPr>
          <w:rFonts w:hint="default" w:ascii="Times New Roman Regular" w:hAnsi="Times New Roman Regular" w:cs="Times New Roman Regular"/>
          <w:lang w:val="en-US"/>
        </w:rPr>
        <w:t>“leads to new insights about state formation in all societies, not just East Asia”</w:t>
      </w:r>
      <w:r>
        <w:rPr>
          <w:rFonts w:hint="default" w:ascii="Times New Roman Regular" w:hAnsi="Times New Roman Regular" w:cs="Times New Roman Regular" w:eastAsiaTheme="minorEastAsia"/>
        </w:rPr>
        <w:t xml:space="preserve"> (p. 2), and they frame their argument as a </w:t>
      </w:r>
      <w:r>
        <w:rPr>
          <w:rFonts w:hint="default" w:ascii="Times New Roman Regular" w:hAnsi="Times New Roman Regular" w:cs="Times New Roman Regular"/>
          <w:lang w:val="en-US"/>
        </w:rPr>
        <w:t>“positive theoretical advance”</w:t>
      </w:r>
      <w:r>
        <w:rPr>
          <w:rFonts w:hint="default" w:ascii="Times New Roman Regular" w:hAnsi="Times New Roman Regular" w:cs="Times New Roman Regular" w:eastAsiaTheme="minorEastAsia"/>
        </w:rPr>
        <w:t xml:space="preserve"> (p. 3). But they do not specify the scope conditions under which emulation-driven state formation should be expected to occur versus bellicist or other pathways. They do not demonstrate that this mechanism operates outside the specific context of the Sinic civilizational sphere. And they do not explain why this mechanism, rather than being a general theory, might itself be a historically contingent product of the particular features of the Chinese civilizational order — its writing system, its Confucian philosophy, its examination system, its centuries of institutional accumulation. A more cautious formulation would be that the paper successfully weakens bellicist universalism and proposes a highly suggestive alternative mechanism, but has not yet established a general theory. The distance between </w:t>
      </w:r>
      <w:r>
        <w:rPr>
          <w:rFonts w:hint="default" w:ascii="Times New Roman Regular" w:hAnsi="Times New Roman Regular" w:cs="Times New Roman Regular"/>
          <w:lang w:val="en-US"/>
        </w:rPr>
        <w:t>“the European path is not universal”</w:t>
      </w:r>
      <w:r>
        <w:rPr>
          <w:rFonts w:hint="default" w:ascii="Times New Roman Regular" w:hAnsi="Times New Roman Regular" w:cs="Times New Roman Regular" w:eastAsiaTheme="minorEastAsia"/>
        </w:rPr>
        <w:t xml:space="preserve"> and </w:t>
      </w:r>
      <w:r>
        <w:rPr>
          <w:rFonts w:hint="default" w:ascii="Times New Roman Regular" w:hAnsi="Times New Roman Regular" w:cs="Times New Roman Regular"/>
          <w:lang w:val="en-US"/>
        </w:rPr>
        <w:t>“the East Asian path provides a new general theory”</w:t>
      </w:r>
      <w:r>
        <w:rPr>
          <w:rFonts w:hint="default" w:ascii="Times New Roman Regular" w:hAnsi="Times New Roman Regular" w:cs="Times New Roman Regular" w:eastAsiaTheme="minorEastAsia"/>
        </w:rPr>
        <w:t xml:space="preserve"> is considerable, and the paper has not fully traversed it.</w:t>
      </w:r>
    </w:p>
    <w:p w14:paraId="7885F4F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作者成功证明了从欧洲经验归纳推导的战争主义论题不应被视为国家形成的普遍规律。这是有价值的贡献。然而，论文有时似乎做出了相反方向上的对称动作：将东亚霸权下的模仿路径呈现为一种替代性的一般国家形成理论，而非另一个特殊案例。作者写道他们的研究</w:t>
      </w:r>
      <w:r>
        <w:rPr>
          <w:rFonts w:hint="default" w:ascii="Times New Roman Regular" w:hAnsi="Times New Roman Regular" w:cs="Times New Roman Regular"/>
          <w:lang w:val="en-US"/>
        </w:rPr>
        <w:t>“对所有社会而非仅仅东亚的国家形成带来了新洞见”</w:t>
      </w:r>
      <w:r>
        <w:rPr>
          <w:rFonts w:hint="default" w:ascii="Times New Roman Regular" w:hAnsi="Times New Roman Regular" w:cs="Times New Roman Regular" w:eastAsiaTheme="minorEastAsia"/>
        </w:rPr>
        <w:t xml:space="preserve"> (p. 2)，并将其论证框定为</w:t>
      </w:r>
      <w:r>
        <w:rPr>
          <w:rFonts w:hint="default" w:ascii="Times New Roman Regular" w:hAnsi="Times New Roman Regular" w:cs="Times New Roman Regular"/>
          <w:lang w:val="en-US"/>
        </w:rPr>
        <w:t>“积极的理论推进”</w:t>
      </w:r>
      <w:r>
        <w:rPr>
          <w:rFonts w:hint="default" w:ascii="Times New Roman Regular" w:hAnsi="Times New Roman Regular" w:cs="Times New Roman Regular" w:eastAsiaTheme="minorEastAsia"/>
        </w:rPr>
        <w:t xml:space="preserve"> (p. 3)。但他们未指定在什么范围条件下模仿驱动的国家形成应该被预期发生（而非战争主义或其他路径）。他们未证明这一机制在中华文明圈的特定背景之外也能运作。他们也未解释为何这一机制可能本身就是中国文明秩序特有特征——其文字体系、儒家哲学、科举制度、数世纪的制度积累——的历史偶然产物，而非一般理论。更审慎的表述是：论文成功削弱了战争主义的普遍主义主张，并提出了一个极具启发性的替代机制，但尚未建立一般理论。</w:t>
      </w:r>
      <w:r>
        <w:rPr>
          <w:rFonts w:hint="default" w:ascii="Times New Roman Regular" w:hAnsi="Times New Roman Regular" w:cs="Times New Roman Regular"/>
          <w:lang w:val="en-US"/>
        </w:rPr>
        <w:t>“欧洲路径不是普遍的”</w:t>
      </w:r>
      <w:r>
        <w:rPr>
          <w:rFonts w:hint="default" w:ascii="Times New Roman Regular" w:hAnsi="Times New Roman Regular" w:cs="Times New Roman Regular" w:eastAsiaTheme="minorEastAsia"/>
        </w:rPr>
        <w:t>与</w:t>
      </w:r>
      <w:r>
        <w:rPr>
          <w:rFonts w:hint="default" w:ascii="Times New Roman Regular" w:hAnsi="Times New Roman Regular" w:cs="Times New Roman Regular"/>
          <w:lang w:val="en-US"/>
        </w:rPr>
        <w:t>“东亚路径提供了新的一般理论”</w:t>
      </w:r>
      <w:r>
        <w:rPr>
          <w:rFonts w:hint="default" w:ascii="Times New Roman Regular" w:hAnsi="Times New Roman Regular" w:cs="Times New Roman Regular" w:eastAsiaTheme="minorEastAsia"/>
        </w:rPr>
        <w:t>之间的距离相当大，论文尚未完全跨越。</w:t>
      </w:r>
    </w:p>
    <w:p w14:paraId="39C7503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Extensions: Potential extensions and new research questions / 拓展：潜在拓展与新研究问题</w:t>
      </w:r>
    </w:p>
    <w:p w14:paraId="52595B5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 Systematic cross-case comparison across all Sinic periphery polities. The most natural extension is to expand the empirical scope beyond Korea and Japan to include Vietnam /ˌviːetˈnæm/, the Ryukyu /riˈuːkjuː/ Kingdom, the Balhae /bɑːlˈheɪ/ state, the Nanzhao /ˈnɑːndʒaʊ/ kingdom, Tibet /tɪˈbɛt/, and various semi-nomadic polities of the northern steppe. Such a study could exploit variation in outcomes—some polities formed durable Chinese-style states, others adopted and then abandoned, and still others resisted entirely—to more rigorously test the emulation thesis against alternatives. This would address the selection-on-DV problem directly.</w:t>
      </w:r>
    </w:p>
    <w:p w14:paraId="32882BF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 Quantitative measurement of institutional adoption. Future research could develop a systematic coding scheme for institutional adoption across East Asian polities, creating a cross-polity, over-time dataset of when specific Chinese-style institutions were adopted, modified, or abandoned. This would allow for more rigorous testing of the temporal sequence, the correlates of adoption, and the conditions under which emulation produced lasting versus ephemeral institutions.</w:t>
      </w:r>
    </w:p>
    <w:p w14:paraId="6B989CE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 The microfoundations of emulation: elite networks and knowledge transmission. The paper identifies a regionwide epistemic community of Buddhist monks and Confucian scholars but does not trace the specific network structures, information flows, or social mechanisms through which institutional knowledge was transmitted. Social network analysis of the documented travel patterns of monks, scholars, and diplomats—combined with textual analysis of what specific knowledge they brought back—could provide much more fine-grained evidence of the emulation mechanism.</w:t>
      </w:r>
    </w:p>
    <w:p w14:paraId="2061A04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4. Testing the theory outside East Asia. The emulation-under-hegemony framework could be applied to other hegemonic systems: the Roman Mediterranean, the Islamic caliphates, the British Empire, or the post-1945 American-led order. Did peripheral polities in these systems also form states through emulation of the hegemon</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institutions? Under what conditions did emulation produce durable state formation versus superficial adoption? This would test the generalizability of the proposed mechanism beyond its original empirical domain.</w:t>
      </w:r>
    </w:p>
    <w:p w14:paraId="1FF2057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5. Formalizing the court-vs-nobility mechanism. The domestic political mechanism identified by the authors—that courts imported Chinese institutions to curb noble power—could be formalized as a game-theoretic model. A two-player game between the court and the nobility, where the court has the option to adopt foreign institutions that alter the domestic balance of power, could generate testable predictions about when courts will choose to emulate, what types of institutions they will prioritize, and under what conditions nobles will resist or accommodate.</w:t>
      </w:r>
    </w:p>
    <w:p w14:paraId="026DDBB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6. The long-run consequences of emulation-based vs. bellicist state formation. If these two paths to state formation are genuinely distinct, they should produce states with different institutional characteristics, different relationships between state and society, and different long-run developmental trajectories. Comparative research could investigate whether states formed through emulation (East Asia) differ systematically from states formed through war (Europe) in terms of fiscal capacity, military organization, the role of civil society, rule of law, and economic development over the long run.</w:t>
      </w:r>
    </w:p>
    <w:p w14:paraId="1A78EB0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7. Revisiting the role of internal violence. A productive research question is whether the </w:t>
      </w:r>
      <w:r>
        <w:rPr>
          <w:rFonts w:hint="default" w:ascii="Times New Roman Regular" w:hAnsi="Times New Roman Regular" w:cs="Times New Roman Regular"/>
          <w:lang w:val="en-US"/>
        </w:rPr>
        <w:t>“war”</w:t>
      </w:r>
      <w:r>
        <w:rPr>
          <w:rFonts w:hint="default" w:ascii="Times New Roman Regular" w:hAnsi="Times New Roman Regular" w:cs="Times New Roman Regular" w:eastAsiaTheme="minorEastAsia"/>
        </w:rPr>
        <w:t xml:space="preserve"> that made states in East Asia was not interstate war but intra-polity violence—the coercive suppression of competing clans, chiefdoms, and noble factions. If the consolidation of central authority required internal military campaigns, then a modified bellicist thesis might still apply, just at a different scale of analysis. This would require systematic data on internal conflicts during the period of state formation.</w:t>
      </w:r>
    </w:p>
    <w:p w14:paraId="55B466C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 对所有中华圈边缘政治体的系统性跨案例比较。 最自然的拓展是将实证范围从韩国和日本扩展到越南 /ˌviːetˈnæm/、琉球 /riˈuːkjuː/ 王国、渤海 /bɑːlˈheɪ/ 国、南诏 /ˈnɑːndʒaʊ/ 王国、吐蕃 /tɪˈbɛt/ 以及北方草原的各种半游牧政治体。这样的研究可以利用结果变异——一些政治体形成了持久的中国式国家，另一些先采纳后放弃，还有一些完全抵制——以更严谨地检验模仿论题与替代解释。这将直接解决因变量选择偏差问题。</w:t>
      </w:r>
    </w:p>
    <w:p w14:paraId="4BE621A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 制度采纳的量化测量。 未来研究可以开发一个系统性编码方案，对东亚各政治体的制度采纳进行编码，创建一个跨政治体、跨时间的数据集，记录特定中国式制度被采纳、修改或放弃的时间。这将允许更严谨地检验时间序列、采纳的相关因素以及模仿产生持久vs.短暂制度的条件。</w:t>
      </w:r>
    </w:p>
    <w:p w14:paraId="7075A6C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 模仿的微观基础：精英网络与知识传播。 论文识别了一个由佛教僧侣和儒家学者组成的区域性知识共同体，但未追踪制度知识传播的具体网络结构、信息流和社会机制。对有文献记载的僧侣、学者和外交官旅行模式的社会网络分析——结合对他们具体带回了什么知识的文本分析——可以提供模仿机制的更精细证据。</w:t>
      </w:r>
    </w:p>
    <w:p w14:paraId="7E600B3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4. 在东亚以外检验该理论。 霸权下的模仿框架可以应用于其他霸权体系：罗马地中海、伊斯兰哈里发国、大英帝国或1945年后美国主导的秩序。这些体系中的边缘政治体是否也通过模仿霸权国的制度来形成国家？在什么条件下模仿产生持久的国家形成而非表面采纳？这将检验所提机制在其原始经验领域之外的可推广性。</w:t>
      </w:r>
    </w:p>
    <w:p w14:paraId="1343EB8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5. 将宫廷对抗贵族机制形式化。 作者识别的国内政治机制——宫廷引入中国制度以遏制贵族权力——可以形式化为一个博弈论模型。宫廷与贵族之间的两人博弈，其中宫廷有选择采纳改变国内权力平衡的外国制度的选项，可以产生关于宫廷何时选择模仿、优先采纳何种类型制度、以及贵族在何种条件下抵制或妥协的可检验预测。</w:t>
      </w:r>
    </w:p>
    <w:p w14:paraId="7B833C4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6. 基于模仿的vs.基于战争的国家形成的长期后果。 如果这两条通向国家形成的路径确实不同，它们应该产生具有不同制度特征、不同国家-社会关系和不同长期发展轨迹的国家。比较研究可以调查通过模仿形成的国家（东亚）与通过战争形成的国家（欧洲）在财政能力、军事组织、公民社会角色、法治和长期经济发展方面是否存在系统性差异。</w:t>
      </w:r>
    </w:p>
    <w:p w14:paraId="2DCE480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7. 重新审视内部暴力的角色。 一个有成效的研究问题是：在东亚</w:t>
      </w:r>
      <w:r>
        <w:rPr>
          <w:rFonts w:hint="default" w:ascii="Times New Roman Regular" w:hAnsi="Times New Roman Regular" w:cs="Times New Roman Regular"/>
          <w:lang w:val="en-US"/>
        </w:rPr>
        <w:t>“制造国家”</w:t>
      </w:r>
      <w:r>
        <w:rPr>
          <w:rFonts w:hint="default" w:ascii="Times New Roman Regular" w:hAnsi="Times New Roman Regular" w:cs="Times New Roman Regular" w:eastAsiaTheme="minorEastAsia"/>
        </w:rPr>
        <w:t>的</w:t>
      </w:r>
      <w:r>
        <w:rPr>
          <w:rFonts w:hint="default" w:ascii="Times New Roman Regular" w:hAnsi="Times New Roman Regular" w:cs="Times New Roman Regular"/>
          <w:lang w:val="en-US"/>
        </w:rPr>
        <w:t>“战争”</w:t>
      </w:r>
      <w:r>
        <w:rPr>
          <w:rFonts w:hint="default" w:ascii="Times New Roman Regular" w:hAnsi="Times New Roman Regular" w:cs="Times New Roman Regular" w:eastAsiaTheme="minorEastAsia"/>
        </w:rPr>
        <w:t>是否不是国家间战争而是政治体内部暴力——对竞争氏族、酋邦和贵族派系的强制镇压。如果中央权威的巩固需要内部军事征讨，那么一个修正的战争主义论题可能仍然适用，只是在不同的分析层面。这需要关于国家形成期间内部冲突的系统性数据。</w:t>
      </w:r>
    </w:p>
    <w:p w14:paraId="6D19A9CB">
      <w:pPr>
        <w:rPr>
          <w:rFonts w:hint="default" w:ascii="Times New Roman Regular" w:hAnsi="Times New Roman Regular" w:cs="Times New Roman Regular" w:eastAsiaTheme="minorEastAsia"/>
        </w:rPr>
      </w:pPr>
    </w:p>
    <w:p w14:paraId="031C1C25">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Appendix: On the Absence of a Formal Model / 附录：关于形式模型的缺失</w:t>
      </w:r>
    </w:p>
    <w:p w14:paraId="093BCFA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Huang and Kang (2022) do not propose any formal model—no game-theoretic setup, no mathematical formalization, no regression model. The paper is purely qualitative and historical-interpretive. There is therefore no formal model to evaluate in terms of econometric or game-theoretic rigor. However, from the perspective of formal modeling, several observations are worth noting.</w:t>
      </w:r>
    </w:p>
    <w:p w14:paraId="5690BCB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core causal claim could in principle be formalized. The choice between emulation and competition as mechanisms of state formation is structurally analogous to a strategic choice problem: a court faces a choice between investing in Chinese-style institutions (emulation) and investing in military capacity (bellicist response to external threats), with the payoff depending on the international environment (hegemonic vs. balance-of-power) and the domestic environment (strength of the nobility). A simple game between the court and the nobility, with Chinese institutions as a strategy that shifts the distribution of power, could formalize the argument. However, the authors do not take this step, which means their claims about causal mechanisms remain at the level of verbal theory and historical narrative, without the discipline that formalization imposes in terms of specifying assumptions, deriving implications, and identifying scope conditions.</w:t>
      </w:r>
    </w:p>
    <w:p w14:paraId="4DD73DE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absence of formalization also means that the implicit comparison with the bellicist thesis is loose. The bellicist thesis itself has been formalized in various ways (e.g., in Tilly</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framework, in models of fiscal-military states), which allows for precise specification of when and why war should produce state formation. Without a comparable formal specification, the emulation thesis is harder to test and easier to confirm with selected evidence.</w:t>
      </w:r>
    </w:p>
    <w:p w14:paraId="0410DBF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Huang和Kang (2022) 未提出任何形式模型——无博弈论设定、无数学形式化、无回归模型。论文纯粹是定性的和历史诠释性的。因此不存在可以从计量经济学或博弈论严谨性角度评估的形式模型。然而，从形式建模的视角来看，有几点值得注意。</w:t>
      </w:r>
    </w:p>
    <w:p w14:paraId="445C62D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核心因果主张原则上可以形式化。在模仿与竞争之间作为国家形成机制的选择，在结构上类似于一个策略选择问题：宫廷面临在投资中国式制度（模仿）和投资军事能力（对外部威胁的战争主义回应）之间的选择，其回报取决于国际环境（霸权vs.均势）和国内环境（贵族的力量）。一个宫廷与贵族之间的简单博弈——以中国制度作为改变权力分配的策略——可以将论证形式化。然而作者未迈出这一步，这意味着他们关于因果机制的主张停留在口头理论和历史叙事的层面，缺乏形式化在明确假设、推导含义和识别范围条件方面所施加的纪律。</w:t>
      </w:r>
    </w:p>
    <w:p w14:paraId="459AAE1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形式化的缺失也意味着与战争主义论题的隐含比较是松散的。战争主义论题本身已以多种方式被形式化（如在Tilly的框架中、在财政-军事国家模型中），这允许精确指定战争何时以及为何应产生国家形成。缺乏可比的形式规定，模仿论题更难检验，更容易被选择性证据所证实。</w:t>
      </w:r>
    </w:p>
    <w:p w14:paraId="29A167ED">
      <w:pPr>
        <w:rPr>
          <w:rFonts w:hint="default" w:ascii="Times New Roman Regular" w:hAnsi="Times New Roman Regular" w:cs="Times New Roman Regular" w:eastAsiaTheme="minorEastAsia"/>
        </w:rPr>
      </w:pPr>
    </w:p>
    <w:p w14:paraId="48EE586B">
      <w:pPr>
        <w:rPr>
          <w:rFonts w:hint="default" w:ascii="Times New Roman Regular" w:hAnsi="Times New Roman Regular" w:cs="Times New Roman Regular" w:eastAsiaTheme="minorEastAsia"/>
        </w:rPr>
      </w:pPr>
      <w:r>
        <w:rPr>
          <w:rFonts w:hint="default" w:ascii="Times New Roman Regular" w:hAnsi="Times New Roman Regular" w:cs="Times New Roman Regular"/>
          <w:lang w:val="en-US"/>
        </w:rPr>
        <w:t>I</w:t>
      </w:r>
      <w:r>
        <w:rPr>
          <w:rFonts w:hint="default" w:ascii="Times New Roman Regular" w:hAnsi="Times New Roman Regular" w:cs="Times New Roman Regular" w:eastAsiaTheme="minorEastAsia"/>
        </w:rPr>
        <w:t xml:space="preserve"> sense that this paper, perhaps unintentionally, participates in a broader intellectual project of rehabilitating hierarchical international orders. By presenting the East Asian hegemonic system as one that produced state formation through peaceful emulation rather than violent competition, the paper implicitly suggests that hegemony — specifically Chinese hegemony — was benign, productive, and perhaps even preferable to the anarchic European balance of power. The tributary system becomes a model of civilizational diffusion rather than a structure of domination.</w:t>
      </w:r>
    </w:p>
    <w:p w14:paraId="3B96A43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Your instinct to be suspicious of this is well-founded, for several reasons.</w:t>
      </w:r>
    </w:p>
    <w:p w14:paraId="6220DDE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First, the paper's own evidence shows that the </w:t>
      </w:r>
      <w:r>
        <w:rPr>
          <w:rFonts w:hint="default" w:ascii="Times New Roman Regular" w:hAnsi="Times New Roman Regular" w:cs="Times New Roman Regular"/>
          <w:lang w:val="en-US"/>
        </w:rPr>
        <w:t xml:space="preserve"> “emulation”</w:t>
      </w:r>
      <w:r>
        <w:rPr>
          <w:rFonts w:hint="default" w:ascii="Times New Roman Regular" w:hAnsi="Times New Roman Regular" w:cs="Times New Roman Regular" w:eastAsiaTheme="minorEastAsia"/>
        </w:rPr>
        <w:t xml:space="preserve"> it describes was not purely voluntary in any straightforward sense. The domestic mechanism it identifies — courts using Chinese institutions to suppress nobles — is itself a story of coercion and power, just directed inward rather than outward. The adoption of Chinese institutions was not a free cultural exchange; it was a strategic move in a domestic power struggle. The fact that the coercion was internal rather than interstate does not make it less coercive.</w:t>
      </w:r>
    </w:p>
    <w:p w14:paraId="0DBE816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Second, the paper does not seriously examine the costs of Sinicization for those who did not benefit. What happened to the indigenous cultural traditions that were displaced? What happened to the people who were newly subjected to centralized taxation and conscription? What happened to the nobles who were subordinated? The paper treats Sinicization as an unambiguously positive civilizational achievement, but this is the perspective of the winners — the courts that consolidated power and the scholars who wrote the histories.</w:t>
      </w:r>
    </w:p>
    <w:p w14:paraId="66AE1DA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Third, and this connects to your Maruyama Masao /mɑːruːˈjɑːmɑː mɑːˈsɑːoʊ/ reference, there is a temporal sleight of hand at work. The paper takes a pre-modern political form, calls it a </w:t>
      </w:r>
      <w:r>
        <w:rPr>
          <w:rFonts w:hint="default" w:ascii="Times New Roman Regular" w:hAnsi="Times New Roman Regular" w:cs="Times New Roman Regular"/>
          <w:lang w:val="en-US"/>
        </w:rPr>
        <w:t xml:space="preserve"> “state”</w:t>
      </w:r>
      <w:r>
        <w:rPr>
          <w:rFonts w:hint="default" w:ascii="Times New Roman Regular" w:hAnsi="Times New Roman Regular" w:cs="Times New Roman Regular" w:eastAsiaTheme="minorEastAsia"/>
        </w:rPr>
        <w:t xml:space="preserve"> using a modern definition, and then uses it to challenge modern theories of state formation. But as Maruyama argued about Japanese intellectual history, there is a danger in treating pre-modern ideas and institutions as if they were already </w:t>
      </w:r>
      <w:r>
        <w:rPr>
          <w:rFonts w:hint="default" w:ascii="Times New Roman Regular" w:hAnsi="Times New Roman Regular" w:cs="Times New Roman Regular"/>
          <w:lang w:val="en-US"/>
        </w:rPr>
        <w:t xml:space="preserve"> “modern”</w:t>
      </w:r>
      <w:r>
        <w:rPr>
          <w:rFonts w:hint="default" w:ascii="Times New Roman Regular" w:hAnsi="Times New Roman Regular" w:cs="Times New Roman Regular" w:eastAsiaTheme="minorEastAsia"/>
        </w:rPr>
        <w:t xml:space="preserve"> or </w:t>
      </w:r>
      <w:r>
        <w:rPr>
          <w:rFonts w:hint="default" w:ascii="Times New Roman Regular" w:hAnsi="Times New Roman Regular" w:cs="Times New Roman Regular"/>
          <w:lang w:val="en-US"/>
        </w:rPr>
        <w:t xml:space="preserve"> “post-modern”</w:t>
      </w:r>
      <w:r>
        <w:rPr>
          <w:rFonts w:hint="default" w:ascii="Times New Roman Regular" w:hAnsi="Times New Roman Regular" w:cs="Times New Roman Regular" w:eastAsiaTheme="minorEastAsia"/>
        </w:rPr>
        <w:t xml:space="preserve"> without first reckoning with what modernity means and what it demands. The ritsuryo system was not a modern bureaucratic state that happened to be created through emulation rather than war; it was a fundamentally different kind of political order that happens to share some surface features with the modern state. Collapsing this distinction serves the paper's argument but obscures the historical reality.</w:t>
      </w:r>
    </w:p>
    <w:p w14:paraId="056F767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Your Maruyama point deserves to be stated more precisely. Maruyama's critique of Japanese wartime intellectuals who embraced </w:t>
      </w:r>
      <w:r>
        <w:rPr>
          <w:rFonts w:hint="default" w:ascii="Times New Roman Regular" w:hAnsi="Times New Roman Regular" w:cs="Times New Roman Regular"/>
          <w:lang w:val="en-US"/>
        </w:rPr>
        <w:t xml:space="preserve"> “overcoming modernity”</w:t>
      </w:r>
      <w:r>
        <w:rPr>
          <w:rFonts w:hint="default" w:ascii="Times New Roman Regular" w:hAnsi="Times New Roman Regular" w:cs="Times New Roman Regular" w:eastAsiaTheme="minorEastAsia"/>
        </w:rPr>
        <w:t xml:space="preserve"> (kindai no chōkoku / 近代の超克) was that Japan had never fully realized the intellectual and institutional content of modernity — individual autonomy, rational criticism, democratic accountability — and therefore could not meaningfully claim to have </w:t>
      </w:r>
      <w:r>
        <w:rPr>
          <w:rFonts w:hint="default" w:ascii="Times New Roman Regular" w:hAnsi="Times New Roman Regular" w:cs="Times New Roman Regular"/>
          <w:lang w:val="en-US"/>
        </w:rPr>
        <w:t xml:space="preserve"> “overcome”</w:t>
      </w:r>
      <w:r>
        <w:rPr>
          <w:rFonts w:hint="default" w:ascii="Times New Roman Regular" w:hAnsi="Times New Roman Regular" w:cs="Times New Roman Regular" w:eastAsiaTheme="minorEastAsia"/>
        </w:rPr>
        <w:t xml:space="preserve"> it. The claim to be </w:t>
      </w:r>
      <w:r>
        <w:rPr>
          <w:rFonts w:hint="default" w:ascii="Times New Roman Regular" w:hAnsi="Times New Roman Regular" w:cs="Times New Roman Regular"/>
          <w:lang w:val="en-US"/>
        </w:rPr>
        <w:t xml:space="preserve"> “post-modern”</w:t>
      </w:r>
      <w:r>
        <w:rPr>
          <w:rFonts w:hint="default" w:ascii="Times New Roman Regular" w:hAnsi="Times New Roman Regular" w:cs="Times New Roman Regular" w:eastAsiaTheme="minorEastAsia"/>
        </w:rPr>
        <w:t xml:space="preserve"> or </w:t>
      </w:r>
      <w:r>
        <w:rPr>
          <w:rFonts w:hint="default" w:ascii="Times New Roman Regular" w:hAnsi="Times New Roman Regular" w:cs="Times New Roman Regular"/>
          <w:lang w:val="en-US"/>
        </w:rPr>
        <w:t xml:space="preserve"> “anti-modern”</w:t>
      </w:r>
      <w:r>
        <w:rPr>
          <w:rFonts w:hint="default" w:ascii="Times New Roman Regular" w:hAnsi="Times New Roman Regular" w:cs="Times New Roman Regular" w:eastAsiaTheme="minorEastAsia"/>
        </w:rPr>
        <w:t xml:space="preserve"> was, in Maruyama's view, a way of evading the unfinished business of modernization by leaping over it. The parallel to this paper is suggestive: the claim that East Asia had </w:t>
      </w:r>
      <w:r>
        <w:rPr>
          <w:rFonts w:hint="default" w:ascii="Times New Roman Regular" w:hAnsi="Times New Roman Regular" w:cs="Times New Roman Regular"/>
          <w:lang w:val="en-US"/>
        </w:rPr>
        <w:t xml:space="preserve"> “states”</w:t>
      </w:r>
      <w:r>
        <w:rPr>
          <w:rFonts w:hint="default" w:ascii="Times New Roman Regular" w:hAnsi="Times New Roman Regular" w:cs="Times New Roman Regular" w:eastAsiaTheme="minorEastAsia"/>
        </w:rPr>
        <w:t xml:space="preserve"> before Europe, formed through civilized emulation rather than barbaric war, risks performing a similar leap — treating the pre-modern political order as if it had already achieved something that the concept of the modern state was designed to capture, without reckoning with the profound differences between the two.</w:t>
      </w:r>
    </w:p>
    <w:p w14:paraId="3681D26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感觉到这篇论文，也许是无意的，参与了一个更广泛的知识工程：为等级制国际秩序正名。通过将东亚霸权体系呈现为一个通过和平模仿而非暴力竞争产生国家形成的体系，论文隐含地暗示霸权——特别是中国的霸权——是良性的、有成效的，甚至可能优于无政府状态的欧洲均势。朝贡体系变成了文明扩散的模式，而非支配结构。</w:t>
      </w:r>
    </w:p>
    <w:p w14:paraId="6BB2783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你对此保持怀疑的直觉是有根据的，理由有几个。</w:t>
      </w:r>
    </w:p>
    <w:p w14:paraId="17CC85C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一，论文自身的证据表明它所描述的"模仿"在任何直接意义上都不是纯粹自愿的。它识别的国内机制——宫廷利用中国制度压制贵族——本身就是一个强制与权力的故事，只是指向内部而非外部。中国制度的采纳不是自由的文化交流；它是国内权力斗争中的战略举动。强制是内部的而非国家间的这一事实，并不使其减少强制性。</w:t>
      </w:r>
    </w:p>
    <w:p w14:paraId="267A27E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二，论文没有认真考察中国化对那些未从中获益者的代价。被取代的本土文化传统遭遇了什么？新近被纳入集权税收和征兵体制的民众遭遇了什么？被压制的贵族遭遇了什么？论文将中国化视为毫无争议的正面文明成就，但这是胜利者的视角——巩固了权力的宫廷和撰写了历史的学者。</w:t>
      </w:r>
    </w:p>
    <w:p w14:paraId="30A3884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第三，这与你引用丸山真男 /mɑːruːˈjɑːmɑː mɑːˈsɑːoʊ/ 的论点相关，这里存在一种时间上的偷换。论文取一种前现代政治形式，用现代定义称之为"国家"，然后用它来挑战现代的国家形成理论。但正如丸山关于日本思想史所论证的，将前现代的观念和制度当作已经"现代"或"后现代"来对待，而不首先清算现代性意味着什么、要求什么，这是危险的。律令制不是一个恰好通过模仿而非战争创建的现代官僚国家；它是一种根本不同类型的政治秩序，恰好与现代国家共享某些表面特征。消除这一区分有利于论文的论证，但遮蔽了历史现实。</w:t>
      </w:r>
    </w:p>
    <w:p w14:paraId="7420337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你的丸山论点值得更精确地表述。丸山对日本战时拥抱"超克近代"(kindai no chōkoku / 近代の超克) 的知识分子的批判是：日本从未充分实现现代性的知识和制度内容——个人自主、理性批判、民主问责——因此不能有意义地宣称已经"超克"了它。声称"后现代"或"反现代"，在丸山看来，是通过跳过现代化来逃避其未竟事业。与本文的平行暗示是：声称东亚在欧洲之前就有了"国家"、通过文明模仿而非野蛮战争形成，有执行类似跳跃的风险——将前现代政治秩序当作已经实现了现代国家概念旨在捕捉的东西，而不清算二者之间的深刻差异。</w:t>
      </w:r>
    </w:p>
    <w:p w14:paraId="7D63D011">
      <w:pPr>
        <w:rPr>
          <w:rFonts w:hint="default" w:ascii="Times New Roman Regular" w:hAnsi="Times New Roman Regular" w:cs="Times New Roman Regular" w:eastAsiaTheme="minorEastAsia"/>
        </w:rPr>
      </w:pPr>
    </w:p>
    <w:p w14:paraId="41362BB5">
      <w:pPr>
        <w:rPr>
          <w:rFonts w:hint="default" w:ascii="Times New Roman Regular" w:hAnsi="Times New Roman Regular" w:cs="Times New Roman Regular" w:eastAsiaTheme="minorEastAsia"/>
        </w:rPr>
      </w:pPr>
    </w:p>
    <w:p w14:paraId="05E198FA">
      <w:pPr>
        <w:rPr>
          <w:rFonts w:hint="default" w:ascii="Times New Roman Regular" w:hAnsi="Times New Roman Regular" w:cs="Times New Roman Regular" w:eastAsiaTheme="minor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Geneva">
    <w:panose1 w:val="020B0503030404040204"/>
    <w:charset w:val="00"/>
    <w:family w:val="auto"/>
    <w:pitch w:val="default"/>
    <w:sig w:usb0="E00002FF" w:usb1="5200205F" w:usb2="00A0C000" w:usb3="000002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UxMDgxMGVlMTkwNDEwNzkxODk2NGRmN2QyZTkyMjkifQ=="/>
  </w:docVars>
  <w:rsids>
    <w:rsidRoot w:val="EFF6DB61"/>
    <w:rsid w:val="1DB66107"/>
    <w:rsid w:val="2FB7A2DC"/>
    <w:rsid w:val="4F7F6D1C"/>
    <w:rsid w:val="6ADA84B4"/>
    <w:rsid w:val="6B7FA78A"/>
    <w:rsid w:val="6FFF1A81"/>
    <w:rsid w:val="7ADC0406"/>
    <w:rsid w:val="7DBFAA1B"/>
    <w:rsid w:val="7FFDF75E"/>
    <w:rsid w:val="B33F383F"/>
    <w:rsid w:val="BEFFD8AA"/>
    <w:rsid w:val="EFDF18B0"/>
    <w:rsid w:val="EFF6DB61"/>
    <w:rsid w:val="F679A1B6"/>
    <w:rsid w:val="FECF6E0A"/>
    <w:rsid w:val="FFD7D7CB"/>
    <w:rsid w:val="FFFD0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90</Pages>
  <Words>0</Words>
  <Characters>0</Characters>
  <Lines>1</Lines>
  <Paragraphs>1</Paragraphs>
  <TotalTime>419</TotalTime>
  <ScaleCrop>false</ScaleCrop>
  <LinksUpToDate>false</LinksUpToDate>
  <CharactersWithSpaces>0</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2026-03-24T07:06:00Z</dcterms:created>
  <dc:creator>夏一丹</dc:creator>
  <cp:lastModifiedBy>夏一丹</cp:lastModifiedBy>
  <dcterms:modified xsi:type="dcterms:W3CDTF">2026-03-26T12:26:44Z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D64DD610C6E40AA897B6C2692FA613AA_41</vt:lpwstr>
  </property>
</Properties>
</file>