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54367">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Lecture Notes: Cadasters and Economic Growth: A Long-Run Cross-Country Panel</w:t>
      </w:r>
    </w:p>
    <w:p w14:paraId="5946D848">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讲义：地籍登记与经济增长：一个长时段跨国面板研究</w:t>
      </w:r>
    </w:p>
    <w:p w14:paraId="36CA0B94">
      <w:pPr>
        <w:rPr>
          <w:rFonts w:hint="default" w:ascii="Times New Roman Regular" w:hAnsi="Times New Roman Regular" w:cs="Times New Roman Regular" w:eastAsiaTheme="minorEastAsia"/>
        </w:rPr>
      </w:pPr>
    </w:p>
    <w:p w14:paraId="19245CA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49CF18A1">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lang w:val="en-US"/>
        </w:rPr>
        <w:t>“Cadasters and Economic Growth: A Long-Run Cross-Country Panel”</w:t>
      </w:r>
    </w:p>
    <w:p w14:paraId="67A9DA1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《地籍登记与经济增长：一个长时段跨国面板研究》</w:t>
      </w:r>
    </w:p>
    <w:p w14:paraId="0A8A84C4">
      <w:pPr>
        <w:rPr>
          <w:rFonts w:hint="default" w:ascii="Times New Roman Regular" w:hAnsi="Times New Roman Regular" w:cs="Times New Roman Regular" w:eastAsiaTheme="minorEastAsia"/>
        </w:rPr>
      </w:pPr>
    </w:p>
    <w:p w14:paraId="773A1FC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7C108B5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Michelle D'Arcy /mɪˈʃɛl dɑːrsi/ (Trinity College Dublin /ˈtrɪnɪti ˈkɒlɪdʒ ˈdʌblɪn/), Marina Nistotskaya /məˈriːnə nɪˈstɒtskəjə/ (University of Gothenburg /ˈɡɒθənbɜːrɡ/), and Ola Olsson /ˈuːlə ˈɒlsən/ (University of Gothenburg /ˈɡɒθənbɜːrɡ/).</w:t>
      </w:r>
    </w:p>
    <w:p w14:paraId="5467406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米歇尔·达西 (Michelle D'Arcy /mɪˈʃɛl dɑːrsi/，都柏林三一学院 Trinity College Dublin /ˈtrɪnɪti ˈkɒlɪdʒ ˈdʌblɪn/)、玛丽娜·尼斯托茨卡娅 (Marina Nistotskaya /məˈriːnə nɪˈstɒtskəjə/，哥德堡大学 University of Gothenburg /ˈɡɒθənbɜːrɡ/)、乌拉·奥尔松 (Ola Olsson /ˈuːlə ˈɒlsən/，哥德堡大学)。</w:t>
      </w:r>
    </w:p>
    <w:p w14:paraId="26FF115F">
      <w:pPr>
        <w:rPr>
          <w:rFonts w:hint="default" w:ascii="Times New Roman Regular" w:hAnsi="Times New Roman Regular" w:cs="Times New Roman Regular" w:eastAsiaTheme="minorEastAsia"/>
        </w:rPr>
      </w:pPr>
    </w:p>
    <w:p w14:paraId="654FF7A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发表年份</w:t>
      </w:r>
    </w:p>
    <w:p w14:paraId="794CD75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2024, Journal of Political Economy, Volume 132, Number 11.</w:t>
      </w:r>
    </w:p>
    <w:p w14:paraId="16D444E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2024年，发表于《政治经济学期刊》(Journal of Political Economy)，第132卷第11期。</w:t>
      </w:r>
    </w:p>
    <w:p w14:paraId="5EE65163">
      <w:pPr>
        <w:rPr>
          <w:rFonts w:hint="default" w:ascii="Times New Roman Regular" w:hAnsi="Times New Roman Regular" w:cs="Times New Roman Regular" w:eastAsiaTheme="minorEastAsia"/>
        </w:rPr>
      </w:pPr>
    </w:p>
    <w:p w14:paraId="1DF49685">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 / 因变量：主要的因变量是什么？</w:t>
      </w:r>
    </w:p>
    <w:p w14:paraId="0507D7A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main dependent variable is </w:t>
      </w:r>
      <w:r>
        <w:rPr>
          <w:rFonts w:hint="default" w:ascii="Times New Roman Regular" w:hAnsi="Times New Roman Regular" w:cs="Times New Roman Regular" w:eastAsiaTheme="minorEastAsia"/>
          <w:color w:val="0000FF"/>
        </w:rPr>
        <w:t>economic growth</w:t>
      </w:r>
      <w:r>
        <w:rPr>
          <w:rFonts w:hint="default" w:ascii="Times New Roman Regular" w:hAnsi="Times New Roman Regular" w:cs="Times New Roman Regular" w:eastAsiaTheme="minorEastAsia"/>
        </w:rPr>
        <w:t>, measured as the log of real GDP per capita and, alternatively, as the annual growth rate of real GDP per capita. The authors use GDP data from two sources: the Penn World Tables via Acemoglu et al. (2019) for the 1960–2010 period, and the Maddison Project Database (Bolt and Van Zanden 2020) for the extended historical period from 1252 to 2015. In the mechanisms analysis, the dependent variables shift to intermediate outcome variables including transaction costs in property registration (number of procedures, number of days, monetary cost as percent of property value), tax revenue as a share of GDP (property taxes, direct taxes, indirect taxes, total tax ratio), and investment rates (gross capital formation as a share of GDP) (pp. 3786–3787, 3796, 3801, 3815–3820).</w:t>
      </w:r>
    </w:p>
    <w:p w14:paraId="4609661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主要的因变量是经济增长，以实际人均GDP的对数值衡量，或以实际人均GDP的年增长率衡量。作者使用了两个数据来源的GDP数据：一是Acemoglu等人(2019)使用的Penn World Tables数据（覆盖1960–2010年），二是Maddison项目数据库（Bolt and Van Zanden 2020）的历史数据（覆盖1252–2015年的扩展时段）。在机制分析中，因变量转换为一系列中间结果变量，包括不动产登记的交易成本（程序数、天数、货币成本占财产价值的百分比）、税收收入占GDP的比重（财产税、直接税、间接税、总税比）以及投资率（固定资本形成总额占GDP比重）（第3786–3787、3796、3801、3815–3820页）。</w:t>
      </w:r>
    </w:p>
    <w:p w14:paraId="57FFCDE1">
      <w:pPr>
        <w:rPr>
          <w:rFonts w:hint="default" w:ascii="Times New Roman Regular" w:hAnsi="Times New Roman Regular" w:cs="Times New Roman Regular" w:eastAsiaTheme="minorEastAsia"/>
        </w:rPr>
      </w:pPr>
    </w:p>
    <w:p w14:paraId="727675F4">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 / 自变量：主要的自变量是什么？</w:t>
      </w:r>
    </w:p>
    <w:p w14:paraId="40E66F7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main independent variable is </w:t>
      </w:r>
      <w:r>
        <w:rPr>
          <w:rFonts w:hint="default" w:ascii="Times New Roman Regular" w:hAnsi="Times New Roman Regular" w:cs="Times New Roman Regular" w:eastAsiaTheme="minorEastAsia"/>
          <w:color w:val="0000FF"/>
        </w:rPr>
        <w:t>Cadaster</w:t>
      </w:r>
      <w:r>
        <w:rPr>
          <w:rFonts w:hint="default" w:ascii="Times New Roman Regular" w:hAnsi="Times New Roman Regular" w:cs="Times New Roman Regular" w:eastAsiaTheme="minorEastAsia"/>
        </w:rPr>
        <w:t>, a novel composite index constructed by the authors to measure the existence, quality, and territorial extent of state-administered cadastral records in each country-year. The index is computed as the product of three score components: (1) whether a state-administered cadaster exists (z¹, binary: 1 if yes, 0 if no); (2) the type of cadaster—cartographic or narrative (z², scored 1 for cartographic, 0.75 for narrative); and (3) the proportion of the country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territory covered by the cadaster (z³, ranging from 0 to 1, with scores above 0.9 counted as 1). The final Cadaster indicator ranges from 0 (no state-administered cadaster) to 1 (a mapped cadaster covering at least 90% of the territory, termed a </w:t>
      </w:r>
      <w:r>
        <w:rPr>
          <w:rFonts w:hint="default" w:ascii="Times New Roman Regular" w:hAnsi="Times New Roman Regular" w:cs="Times New Roman Regular"/>
          <w:lang w:val="en-US"/>
        </w:rPr>
        <w:t>“full cadaster”</w:t>
      </w:r>
      <w:r>
        <w:rPr>
          <w:rFonts w:hint="default" w:ascii="Times New Roman Regular" w:hAnsi="Times New Roman Regular" w:cs="Times New Roman Regular" w:eastAsiaTheme="minorEastAsia"/>
        </w:rPr>
        <w:t>). The index is constructed for 159 countries from 1000 CE to 2015. The authors emphasize that the shift from no cadaster to having any cadaster matters more than incremental quality improvements within an existing system (pp. 3790–3792).</w:t>
      </w:r>
    </w:p>
    <w:p w14:paraId="48923A9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主要的自变量是地籍指数 (Cadaster)，这是作者构建的一个新型复合指标，用于衡量每个国家-年度的国家管理地籍登记的存在性、质量和领土覆盖范围。该指数由三个分项分数的乘积构成：(1) 是否存在国家管理的地籍登记（z¹，二值变量：有为1，无为0）；(2) 地籍类型——地图式还是叙述式（z²，地图式为1，叙述式为0.75）；(3) 地籍覆盖的国家领土比例（z³，从0到1，覆盖90%以上计为1）。最终的地籍指数取值范围为0（完全没有国家管理的地籍）到1（覆盖至少90%领土的地图式地籍，即所谓</w:t>
      </w:r>
      <w:r>
        <w:rPr>
          <w:rFonts w:hint="default" w:ascii="Times New Roman Regular" w:hAnsi="Times New Roman Regular" w:cs="Times New Roman Regular"/>
          <w:lang w:val="en-US"/>
        </w:rPr>
        <w:t>“完整地籍”</w:t>
      </w:r>
      <w:r>
        <w:rPr>
          <w:rFonts w:hint="default" w:ascii="Times New Roman Regular" w:hAnsi="Times New Roman Regular" w:cs="Times New Roman Regular" w:eastAsiaTheme="minorEastAsia"/>
        </w:rPr>
        <w:t>）。该指数覆盖了从公元1000年到2015年的159个国家。作者强调，从无地籍到有地籍的转变比在现有体系内的质量渐进改善更为重要（第3790–3792页）。</w:t>
      </w:r>
    </w:p>
    <w:p w14:paraId="1E4CEAEB">
      <w:pPr>
        <w:rPr>
          <w:rFonts w:hint="default" w:ascii="Times New Roman Regular" w:hAnsi="Times New Roman Regular" w:cs="Times New Roman Regular" w:eastAsiaTheme="minorEastAsia"/>
        </w:rPr>
      </w:pPr>
    </w:p>
    <w:p w14:paraId="252F74A1">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default" w:ascii="Times New Roman Regular" w:hAnsi="Times New Roman Regular" w:cs="Times New Roman Regular"/>
          <w:highlight w:val="yellow"/>
          <w:lang w:val="en-US"/>
        </w:rPr>
        <w:t>“state”</w:t>
      </w:r>
      <w:r>
        <w:rPr>
          <w:rFonts w:hint="default" w:ascii="Times New Roman Regular" w:hAnsi="Times New Roman Regular" w:cs="Times New Roman Regular" w:eastAsiaTheme="minorEastAsia"/>
          <w:highlight w:val="yellow"/>
        </w:rPr>
        <w:t xml:space="preserve"> and/or </w:t>
      </w:r>
      <w:r>
        <w:rPr>
          <w:rFonts w:hint="default" w:ascii="Times New Roman Regular" w:hAnsi="Times New Roman Regular" w:cs="Times New Roman Regular"/>
          <w:highlight w:val="yellow"/>
          <w:lang w:val="en-US"/>
        </w:rPr>
        <w:t>“state building”</w:t>
      </w:r>
      <w:r>
        <w:rPr>
          <w:rFonts w:hint="default" w:ascii="Times New Roman Regular" w:hAnsi="Times New Roman Regular" w:cs="Times New Roman Regular" w:eastAsiaTheme="minorEastAsia"/>
          <w:highlight w:val="yellow"/>
        </w:rPr>
        <w:t xml:space="preserve"> conceptualized and measured? / 国家性：如何概念化和衡量</w:t>
      </w:r>
      <w:r>
        <w:rPr>
          <w:rFonts w:hint="default" w:ascii="Times New Roman Regular" w:hAnsi="Times New Roman Regular" w:cs="Times New Roman Regular"/>
          <w:highlight w:val="yellow"/>
          <w:lang w:val="en-US"/>
        </w:rPr>
        <w:t>“国家”</w:t>
      </w:r>
      <w:r>
        <w:rPr>
          <w:rFonts w:hint="default" w:ascii="Times New Roman Regular" w:hAnsi="Times New Roman Regular" w:cs="Times New Roman Regular" w:eastAsiaTheme="minorEastAsia"/>
          <w:highlight w:val="yellow"/>
        </w:rPr>
        <w:t>和/或</w:t>
      </w:r>
      <w:r>
        <w:rPr>
          <w:rFonts w:hint="default" w:ascii="Times New Roman Regular" w:hAnsi="Times New Roman Regular" w:cs="Times New Roman Regular"/>
          <w:highlight w:val="yellow"/>
          <w:lang w:val="en-US"/>
        </w:rPr>
        <w:t>“国家建设”</w:t>
      </w:r>
      <w:r>
        <w:rPr>
          <w:rFonts w:hint="default" w:ascii="Times New Roman Regular" w:hAnsi="Times New Roman Regular" w:cs="Times New Roman Regular" w:eastAsiaTheme="minorEastAsia"/>
          <w:highlight w:val="yellow"/>
        </w:rPr>
        <w:t>？</w:t>
      </w:r>
    </w:p>
    <w:p w14:paraId="05C4CCA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paper does not adopt a single explicit theory of the state, but its conceptualization of the state draws on two interrelated traditions. First, it draws on the </w:t>
      </w:r>
      <w:r>
        <w:rPr>
          <w:rFonts w:hint="default" w:ascii="Times New Roman Regular" w:hAnsi="Times New Roman Regular" w:cs="Times New Roman Regular" w:eastAsiaTheme="minorEastAsia"/>
          <w:color w:val="0000FF"/>
        </w:rPr>
        <w:t>Coasean/institutional economics tradition</w:t>
      </w:r>
      <w:r>
        <w:rPr>
          <w:rFonts w:hint="default" w:ascii="Times New Roman Regular" w:hAnsi="Times New Roman Regular" w:cs="Times New Roman Regular" w:eastAsiaTheme="minorEastAsia"/>
        </w:rPr>
        <w:t xml:space="preserve"> (Coase 1960; North 1990) which views the state as the entity that can define, assign, and publicize property rights, thereby </w:t>
      </w:r>
      <w:r>
        <w:rPr>
          <w:rFonts w:hint="default" w:ascii="Times New Roman Regular" w:hAnsi="Times New Roman Regular" w:cs="Times New Roman Regular" w:eastAsiaTheme="minorEastAsia"/>
          <w:color w:val="0000FF"/>
        </w:rPr>
        <w:t>reducing transaction costs for economic agents</w:t>
      </w:r>
      <w:r>
        <w:rPr>
          <w:rFonts w:hint="default" w:ascii="Times New Roman Regular" w:hAnsi="Times New Roman Regular" w:cs="Times New Roman Regular" w:eastAsiaTheme="minorEastAsia"/>
        </w:rPr>
        <w:t xml:space="preserve">. A state-administered cadaster is the concrete institutional mechanism through which the state performs this function at national scale: it publicly specifies </w:t>
      </w:r>
      <w:r>
        <w:rPr>
          <w:rFonts w:hint="default" w:ascii="Times New Roman Regular" w:hAnsi="Times New Roman Regular" w:cs="Times New Roman Regular"/>
          <w:lang w:val="en-US"/>
        </w:rPr>
        <w:t>“who holds which rights over what property”</w:t>
      </w:r>
      <w:r>
        <w:rPr>
          <w:rFonts w:hint="default" w:ascii="Times New Roman Regular" w:hAnsi="Times New Roman Regular" w:cs="Times New Roman Regular" w:eastAsiaTheme="minorEastAsia"/>
        </w:rPr>
        <w:t xml:space="preserve"> (p. 3788). Second, the paper draws on</w:t>
      </w:r>
      <w:r>
        <w:rPr>
          <w:rFonts w:hint="default" w:ascii="Times New Roman Regular" w:hAnsi="Times New Roman Regular" w:cs="Times New Roman Regular" w:eastAsiaTheme="minorEastAsia"/>
          <w:color w:val="0000FF"/>
        </w:rPr>
        <w:t xml:space="preserve"> the state capacity literature</w:t>
      </w:r>
      <w:r>
        <w:rPr>
          <w:rFonts w:hint="default" w:ascii="Times New Roman Regular" w:hAnsi="Times New Roman Regular" w:cs="Times New Roman Regular" w:eastAsiaTheme="minorEastAsia"/>
        </w:rPr>
        <w:t xml:space="preserve"> (Mann 1984; Besley and Persson 2009, 2013; Dincecco and Katz 2016), conceptualizing </w:t>
      </w:r>
      <w:r>
        <w:rPr>
          <w:rFonts w:hint="default" w:ascii="Times New Roman Regular" w:hAnsi="Times New Roman Regular" w:cs="Times New Roman Regular" w:eastAsiaTheme="minorEastAsia"/>
          <w:color w:val="0000FF"/>
        </w:rPr>
        <w:t>cadasters as an instrument of infrastructural power</w:t>
      </w:r>
      <w:r>
        <w:rPr>
          <w:rFonts w:hint="default" w:ascii="Times New Roman Regular" w:hAnsi="Times New Roman Regular" w:cs="Times New Roman Regular" w:eastAsiaTheme="minorEastAsia"/>
        </w:rPr>
        <w:t>—the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capacity to penetrate civil society, collect information on taxable assets and liable parties, and deliver public goods. </w:t>
      </w:r>
    </w:p>
    <w:p w14:paraId="44304DBD">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eastAsia" w:ascii="宋体" w:hAnsi="宋体" w:eastAsia="宋体" w:cs="宋体"/>
          <w:kern w:val="2"/>
          <w:sz w:val="21"/>
          <w:szCs w:val="21"/>
          <w:lang w:val="en-US" w:eastAsia="zh-CN" w:bidi="ar"/>
        </w:rPr>
        <w:t>本文并未采用单一的明确国家理论，但其对国家的概念化基于两个相互关联的学术传统。第一，借鉴了科斯</w:t>
      </w:r>
      <w:r>
        <w:rPr>
          <w:rFonts w:hint="default" w:ascii="Times New Roman Regular" w:hAnsi="Times New Roman Regular" w:eastAsia="宋体" w:cs="Times New Roman Regular"/>
          <w:kern w:val="2"/>
          <w:sz w:val="21"/>
          <w:szCs w:val="21"/>
          <w:lang w:val="en-US" w:eastAsia="zh-CN" w:bidi="ar"/>
        </w:rPr>
        <w:t>/</w:t>
      </w:r>
      <w:r>
        <w:rPr>
          <w:rFonts w:hint="eastAsia" w:ascii="宋体" w:hAnsi="宋体" w:eastAsia="宋体" w:cs="宋体"/>
          <w:kern w:val="2"/>
          <w:sz w:val="21"/>
          <w:szCs w:val="21"/>
          <w:lang w:val="en-US" w:eastAsia="zh-CN" w:bidi="ar"/>
        </w:rPr>
        <w:t>制度经济学传统（</w:t>
      </w:r>
      <w:r>
        <w:rPr>
          <w:rFonts w:hint="default" w:ascii="Times New Roman Regular" w:hAnsi="Times New Roman Regular" w:eastAsia="Times New Roman Regular" w:cs="Times New Roman Regular"/>
          <w:kern w:val="2"/>
          <w:sz w:val="21"/>
          <w:szCs w:val="21"/>
          <w:lang w:val="en-US" w:eastAsia="zh-CN" w:bidi="ar"/>
        </w:rPr>
        <w:t>Coase 1960; North 1990</w:t>
      </w:r>
      <w:r>
        <w:rPr>
          <w:rFonts w:hint="eastAsia" w:ascii="宋体" w:hAnsi="宋体" w:eastAsia="宋体" w:cs="宋体"/>
          <w:kern w:val="2"/>
          <w:sz w:val="21"/>
          <w:szCs w:val="21"/>
          <w:lang w:val="en-US" w:eastAsia="zh-CN" w:bidi="ar"/>
        </w:rPr>
        <w:t>），将国家视为能够界定、分配和公示产权，从而降低经济主体交易成本的实体。国家管理的地籍登记是国家在全国范围内履行这一职能的具体制度机制：它公开标明</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谁对什么财产持有何种权利</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（第</w:t>
      </w:r>
      <w:r>
        <w:rPr>
          <w:rFonts w:hint="default" w:ascii="Times New Roman Regular" w:hAnsi="Times New Roman Regular" w:eastAsia="宋体" w:cs="Times New Roman Regular"/>
          <w:kern w:val="2"/>
          <w:sz w:val="21"/>
          <w:szCs w:val="21"/>
          <w:lang w:val="en-US" w:eastAsia="zh-CN" w:bidi="ar"/>
        </w:rPr>
        <w:t>3788</w:t>
      </w:r>
      <w:r>
        <w:rPr>
          <w:rFonts w:hint="eastAsia" w:ascii="宋体" w:hAnsi="宋体" w:eastAsia="宋体" w:cs="宋体"/>
          <w:kern w:val="2"/>
          <w:sz w:val="21"/>
          <w:szCs w:val="21"/>
          <w:lang w:val="en-US" w:eastAsia="zh-CN" w:bidi="ar"/>
        </w:rPr>
        <w:t>页）。第二，本文借鉴了国家能力文献（</w:t>
      </w:r>
      <w:r>
        <w:rPr>
          <w:rFonts w:hint="default" w:ascii="Times New Roman Regular" w:hAnsi="Times New Roman Regular" w:eastAsia="Times New Roman Regular" w:cs="Times New Roman Regular"/>
          <w:kern w:val="2"/>
          <w:sz w:val="21"/>
          <w:szCs w:val="21"/>
          <w:lang w:val="en-US" w:eastAsia="zh-CN" w:bidi="ar"/>
        </w:rPr>
        <w:t>Mann 1984; Besley and Persson 2009, 2013; Dincecco and Katz 2016</w:t>
      </w:r>
      <w:r>
        <w:rPr>
          <w:rFonts w:hint="eastAsia" w:ascii="宋体" w:hAnsi="宋体" w:eastAsia="宋体" w:cs="宋体"/>
          <w:kern w:val="2"/>
          <w:sz w:val="21"/>
          <w:szCs w:val="21"/>
          <w:lang w:val="en-US" w:eastAsia="zh-CN" w:bidi="ar"/>
        </w:rPr>
        <w:t>），将地籍登记概念化为基础性权力的工具</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即国家渗透市民社会、收集应税资产和纳税义务人信息、提供公共产品的能力。</w:t>
      </w:r>
    </w:p>
    <w:p w14:paraId="3596EAB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state is thus measured not through abstract indices of stateness but through a concrete and historically specific institutional output: the cadaster itself. The authors explicitly describe cadastral systems as</w:t>
      </w:r>
      <w:r>
        <w:rPr>
          <w:rFonts w:hint="default" w:ascii="Times New Roman Regular" w:hAnsi="Times New Roman Regular" w:cs="Times New Roman Regular" w:eastAsiaTheme="minorEastAsia"/>
          <w:color w:val="0000FF"/>
        </w:rPr>
        <w:t xml:space="preserve"> reflecting and enabling both the information dimension and the fiscal dimension of state capacity</w:t>
      </w:r>
      <w:r>
        <w:rPr>
          <w:rFonts w:hint="default" w:ascii="Times New Roman Regular" w:hAnsi="Times New Roman Regular" w:cs="Times New Roman Regular" w:eastAsiaTheme="minorEastAsia"/>
        </w:rPr>
        <w:t xml:space="preserve"> (pp. 3789, 3817). Their index of cadasters can therefore be read as a novel, historically grounded proxy for a particular dimension of state-building—namely, the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capacity to formalize land relations through public record-keeping, which simultaneously serves the purposes of taxation and market facilitation. Notably, the authors acknowledge that cadasters can be both fiscal (established for tax purposes) and legal (established for recording property rights), and that even fiscal cadasters contain enough information to serve as de facto property rights registries (pp. 3786, 3789).</w:t>
      </w:r>
    </w:p>
    <w:p w14:paraId="1FFB8A4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因此，国家性并非通过抽象的国家性指数来衡量，而是通过一个具体的、具有历史特定性的制度产出——地籍登记本身——来衡量。作者明确将地籍体系描述为既反映又赋能国家能力的信息维度和财政维度（第3789、3817页）。因此，他们的地籍指数可以被解读为衡量国家建设特定维度的一种新颖的、以历史为基础的代理变量——即国家通过公共档案管理将土地关系正式化的能力，这种能力同时服务于征税和市场促进两个目的。值得注意的是，作者承认地籍既可以是财政性的（为征税目的而建立），也可以是法律性的（为记录产权而建立），而且即使是财政性地籍也包含足够的信息，可以在事实上作为产权登记册发挥作用（第3786、3789页）。</w:t>
      </w:r>
    </w:p>
    <w:p w14:paraId="584A1EDE">
      <w:pPr>
        <w:rPr>
          <w:rFonts w:hint="default" w:ascii="Times New Roman Regular" w:hAnsi="Times New Roman Regular" w:cs="Times New Roman Regular" w:eastAsiaTheme="minorEastAsia"/>
        </w:rPr>
      </w:pPr>
    </w:p>
    <w:p w14:paraId="54F1E95A">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about the relationship between IV and DV? / 核心论点：自变量与因变量之间关系的核心论点是什么？</w:t>
      </w:r>
    </w:p>
    <w:p w14:paraId="7E880BB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core argument is that </w:t>
      </w:r>
      <w:r>
        <w:rPr>
          <w:rFonts w:hint="default" w:ascii="Times New Roman Regular" w:hAnsi="Times New Roman Regular" w:cs="Times New Roman Regular" w:eastAsiaTheme="minorEastAsia"/>
          <w:color w:val="0000FF"/>
        </w:rPr>
        <w:t>the adoption and development of state-administered cadasters has a substantive positive association with long-run economic growth</w:t>
      </w:r>
      <w:r>
        <w:rPr>
          <w:rFonts w:hint="default" w:ascii="Times New Roman Regular" w:hAnsi="Times New Roman Regular" w:cs="Times New Roman Regular" w:eastAsiaTheme="minorEastAsia"/>
        </w:rPr>
        <w:t xml:space="preserve">. The authors argue that cadasters facilitate economic growth through multiple channels rooted in well-established theoretical traditions. From the Coasean perspective, </w:t>
      </w:r>
      <w:r>
        <w:rPr>
          <w:rFonts w:hint="default" w:ascii="Times New Roman Regular" w:hAnsi="Times New Roman Regular" w:cs="Times New Roman Regular" w:eastAsiaTheme="minorEastAsia"/>
          <w:color w:val="0000FF"/>
        </w:rPr>
        <w:t>cadasters publicly define property rights</w:t>
      </w:r>
      <w:r>
        <w:rPr>
          <w:rFonts w:hint="default" w:ascii="Times New Roman Regular" w:hAnsi="Times New Roman Regular" w:cs="Times New Roman Regular" w:eastAsiaTheme="minorEastAsia"/>
        </w:rPr>
        <w:t xml:space="preserve">—specifying what property exists, who holds it, and what rights attach to it—which </w:t>
      </w:r>
      <w:r>
        <w:rPr>
          <w:rFonts w:hint="default" w:ascii="Times New Roman Regular" w:hAnsi="Times New Roman Regular" w:cs="Times New Roman Regular" w:eastAsiaTheme="minorEastAsia"/>
          <w:color w:val="0000FF"/>
        </w:rPr>
        <w:t>is a prerequisite for market transactions and reduces transaction costs</w:t>
      </w:r>
      <w:r>
        <w:rPr>
          <w:rFonts w:hint="default" w:ascii="Times New Roman Regular" w:hAnsi="Times New Roman Regular" w:cs="Times New Roman Regular" w:eastAsiaTheme="minorEastAsia"/>
        </w:rPr>
        <w:t xml:space="preserve">. From the state capacity perspective, cadasters </w:t>
      </w:r>
      <w:r>
        <w:rPr>
          <w:rFonts w:hint="default" w:ascii="Times New Roman Regular" w:hAnsi="Times New Roman Regular" w:cs="Times New Roman Regular" w:eastAsiaTheme="minorEastAsia"/>
          <w:color w:val="0000FF"/>
        </w:rPr>
        <w:t>enhance the state</w:t>
      </w:r>
      <w:r>
        <w:rPr>
          <w:rFonts w:hint="default" w:ascii="Times New Roman Regular" w:hAnsi="Times New Roman Regular" w:cs="Times New Roman Regular"/>
          <w:color w:val="0000FF"/>
          <w:lang w:val="en-US"/>
        </w:rPr>
        <w:t>’s</w:t>
      </w:r>
      <w:r>
        <w:rPr>
          <w:rFonts w:hint="default" w:ascii="Times New Roman Regular" w:hAnsi="Times New Roman Regular" w:cs="Times New Roman Regular" w:eastAsiaTheme="minorEastAsia"/>
          <w:color w:val="0000FF"/>
        </w:rPr>
        <w:t xml:space="preserve"> ability to tax and provide public goods</w:t>
      </w:r>
      <w:r>
        <w:rPr>
          <w:rFonts w:hint="default" w:ascii="Times New Roman Regular" w:hAnsi="Times New Roman Regular" w:cs="Times New Roman Regular" w:eastAsiaTheme="minorEastAsia"/>
        </w:rPr>
        <w:t xml:space="preserve">, a factor independently linked to growth. The authors are careful throughout the paper to frame their findings as showing a strong positive correlation that is </w:t>
      </w:r>
      <w:r>
        <w:rPr>
          <w:rFonts w:hint="default" w:ascii="Times New Roman Regular" w:hAnsi="Times New Roman Regular" w:cs="Times New Roman Regular"/>
          <w:lang w:val="en-US"/>
        </w:rPr>
        <w:t>“suggestive but not necessarily causal”</w:t>
      </w:r>
      <w:r>
        <w:rPr>
          <w:rFonts w:hint="default" w:ascii="Times New Roman Regular" w:hAnsi="Times New Roman Regular" w:cs="Times New Roman Regular" w:eastAsiaTheme="minorEastAsia"/>
        </w:rPr>
        <w:t xml:space="preserve"> (p. 3787). They explicitly acknowledge that cadastral reforms are often bundled with other institutional reforms and may be introduced during periods of economic recovery, making clean causal identification extremely difficult. Nevertheless, they argue that the magnitude, robustness, and consistency of the positive association across many specifications, time periods, and subsamples provides meaningful evidence that cadasters matter for growth. A key empirical finding is that the positive association is strongest in the post-1900 period and is largely absent before 1900, which the authors interpret as suggesting that </w:t>
      </w:r>
      <w:r>
        <w:rPr>
          <w:rFonts w:hint="default" w:ascii="Times New Roman Regular" w:hAnsi="Times New Roman Regular" w:cs="Times New Roman Regular" w:eastAsiaTheme="minorEastAsia"/>
          <w:color w:val="0000FF"/>
        </w:rPr>
        <w:t>cadastral reforms may require complementary modern institutions (financial intermediaries, administrative capacity) to translate into growth effects</w:t>
      </w:r>
      <w:r>
        <w:rPr>
          <w:rFonts w:hint="default" w:ascii="Times New Roman Regular" w:hAnsi="Times New Roman Regular" w:cs="Times New Roman Regular" w:eastAsiaTheme="minorEastAsia"/>
        </w:rPr>
        <w:t xml:space="preserve"> (pp. 3786–3787, 3802, 3821).</w:t>
      </w:r>
    </w:p>
    <w:p w14:paraId="41E4810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核心论点是，国家管理的地籍登记的采用与发展与长期经济增长之间存在实质性的正向关联。作者论证，地籍登记通过根植于成熟理论传统的多重渠道促进经济增长。从科斯的视角看，地籍登记公开界定了产权——标明存在什么财产、谁持有它、以及附带何种权利——这是市场交易的先决条件，并降低了交易成本。从国家能力的视角看，地籍登记增强了国家征税和提供公共产品的能力，而这一因素本身就与经济增长独立相关。作者在全文中谨慎地将其发现框定为展示了一种</w:t>
      </w:r>
      <w:r>
        <w:rPr>
          <w:rFonts w:hint="default" w:ascii="Times New Roman Regular" w:hAnsi="Times New Roman Regular" w:cs="Times New Roman Regular"/>
          <w:lang w:val="en-US"/>
        </w:rPr>
        <w:t>“有启示性但不一定是因果性的”</w:t>
      </w:r>
      <w:r>
        <w:rPr>
          <w:rFonts w:hint="default" w:ascii="Times New Roman Regular" w:hAnsi="Times New Roman Regular" w:cs="Times New Roman Regular" w:eastAsiaTheme="minorEastAsia"/>
        </w:rPr>
        <w:t>强正相关关系（第3787页）。他们明确承认，地籍改革往往与其他制度改革捆绑实施，也可能在经济复苏时期引入，使得清晰的因果识别极为困难。尽管如此，他们认为，这种正向关联在众多模型设定、时间段和子样本中的幅度、稳健性和一致性，提供了地籍登记对增长确实重要的有意义证据。一个关键的实证发现是，这种正向关联在1900年后的时期最为强烈，而在1900年以前基本不存在。作者将此解读为：地籍改革可能需要互补性的现代制度（金融中介、行政能力）才能转化为增长效应（第3786–3787、3802、3821页）。</w:t>
      </w:r>
    </w:p>
    <w:p w14:paraId="1FFF6EB9">
      <w:pPr>
        <w:rPr>
          <w:rFonts w:hint="default" w:ascii="Times New Roman Regular" w:hAnsi="Times New Roman Regular" w:cs="Times New Roman Regular" w:eastAsiaTheme="minorEastAsia"/>
        </w:rPr>
      </w:pPr>
    </w:p>
    <w:p w14:paraId="52092C80">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 机制：提出了哪些机制？</w:t>
      </w:r>
    </w:p>
    <w:p w14:paraId="5EF6738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propose three main mechanisms through which cadasters may influence economic growth, and they empirically test each one.</w:t>
      </w:r>
    </w:p>
    <w:p w14:paraId="462B227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(1) Reduced transaction costs (Coasean channel). </w:t>
      </w:r>
      <w:r>
        <w:rPr>
          <w:rFonts w:hint="default" w:ascii="Times New Roman Regular" w:hAnsi="Times New Roman Regular" w:cs="Times New Roman Regular" w:eastAsiaTheme="minorEastAsia"/>
          <w:color w:val="0000FF"/>
        </w:rPr>
        <w:t>Cadasters contain authoritative information</w:t>
      </w:r>
      <w:r>
        <w:rPr>
          <w:rFonts w:hint="default" w:ascii="Times New Roman Regular" w:hAnsi="Times New Roman Regular" w:cs="Times New Roman Regular" w:eastAsiaTheme="minorEastAsia"/>
        </w:rPr>
        <w:t xml:space="preserve"> on what land exists, who owns it, and what encumbrances are attached. </w:t>
      </w:r>
      <w:r>
        <w:rPr>
          <w:rFonts w:hint="default" w:ascii="Times New Roman Regular" w:hAnsi="Times New Roman Regular" w:cs="Times New Roman Regular" w:eastAsiaTheme="minorEastAsia"/>
          <w:color w:val="0000FF"/>
        </w:rPr>
        <w:t>By making this information publicly available through a state-administered registry, cadasters reduce the costs of buying, selling, and mortgaging property</w:t>
      </w:r>
      <w:r>
        <w:rPr>
          <w:rFonts w:hint="default" w:ascii="Times New Roman Regular" w:hAnsi="Times New Roman Regular" w:cs="Times New Roman Regular" w:eastAsiaTheme="minorEastAsia"/>
        </w:rPr>
        <w:t>. This enables market transactions at scale between strangers rather than only within local networks of personal trust. The authors test this by regressing the World Bank</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Registering Property Indicators (number of procedures, days, and monetary cost) on the Cadaster index for 2005–2015. They find that a typical cadastral reform (magnitude 0.3) is associated with approximately 29.7 fewer days of waiting for property registration, a highly significant result. Effects on the number of procedures and monetary costs are less robust (pp. 3788–3789, 3815–3817).</w:t>
      </w:r>
    </w:p>
    <w:p w14:paraId="7A0E44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Enhanced state capacity and taxation (fiscal channel). </w:t>
      </w:r>
      <w:r>
        <w:rPr>
          <w:rFonts w:hint="default" w:ascii="Times New Roman Regular" w:hAnsi="Times New Roman Regular" w:cs="Times New Roman Regular" w:eastAsiaTheme="minorEastAsia"/>
          <w:color w:val="0000FF"/>
        </w:rPr>
        <w:t>Cadasters furnish the state with information on taxable assets and who is liable, thereby enhancing fiscal capacity</w:t>
      </w:r>
      <w:r>
        <w:rPr>
          <w:rFonts w:hint="default" w:ascii="Times New Roman Regular" w:hAnsi="Times New Roman Regular" w:cs="Times New Roman Regular" w:eastAsiaTheme="minorEastAsia"/>
        </w:rPr>
        <w:t>. Using tax data from the Government Revenue Dataset (UNU-WIDER 2021) for 1980–2015, the authors find, somewhat surprisingly, that cadasters do not significantly increase property or direct taxes. Instead, they find a strong positive effect on indirect (consumption) taxes, which they interpret through two sub-mechanisms: first, cadastral reform increases household</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effective wealth, boosting consumption and hence indirect tax revenues; second, cadastral reform brings informal economic activity into the bureaucratic reach of the state, facilitating collection of VAT and similar taxes (pp. 3789, 3817–3820).</w:t>
      </w:r>
    </w:p>
    <w:p w14:paraId="4EA8708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(3) Investment demand (de Soto channel). Drawing on de Soto (2000) and Besley, Burchardi, and Ghatak (2012), the authors argue that </w:t>
      </w:r>
      <w:r>
        <w:rPr>
          <w:rFonts w:hint="default" w:ascii="Times New Roman Regular" w:hAnsi="Times New Roman Regular" w:cs="Times New Roman Regular" w:eastAsiaTheme="minorEastAsia"/>
          <w:color w:val="0000FF"/>
        </w:rPr>
        <w:t>formalized property rights should enable landowners to use real estate as collateral, increasing credit availability and investment demand</w:t>
      </w:r>
      <w:r>
        <w:rPr>
          <w:rFonts w:hint="default" w:ascii="Times New Roman Regular" w:hAnsi="Times New Roman Regular" w:cs="Times New Roman Regular" w:eastAsiaTheme="minorEastAsia"/>
        </w:rPr>
        <w:t xml:space="preserve">. They test this using World Bank data on gross capital formation as a share of GDP from the 1960s onward. The results show a positive but weaker and less precisely estimated effect: investment peaks about 5 years after reform. The authors conclude that </w:t>
      </w:r>
      <w:r>
        <w:rPr>
          <w:rFonts w:hint="default" w:ascii="Times New Roman Regular" w:hAnsi="Times New Roman Regular" w:cs="Times New Roman Regular" w:eastAsiaTheme="minorEastAsia"/>
          <w:color w:val="0000FF"/>
        </w:rPr>
        <w:t>this channel is less important</w:t>
      </w:r>
      <w:r>
        <w:rPr>
          <w:rFonts w:hint="default" w:ascii="Times New Roman Regular" w:hAnsi="Times New Roman Regular" w:cs="Times New Roman Regular" w:eastAsiaTheme="minorEastAsia"/>
        </w:rPr>
        <w:t xml:space="preserve"> than transaction costs or state capacity, and they interpret this as suggesting that the Coasean clarity-of-property-rights mechanism matters more than the de Soto collateral-access mechanism (pp. 3788, 3820–3821).</w:t>
      </w:r>
    </w:p>
    <w:p w14:paraId="4BE27DA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作者提出了地籍登记可能影响经济增长的三个主要机制，并对每个机制进行了实证检验。</w:t>
      </w:r>
    </w:p>
    <w:p w14:paraId="686A8F8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降低交易成本（科斯渠道）。 地籍登记包含关于土地存在、归属和附带负担的权威信息。通过国家管理的登记系统公开这些信息，地籍降低了买卖和抵押不动产的成本，使陌生人之间也能进行大规模市场交易，而不仅仅局限于基于个人信任的本地网络。作者使用2005–2015年世界银行的不动产登记指标（程序数、天数和货币成本）对地籍指数进行回归来检验这一机制。他们发现，一次典型的地籍改革（幅度0.3）与不动产登记等待时间减少约29.7天相关联，结果高度显著。对程序数和货币成本的效果则不够稳健（第3788–3789、3815–3817页）。</w:t>
      </w:r>
    </w:p>
    <w:p w14:paraId="7205629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增强国家能力与税收（财政渠道）。 地籍登记为国家提供关于应税资产和纳税义务人的信息，从而增强财政能力。使用联合国大学世界发展经济研究所（UNU-WIDER 2021）1980–2015年的税收数据，作者发现一个颇出乎意料的结果：地籍并未显著增加财产税或直接税收。相反，他们发现了对间接税（消费税）的强正效应。他们通过两个子机制来解释：第一，地籍改革增加了家庭的有效财富，促进消费进而提高间接税收入；第二，地籍改革将非正规经济活动纳入国家官僚体系的管辖范围，便于征收增值税等税种（第3789、3817–3820页）。</w:t>
      </w:r>
    </w:p>
    <w:p w14:paraId="74D7320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投资需求（德索托渠道）。 借鉴德索托（de Soto 2000）和Besley, Burchardi, and Ghatak (2012)，作者论证，正式化的产权应使土地所有者能够以不动产作为抵押物，从而增加信贷可得性和投资需求。他们使用世界银行从1960年代起的固定资本形成总额占GDP比重数据来检验这一机制。结果显示效果为正但较弱且估计精度较低：投资在改革约5年后达到峰值。作者由此得出结论，这一渠道不如交易成本或国家能力渠道重要。他们将此解读为：科斯式的产权清晰性机制比德索托式的抵押品可及性机制更为重要（第3788、3820–3821页）。</w:t>
      </w:r>
    </w:p>
    <w:p w14:paraId="5B8190E2">
      <w:pPr>
        <w:rPr>
          <w:rFonts w:hint="default" w:ascii="Times New Roman Regular" w:hAnsi="Times New Roman Regular" w:cs="Times New Roman Regular" w:eastAsiaTheme="minorEastAsia"/>
        </w:rPr>
      </w:pPr>
    </w:p>
    <w:p w14:paraId="0454DA8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 数据：使用了什么数据？</w:t>
      </w:r>
    </w:p>
    <w:p w14:paraId="48B5FE1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employs a rich combination of novel and existing datasets.</w:t>
      </w:r>
    </w:p>
    <w:p w14:paraId="06A0A53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Cadaster Index (novel data). The core dataset is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Cadaster index, constructed for 159 countries from 1000 CE to 2015. It is an annual panel coding the existence, type (narrative vs. cartographic), and territorial coverage of state-administered cadastral records within countrie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contemporary borders. The construction drew on several hundred sources in multiple languages, was subject to a peer review of coding principles (D'Arcy, Nistotskaya, and Ellis 2019), and was validated by the Fédération Internationale des Géomètres (FIG), the international association of land surveyors. As a validity check, the authors show that their Cadaster index in 2015 correlates at 0.75 with the World Bank</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Quality of Land Administration Index in 2016 (pp. 3790–3793).</w:t>
      </w:r>
    </w:p>
    <w:p w14:paraId="4467F44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GDP data. For the baseline analysis (1960–2010), the authors use GDP per capita data from the Penn World Tables as employed in Acemoglu et al. (2019). For the extended historical analysis (1252–2015), they use the Maddison Project Database (Bolt and Van Zanden 2020), an unbalanced panel with few time series in medieval times but 153 country observations by 2015. The United Kingdom /juːˈnaɪtɪd ˈkɪŋdəm/ has the longest series (from 1252), followed by France /fræns/ (1280), Sweden /ˈswiːdən/ (1300), Italy /ˈɪtəli/ (1315), and the Netherlands /ˈnɛðərləndz/ (1348) (pp. 3801).</w:t>
      </w:r>
    </w:p>
    <w:p w14:paraId="246E645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Democracy data. The Democracy variable is taken directly from Acemoglu et al. (2019), a dichotomous measure of democratic transitions.</w:t>
      </w:r>
    </w:p>
    <w:p w14:paraId="7B3610D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Transaction costs data. The World Bank</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Registering Property Indicators (2005–2020, used up to 2015) for up to 149 countries.</w:t>
      </w:r>
    </w:p>
    <w:p w14:paraId="33FCE4C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Tax data. The Government Revenue Dataset (UNU-WIDER 2021) for 1980–2015, providing property taxes, direct taxes, indirect taxes, and total tax ratios as shares of GDP for up to 115 countries. Also, the tax ratio from Acemoglu et al. (2019) for 1960–2010.</w:t>
      </w:r>
    </w:p>
    <w:p w14:paraId="7FDC5C3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Investment data. Gross capital formation as a share of GDP from the World Bank</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World Development Indicators (from ~1960).</w:t>
      </w:r>
    </w:p>
    <w:p w14:paraId="4A93ED8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Prussian sub-national data. For the Prussia /ˈprʌʃə/ case study, data come from the Ifo Prussian Economic History Database (iPEHD), containing digitized information from Prussian historical censuses at the county level for 266 counties, and variables created by Cinnirella and Hornung (2016). Outcome variables are farm density and land concentration in 1816, 1849, 1858, 1864, and 1882 (pp. 3811–3812).</w:t>
      </w:r>
    </w:p>
    <w:p w14:paraId="707CDF9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Unit of analysis. Country-year for the main analysis; county for the Prussian analysis.</w:t>
      </w:r>
    </w:p>
    <w:p w14:paraId="2314125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本文使用了新型数据与现有数据集的丰富组合。</w:t>
      </w:r>
    </w:p>
    <w:p w14:paraId="77429CE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地籍指数（原创数据）。 核心数据集是作者自行构建的地籍指数，覆盖159个国家从公元1000年到2015年。它是一个年度面板数据，编码各国当代国界内国家管理地籍登记的存在性、类型（叙述式vs.地图式）和领土覆盖范围。构建过程使用了多种语言的数百个资料来源，编码原则经过同行评审（D'Arcy, Nistotskaya, and Ellis 2019），并由国际测量师联合会（FIG）验证。作为效度检验，作者展示了其2015年地籍指数与2016年世界银行土地管理质量指数的相关系数为0.75（第3790–3793页）。</w:t>
      </w:r>
    </w:p>
    <w:p w14:paraId="61E7D07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GDP数据。 基线分析（1960–2010年）使用Acemoglu等人(2019)所用的Penn World Tables人均GDP数据。扩展历史分析（1252–2015年）使用Maddison项目数据库（Bolt and Van Zanden 2020），这是一个非平衡面板，中世纪时期仅有少量时间序列，但到2015年有153个国家观测值。英国 (United Kingdom /juːˈnaɪtɪd ˈkɪŋdəm/) 有最长的序列（从1252年开始），其次是法国 (France /fræns/，1280年)、瑞典 (Sweden /ˈswiːdən/，1300年)、意大利 (Italy /ˈɪtəli/，1315年)和荷兰 (Netherlands /ˈnɛðərləndz/，1348年)（第3801页）。</w:t>
      </w:r>
    </w:p>
    <w:p w14:paraId="339DCD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民主数据。 民主变量直接取自Acemoglu等人(2019)，为民主转型的二值衡量。</w:t>
      </w:r>
    </w:p>
    <w:p w14:paraId="08C9C63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交易成本数据。 世界银行不动产登记指标（2005–2020年，使用至2015年），覆盖最多149个国家。</w:t>
      </w:r>
    </w:p>
    <w:p w14:paraId="60A8A3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税收数据。 联合国大学世界发展经济研究所政府收入数据集（UNU-WIDER 2021），1980–2015年，提供最多115个国家的财产税、直接税、间接税和总税比（均占GDP比重）。另外还使用Acemoglu等人(2019)的1960–2010年税收比率。</w:t>
      </w:r>
    </w:p>
    <w:p w14:paraId="64DC3D7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投资数据。 世界银行世界发展指标中的固定资本形成总额占GDP比重（从约1960年起）。</w:t>
      </w:r>
    </w:p>
    <w:p w14:paraId="5100305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普鲁士次国家数据。 普鲁士 (Prussia /ˈprʌʃə/) 案例研究使用Ifo普鲁士经济史数据库（iPEHD），包含从普鲁士历史人口普查中数字化的266个县级数据，以及Cinnirella and Hornung (2016)创建的变量。结果变量是1816、1849、1858、1864和1882年的农场密度和土地集中度（第3811–3812页）。</w:t>
      </w:r>
    </w:p>
    <w:p w14:paraId="6172AB1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分析单位。 主分析为国家-年度；普鲁士分析为县级。</w:t>
      </w:r>
    </w:p>
    <w:p w14:paraId="66C5971B">
      <w:pPr>
        <w:rPr>
          <w:rFonts w:hint="default" w:ascii="Times New Roman Regular" w:hAnsi="Times New Roman Regular" w:cs="Times New Roman Regular" w:eastAsiaTheme="minorEastAsia"/>
        </w:rPr>
      </w:pPr>
    </w:p>
    <w:p w14:paraId="69B66494">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 方法：使用了什么方法？</w:t>
      </w:r>
    </w:p>
    <w:p w14:paraId="27E7547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employ a suite of econometric methods, deliberately tying their hands by adopting the baseline specification from Acemoglu et al. (2019) on democracy and growth.</w:t>
      </w:r>
    </w:p>
    <w:p w14:paraId="1316D357">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(1) </w:t>
      </w:r>
      <w:r>
        <w:rPr>
          <w:rFonts w:hint="default" w:ascii="Times New Roman Regular" w:hAnsi="Times New Roman Regular" w:cs="Times New Roman Regular" w:eastAsiaTheme="minorEastAsia"/>
          <w:color w:val="0000FF"/>
        </w:rPr>
        <w:t>Dynamic panel models with fixed effects (within estimator)</w:t>
      </w:r>
      <w:r>
        <w:rPr>
          <w:rFonts w:hint="default" w:ascii="Times New Roman Regular" w:hAnsi="Times New Roman Regular" w:cs="Times New Roman Regular" w:eastAsiaTheme="minorEastAsia"/>
        </w:rPr>
        <w:t>. The primary specification is equation (1): y_it = βC_it + Σγ_(t-l)₋y_(it-l) + α_i + δ_t+ ε_it is log GDP per capita, C_it is the Cadaster index, α</w:t>
      </w:r>
      <w:r>
        <w:rPr>
          <w:rFonts w:hint="default" w:ascii="Times New Roman Regular" w:hAnsi="Times New Roman Regular" w:cs="Times New Roman Regular"/>
          <w:lang w:val="en-US"/>
        </w:rPr>
        <w:t>_i</w:t>
      </w:r>
      <w:r>
        <w:rPr>
          <w:rFonts w:hint="default" w:ascii="Times New Roman Regular" w:hAnsi="Times New Roman Regular" w:cs="Times New Roman Regular" w:eastAsiaTheme="minorEastAsia"/>
        </w:rPr>
        <w:t xml:space="preserve"> are country fixed effects</w:t>
      </w:r>
      <w:r>
        <w:rPr>
          <w:rFonts w:hint="default" w:ascii="Times New Roman Regular" w:hAnsi="Times New Roman Regular" w:eastAsia="宋体" w:cs="Times New Roman Regular"/>
          <w:kern w:val="2"/>
          <w:sz w:val="21"/>
          <w:szCs w:val="21"/>
          <w:lang w:val="en-US" w:eastAsia="zh-CN" w:bidi="ar"/>
        </w:rPr>
        <w:t xml:space="preserve"> </w:t>
      </w:r>
      <w:r>
        <w:rPr>
          <w:rFonts w:hint="default" w:ascii="Times New Roman Regular" w:hAnsi="Times New Roman Regular" w:eastAsia="Times New Roman Regular" w:cs="Times New Roman Regular"/>
          <w:kern w:val="2"/>
          <w:sz w:val="21"/>
          <w:szCs w:val="21"/>
          <w:lang w:val="en-US" w:eastAsia="zh-CN" w:bidi="ar"/>
        </w:rPr>
        <w:t>δ_t</w:t>
      </w:r>
      <w:r>
        <w:rPr>
          <w:rFonts w:hint="default" w:ascii="Times New Roman Regular" w:hAnsi="Times New Roman Regular" w:cs="Times New Roman Regular" w:eastAsiaTheme="minorEastAsia"/>
        </w:rPr>
        <w:t xml:space="preserve"> are year fixed effects, and up to L=8 lags of the dependent variable are included. Country fixed effects absorb all time-invariant country characteristics (geography, colonial history, culture). Year fixed effects absorb worldwide shocks common to all countries (global recessions, world wars). The lags of the dependent variable serve two purposes: they eliminate residual serial correlation and, crucially, they control for pretrends to ensure that countries experiencing cadastral reform are not on a different GDP trajectory compared to otherwise similar countries. The authors also run first-differenced (growth rate) regressions as an alternative that allows for a unit root in GDP (pp. 3796–3799).</w:t>
      </w:r>
    </w:p>
    <w:p w14:paraId="279A2E8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带固定效应的动态面板模型（组内估计量）。主要设定为方程(1)：y_it = βC_it + Σγ_(t-l)₋y_(it-l) + α_i + δ_t+ ε_it为人均GDP对数，C</w:t>
      </w:r>
      <w:r>
        <w:rPr>
          <w:rFonts w:hint="default" w:ascii="Times New Roman Regular" w:hAnsi="Times New Roman Regular" w:cs="Times New Roman Regular"/>
          <w:lang w:val="en-US"/>
        </w:rPr>
        <w:t>_it</w:t>
      </w:r>
      <w:r>
        <w:rPr>
          <w:rFonts w:hint="default" w:ascii="Times New Roman Regular" w:hAnsi="Times New Roman Regular" w:cs="Times New Roman Regular" w:eastAsiaTheme="minorEastAsia"/>
        </w:rPr>
        <w:t>为地籍指数，α</w:t>
      </w:r>
      <w:r>
        <w:rPr>
          <w:rFonts w:hint="default" w:ascii="Times New Roman Regular" w:hAnsi="Times New Roman Regular" w:cs="Times New Roman Regular"/>
          <w:lang w:val="en-US"/>
        </w:rPr>
        <w:t>_i</w:t>
      </w:r>
      <w:r>
        <w:rPr>
          <w:rFonts w:hint="default" w:ascii="Times New Roman Regular" w:hAnsi="Times New Roman Regular" w:cs="Times New Roman Regular" w:eastAsiaTheme="minorEastAsia"/>
        </w:rPr>
        <w:t>为国家固定效应，δ</w:t>
      </w:r>
      <w:r>
        <w:rPr>
          <w:rFonts w:hint="default" w:ascii="Times New Roman Regular" w:hAnsi="Times New Roman Regular" w:cs="Times New Roman Regular"/>
          <w:lang w:val="en-US"/>
        </w:rPr>
        <w:t>_t</w:t>
      </w:r>
      <w:r>
        <w:rPr>
          <w:rFonts w:hint="default" w:ascii="Times New Roman Regular" w:hAnsi="Times New Roman Regular" w:cs="Times New Roman Regular" w:eastAsiaTheme="minorEastAsia"/>
        </w:rPr>
        <w:t>为年份固定效应，并纳入最多L=8个因变量滞后项。国家固定效应吸收所有不随时间变化的国家特征（地理、殖民历史、文化）。年份固定效应吸收所有国家共有的全球冲击（全球衰退、世界大战）。因变量滞后项有两个功能：消除残余序列相关，并且关键地控制前趋势，以确保经历地籍改革的国家与其他类似国家相比并非处于不同的GDP轨迹上。作者还运行了一阶差分（增长率）回归作为允许GDP存在单位根的替代方法（第3796–3799页）。</w:t>
      </w:r>
    </w:p>
    <w:p w14:paraId="1CC495D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w:t>
      </w:r>
      <w:r>
        <w:rPr>
          <w:rFonts w:hint="default" w:ascii="Times New Roman Regular" w:hAnsi="Times New Roman Regular" w:cs="Times New Roman Regular" w:eastAsiaTheme="minorEastAsia"/>
          <w:color w:val="0000FF"/>
        </w:rPr>
        <w:t>Conley standard errors with HAC correction</w:t>
      </w:r>
      <w:r>
        <w:rPr>
          <w:rFonts w:hint="default" w:ascii="Times New Roman Regular" w:hAnsi="Times New Roman Regular" w:cs="Times New Roman Regular" w:eastAsiaTheme="minorEastAsia"/>
        </w:rPr>
        <w:t>. To address concerns about spatial autocorrelation raised by Kelly (2019), the authors compute Conley standard errors (assuming a 2,000 km radius) that simultaneously account for heteroskedasticity and temporal autocorrelation with linear decay (Colella et al. 2020). These corrected standard errors are generally similar in magnitude to the regular clustered standard errors, strengthening confidence in the results (p. 3797).</w:t>
      </w:r>
    </w:p>
    <w:p w14:paraId="3A347D40">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default" w:ascii="Times New Roman Regular" w:hAnsi="Times New Roman Regular" w:eastAsia="宋体" w:cs="Times New Roman Regular"/>
          <w:kern w:val="2"/>
          <w:sz w:val="21"/>
          <w:szCs w:val="21"/>
          <w:lang w:val="en-US" w:eastAsia="zh-CN" w:bidi="ar"/>
        </w:rPr>
        <w:t xml:space="preserve">(2) </w:t>
      </w:r>
      <w:r>
        <w:rPr>
          <w:rFonts w:hint="eastAsia" w:ascii="宋体" w:hAnsi="宋体" w:eastAsia="宋体" w:cs="宋体"/>
          <w:kern w:val="2"/>
          <w:sz w:val="21"/>
          <w:szCs w:val="21"/>
          <w:lang w:val="en-US" w:eastAsia="zh-CN" w:bidi="ar"/>
        </w:rPr>
        <w:t>带</w:t>
      </w:r>
      <w:r>
        <w:rPr>
          <w:rFonts w:hint="default" w:ascii="Times New Roman Regular" w:hAnsi="Times New Roman Regular" w:eastAsia="Times New Roman Regular" w:cs="Times New Roman Regular"/>
          <w:kern w:val="2"/>
          <w:sz w:val="21"/>
          <w:szCs w:val="21"/>
          <w:lang w:val="en-US" w:eastAsia="zh-CN" w:bidi="ar"/>
        </w:rPr>
        <w:t>HAC</w:t>
      </w:r>
      <w:r>
        <w:rPr>
          <w:rFonts w:hint="eastAsia" w:ascii="宋体" w:hAnsi="宋体" w:eastAsia="宋体" w:cs="宋体"/>
          <w:kern w:val="2"/>
          <w:sz w:val="21"/>
          <w:szCs w:val="21"/>
          <w:lang w:val="en-US" w:eastAsia="zh-CN" w:bidi="ar"/>
        </w:rPr>
        <w:t>校正的</w:t>
      </w:r>
      <w:r>
        <w:rPr>
          <w:rFonts w:hint="default" w:ascii="Times New Roman Regular" w:hAnsi="Times New Roman Regular" w:eastAsia="Times New Roman Regular" w:cs="Times New Roman Regular"/>
          <w:kern w:val="2"/>
          <w:sz w:val="21"/>
          <w:szCs w:val="21"/>
          <w:lang w:val="en-US" w:eastAsia="zh-CN" w:bidi="ar"/>
        </w:rPr>
        <w:t>Conley</w:t>
      </w:r>
      <w:r>
        <w:rPr>
          <w:rFonts w:hint="eastAsia" w:ascii="宋体" w:hAnsi="宋体" w:eastAsia="宋体" w:cs="宋体"/>
          <w:kern w:val="2"/>
          <w:sz w:val="21"/>
          <w:szCs w:val="21"/>
          <w:lang w:val="en-US" w:eastAsia="zh-CN" w:bidi="ar"/>
        </w:rPr>
        <w:t>标准误。 为应对</w:t>
      </w:r>
      <w:r>
        <w:rPr>
          <w:rFonts w:hint="default" w:ascii="Times New Roman Regular" w:hAnsi="Times New Roman Regular" w:eastAsia="Times New Roman Regular" w:cs="Times New Roman Regular"/>
          <w:kern w:val="2"/>
          <w:sz w:val="21"/>
          <w:szCs w:val="21"/>
          <w:lang w:val="en-US" w:eastAsia="zh-CN" w:bidi="ar"/>
        </w:rPr>
        <w:t>Kelly (2019)</w:t>
      </w:r>
      <w:r>
        <w:rPr>
          <w:rFonts w:hint="eastAsia" w:ascii="宋体" w:hAnsi="宋体" w:eastAsia="宋体" w:cs="宋体"/>
          <w:kern w:val="2"/>
          <w:sz w:val="21"/>
          <w:szCs w:val="21"/>
          <w:lang w:val="en-US" w:eastAsia="zh-CN" w:bidi="ar"/>
        </w:rPr>
        <w:t>提出的空间自相关问题，作者计算了</w:t>
      </w:r>
      <w:r>
        <w:rPr>
          <w:rFonts w:hint="default" w:ascii="Times New Roman Regular" w:hAnsi="Times New Roman Regular" w:eastAsia="Times New Roman Regular" w:cs="Times New Roman Regular"/>
          <w:kern w:val="2"/>
          <w:sz w:val="21"/>
          <w:szCs w:val="21"/>
          <w:lang w:val="en-US" w:eastAsia="zh-CN" w:bidi="ar"/>
        </w:rPr>
        <w:t>Conley</w:t>
      </w:r>
      <w:r>
        <w:rPr>
          <w:rFonts w:hint="eastAsia" w:ascii="宋体" w:hAnsi="宋体" w:eastAsia="宋体" w:cs="宋体"/>
          <w:kern w:val="2"/>
          <w:sz w:val="21"/>
          <w:szCs w:val="21"/>
          <w:lang w:val="en-US" w:eastAsia="zh-CN" w:bidi="ar"/>
        </w:rPr>
        <w:t>标准误（假设</w:t>
      </w:r>
      <w:r>
        <w:rPr>
          <w:rFonts w:hint="default" w:ascii="Times New Roman Regular" w:hAnsi="Times New Roman Regular" w:eastAsia="Times New Roman Regular" w:cs="Times New Roman Regular"/>
          <w:kern w:val="2"/>
          <w:sz w:val="21"/>
          <w:szCs w:val="21"/>
          <w:lang w:val="en-US" w:eastAsia="zh-CN" w:bidi="ar"/>
        </w:rPr>
        <w:t>2000</w:t>
      </w:r>
      <w:r>
        <w:rPr>
          <w:rFonts w:hint="eastAsia" w:ascii="宋体" w:hAnsi="宋体" w:eastAsia="宋体" w:cs="宋体"/>
          <w:kern w:val="2"/>
          <w:sz w:val="21"/>
          <w:szCs w:val="21"/>
          <w:lang w:val="en-US" w:eastAsia="zh-CN" w:bidi="ar"/>
        </w:rPr>
        <w:t>公里半径），同时考虑异方差和时间自相关的线性衰减（</w:t>
      </w:r>
      <w:r>
        <w:rPr>
          <w:rFonts w:hint="default" w:ascii="Times New Roman Regular" w:hAnsi="Times New Roman Regular" w:eastAsia="Times New Roman Regular" w:cs="Times New Roman Regular"/>
          <w:kern w:val="2"/>
          <w:sz w:val="21"/>
          <w:szCs w:val="21"/>
          <w:lang w:val="en-US" w:eastAsia="zh-CN" w:bidi="ar"/>
        </w:rPr>
        <w:t>Colella et al. 2020</w:t>
      </w:r>
      <w:r>
        <w:rPr>
          <w:rFonts w:hint="eastAsia" w:ascii="宋体" w:hAnsi="宋体" w:eastAsia="宋体" w:cs="宋体"/>
          <w:kern w:val="2"/>
          <w:sz w:val="21"/>
          <w:szCs w:val="21"/>
          <w:lang w:val="en-US" w:eastAsia="zh-CN" w:bidi="ar"/>
        </w:rPr>
        <w:t>）。这些校正后的标准误通常与常规聚类标准误大小相似，增强了对结果的信心（第</w:t>
      </w:r>
      <w:r>
        <w:rPr>
          <w:rFonts w:hint="default" w:ascii="Times New Roman Regular" w:hAnsi="Times New Roman Regular" w:eastAsia="Times New Roman Regular" w:cs="Times New Roman Regular"/>
          <w:kern w:val="2"/>
          <w:sz w:val="21"/>
          <w:szCs w:val="21"/>
          <w:lang w:val="en-US" w:eastAsia="zh-CN" w:bidi="ar"/>
        </w:rPr>
        <w:t>3797</w:t>
      </w:r>
      <w:r>
        <w:rPr>
          <w:rFonts w:hint="eastAsia" w:ascii="宋体" w:hAnsi="宋体" w:eastAsia="宋体" w:cs="宋体"/>
          <w:kern w:val="2"/>
          <w:sz w:val="21"/>
          <w:szCs w:val="21"/>
          <w:lang w:val="en-US" w:eastAsia="zh-CN" w:bidi="ar"/>
        </w:rPr>
        <w:t>页）。</w:t>
      </w:r>
    </w:p>
    <w:p w14:paraId="2788536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Semiparametric ATET (average treatment effect on the treated) with inverse propensity score reweighting. To address selection into treatment, the authors estimate propensity scores for transitioning to a full cadaster (Cadaster = 1) using a probit model with lagged GDP levels and year fixed effects as covariates. They then use inverse propensity score reweighting to construct a control group of countries with similar GDP dynamics that did not implement full cadastral reform. This analysis, covering 1900–2015 and excluding outliers Kuwait /kuːˈweɪt/ and Qatar /ˈkɑːtɑːr/, shows near-zero pre-treatment effects and a strong immediate positive effect at the year of reform (3.34% GDP increase), peaking at about 14.7% after 7 years (pp. 3802–3805).</w:t>
      </w:r>
    </w:p>
    <w:p w14:paraId="59DD92E9">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default" w:ascii="Times New Roman Regular" w:hAnsi="Times New Roman Regular" w:eastAsia="宋体" w:cs="Times New Roman Regular"/>
          <w:kern w:val="2"/>
          <w:sz w:val="21"/>
          <w:szCs w:val="21"/>
          <w:lang w:val="en-US" w:eastAsia="zh-CN" w:bidi="ar"/>
        </w:rPr>
        <w:t xml:space="preserve">(3) </w:t>
      </w:r>
      <w:r>
        <w:rPr>
          <w:rFonts w:hint="eastAsia" w:ascii="宋体" w:hAnsi="宋体" w:eastAsia="宋体" w:cs="宋体"/>
          <w:kern w:val="2"/>
          <w:sz w:val="21"/>
          <w:szCs w:val="21"/>
          <w:lang w:val="en-US" w:eastAsia="zh-CN" w:bidi="ar"/>
        </w:rPr>
        <w:t>半参数</w:t>
      </w:r>
      <w:r>
        <w:rPr>
          <w:rFonts w:hint="default" w:ascii="Times New Roman Regular" w:hAnsi="Times New Roman Regular" w:eastAsia="Times New Roman Regular" w:cs="Times New Roman Regular"/>
          <w:kern w:val="2"/>
          <w:sz w:val="21"/>
          <w:szCs w:val="21"/>
          <w:lang w:val="en-US" w:eastAsia="zh-CN" w:bidi="ar"/>
        </w:rPr>
        <w:t>ATET</w:t>
      </w:r>
      <w:r>
        <w:rPr>
          <w:rFonts w:hint="eastAsia" w:ascii="宋体" w:hAnsi="宋体" w:eastAsia="宋体" w:cs="宋体"/>
          <w:kern w:val="2"/>
          <w:sz w:val="21"/>
          <w:szCs w:val="21"/>
          <w:lang w:val="en-US" w:eastAsia="zh-CN" w:bidi="ar"/>
        </w:rPr>
        <w:t>（处理组平均处理效应）与逆倾向得分重加权。 为应对处理选择性问题，作者使用</w:t>
      </w:r>
      <w:r>
        <w:rPr>
          <w:rFonts w:hint="default" w:ascii="Times New Roman Regular" w:hAnsi="Times New Roman Regular" w:eastAsia="Times New Roman Regular" w:cs="Times New Roman Regular"/>
          <w:kern w:val="2"/>
          <w:sz w:val="21"/>
          <w:szCs w:val="21"/>
          <w:lang w:val="en-US" w:eastAsia="zh-CN" w:bidi="ar"/>
        </w:rPr>
        <w:t>probit</w:t>
      </w:r>
      <w:r>
        <w:rPr>
          <w:rFonts w:hint="eastAsia" w:ascii="宋体" w:hAnsi="宋体" w:eastAsia="宋体" w:cs="宋体"/>
          <w:kern w:val="2"/>
          <w:sz w:val="21"/>
          <w:szCs w:val="21"/>
          <w:lang w:val="en-US" w:eastAsia="zh-CN" w:bidi="ar"/>
        </w:rPr>
        <w:t>模型以滞后</w:t>
      </w:r>
      <w:r>
        <w:rPr>
          <w:rFonts w:hint="default" w:ascii="Times New Roman Regular" w:hAnsi="Times New Roman Regular" w:eastAsia="Times New Roman Regular" w:cs="Times New Roman Regular"/>
          <w:kern w:val="2"/>
          <w:sz w:val="21"/>
          <w:szCs w:val="21"/>
          <w:lang w:val="en-US" w:eastAsia="zh-CN" w:bidi="ar"/>
        </w:rPr>
        <w:t>GDP</w:t>
      </w:r>
      <w:r>
        <w:rPr>
          <w:rFonts w:hint="eastAsia" w:ascii="宋体" w:hAnsi="宋体" w:eastAsia="宋体" w:cs="宋体"/>
          <w:kern w:val="2"/>
          <w:sz w:val="21"/>
          <w:szCs w:val="21"/>
          <w:lang w:val="en-US" w:eastAsia="zh-CN" w:bidi="ar"/>
        </w:rPr>
        <w:t>水平和年份固定效应为协变量，估计转向完整地籍（</w:t>
      </w:r>
      <w:r>
        <w:rPr>
          <w:rFonts w:hint="default" w:ascii="Times New Roman Regular" w:hAnsi="Times New Roman Regular" w:eastAsia="Times New Roman Regular" w:cs="Times New Roman Regular"/>
          <w:kern w:val="2"/>
          <w:sz w:val="21"/>
          <w:szCs w:val="21"/>
          <w:lang w:val="en-US" w:eastAsia="zh-CN" w:bidi="ar"/>
        </w:rPr>
        <w:t>Cadaster=1</w:t>
      </w:r>
      <w:r>
        <w:rPr>
          <w:rFonts w:hint="eastAsia" w:ascii="宋体" w:hAnsi="宋体" w:eastAsia="宋体" w:cs="宋体"/>
          <w:kern w:val="2"/>
          <w:sz w:val="21"/>
          <w:szCs w:val="21"/>
          <w:lang w:val="en-US" w:eastAsia="zh-CN" w:bidi="ar"/>
        </w:rPr>
        <w:t>）的倾向得分。然后使用逆倾向得分重加权构建控制组，即那些</w:t>
      </w:r>
      <w:r>
        <w:rPr>
          <w:rFonts w:hint="default" w:ascii="Times New Roman Regular" w:hAnsi="Times New Roman Regular" w:eastAsia="Times New Roman Regular" w:cs="Times New Roman Regular"/>
          <w:kern w:val="2"/>
          <w:sz w:val="21"/>
          <w:szCs w:val="21"/>
          <w:lang w:val="en-US" w:eastAsia="zh-CN" w:bidi="ar"/>
        </w:rPr>
        <w:t>GDP</w:t>
      </w:r>
      <w:r>
        <w:rPr>
          <w:rFonts w:hint="eastAsia" w:ascii="宋体" w:hAnsi="宋体" w:eastAsia="宋体" w:cs="宋体"/>
          <w:kern w:val="2"/>
          <w:sz w:val="21"/>
          <w:szCs w:val="21"/>
          <w:lang w:val="en-US" w:eastAsia="zh-CN" w:bidi="ar"/>
        </w:rPr>
        <w:t>动态相似但未实施完整地籍改革的国家。该分析覆盖</w:t>
      </w:r>
      <w:r>
        <w:rPr>
          <w:rFonts w:hint="default" w:ascii="Times New Roman Regular" w:hAnsi="Times New Roman Regular" w:eastAsia="Times New Roman Regular" w:cs="Times New Roman Regular"/>
          <w:kern w:val="2"/>
          <w:sz w:val="21"/>
          <w:szCs w:val="21"/>
          <w:lang w:val="en-US" w:eastAsia="zh-CN" w:bidi="ar"/>
        </w:rPr>
        <w:t>1900–2015</w:t>
      </w:r>
      <w:r>
        <w:rPr>
          <w:rFonts w:hint="eastAsia" w:ascii="宋体" w:hAnsi="宋体" w:eastAsia="宋体" w:cs="宋体"/>
          <w:kern w:val="2"/>
          <w:sz w:val="21"/>
          <w:szCs w:val="21"/>
          <w:lang w:val="en-US" w:eastAsia="zh-CN" w:bidi="ar"/>
        </w:rPr>
        <w:t xml:space="preserve">年并排除了异常值科威特 </w:t>
      </w:r>
      <w:r>
        <w:rPr>
          <w:rFonts w:hint="default" w:ascii="Times New Roman Regular" w:hAnsi="Times New Roman Regular" w:eastAsia="Times New Roman Regular" w:cs="Times New Roman Regular"/>
          <w:kern w:val="2"/>
          <w:sz w:val="21"/>
          <w:szCs w:val="21"/>
          <w:lang w:val="en-US" w:eastAsia="zh-CN" w:bidi="ar"/>
        </w:rPr>
        <w:t xml:space="preserve">(Kuwait /kuːˈweɪt/) </w:t>
      </w:r>
      <w:r>
        <w:rPr>
          <w:rFonts w:hint="eastAsia" w:ascii="宋体" w:hAnsi="宋体" w:eastAsia="宋体" w:cs="宋体"/>
          <w:kern w:val="2"/>
          <w:sz w:val="21"/>
          <w:szCs w:val="21"/>
          <w:lang w:val="en-US" w:eastAsia="zh-CN" w:bidi="ar"/>
        </w:rPr>
        <w:t xml:space="preserve">和卡塔尔 </w:t>
      </w:r>
      <w:r>
        <w:rPr>
          <w:rFonts w:hint="default" w:ascii="Times New Roman Regular" w:hAnsi="Times New Roman Regular" w:eastAsia="Times New Roman Regular" w:cs="Times New Roman Regular"/>
          <w:kern w:val="2"/>
          <w:sz w:val="21"/>
          <w:szCs w:val="21"/>
          <w:lang w:val="en-US" w:eastAsia="zh-CN" w:bidi="ar"/>
        </w:rPr>
        <w:t>(Qatar /ˈkɑːtɑːr/)</w:t>
      </w:r>
      <w:r>
        <w:rPr>
          <w:rFonts w:hint="eastAsia" w:ascii="宋体" w:hAnsi="宋体" w:eastAsia="宋体" w:cs="宋体"/>
          <w:kern w:val="2"/>
          <w:sz w:val="21"/>
          <w:szCs w:val="21"/>
          <w:lang w:val="en-US" w:eastAsia="zh-CN" w:bidi="ar"/>
        </w:rPr>
        <w:t>，结果显示处理前效应接近于零，而在改革年份出现强烈的即时正效应（</w:t>
      </w:r>
      <w:r>
        <w:rPr>
          <w:rFonts w:hint="default" w:ascii="Times New Roman Regular" w:hAnsi="Times New Roman Regular" w:eastAsia="Times New Roman Regular" w:cs="Times New Roman Regular"/>
          <w:kern w:val="2"/>
          <w:sz w:val="21"/>
          <w:szCs w:val="21"/>
          <w:lang w:val="en-US" w:eastAsia="zh-CN" w:bidi="ar"/>
        </w:rPr>
        <w:t>GDP</w:t>
      </w:r>
      <w:r>
        <w:rPr>
          <w:rFonts w:hint="eastAsia" w:ascii="宋体" w:hAnsi="宋体" w:eastAsia="宋体" w:cs="宋体"/>
          <w:kern w:val="2"/>
          <w:sz w:val="21"/>
          <w:szCs w:val="21"/>
          <w:lang w:val="en-US" w:eastAsia="zh-CN" w:bidi="ar"/>
        </w:rPr>
        <w:t>增长</w:t>
      </w:r>
      <w:r>
        <w:rPr>
          <w:rFonts w:hint="default" w:ascii="Times New Roman Regular" w:hAnsi="Times New Roman Regular" w:eastAsia="Times New Roman Regular" w:cs="Times New Roman Regular"/>
          <w:kern w:val="2"/>
          <w:sz w:val="21"/>
          <w:szCs w:val="21"/>
          <w:lang w:val="en-US" w:eastAsia="zh-CN" w:bidi="ar"/>
        </w:rPr>
        <w:t>3.34%</w:t>
      </w:r>
      <w:r>
        <w:rPr>
          <w:rFonts w:hint="eastAsia" w:ascii="宋体" w:hAnsi="宋体" w:eastAsia="宋体" w:cs="宋体"/>
          <w:kern w:val="2"/>
          <w:sz w:val="21"/>
          <w:szCs w:val="21"/>
          <w:lang w:val="en-US" w:eastAsia="zh-CN" w:bidi="ar"/>
        </w:rPr>
        <w:t>），在约</w:t>
      </w:r>
      <w:r>
        <w:rPr>
          <w:rFonts w:hint="default" w:ascii="Times New Roman Regular" w:hAnsi="Times New Roman Regular" w:eastAsia="Times New Roman Regular" w:cs="Times New Roman Regular"/>
          <w:kern w:val="2"/>
          <w:sz w:val="21"/>
          <w:szCs w:val="21"/>
          <w:lang w:val="en-US" w:eastAsia="zh-CN" w:bidi="ar"/>
        </w:rPr>
        <w:t>7</w:t>
      </w:r>
      <w:r>
        <w:rPr>
          <w:rFonts w:hint="eastAsia" w:ascii="宋体" w:hAnsi="宋体" w:eastAsia="宋体" w:cs="宋体"/>
          <w:kern w:val="2"/>
          <w:sz w:val="21"/>
          <w:szCs w:val="21"/>
          <w:lang w:val="en-US" w:eastAsia="zh-CN" w:bidi="ar"/>
        </w:rPr>
        <w:t>年后达到峰值约</w:t>
      </w:r>
      <w:r>
        <w:rPr>
          <w:rFonts w:hint="default" w:ascii="Times New Roman Regular" w:hAnsi="Times New Roman Regular" w:eastAsia="Times New Roman Regular" w:cs="Times New Roman Regular"/>
          <w:kern w:val="2"/>
          <w:sz w:val="21"/>
          <w:szCs w:val="21"/>
          <w:lang w:val="en-US" w:eastAsia="zh-CN" w:bidi="ar"/>
        </w:rPr>
        <w:t>14.7%</w:t>
      </w:r>
      <w:r>
        <w:rPr>
          <w:rFonts w:hint="eastAsia" w:ascii="宋体" w:hAnsi="宋体" w:eastAsia="宋体" w:cs="宋体"/>
          <w:kern w:val="2"/>
          <w:sz w:val="21"/>
          <w:szCs w:val="21"/>
          <w:lang w:val="en-US" w:eastAsia="zh-CN" w:bidi="ar"/>
        </w:rPr>
        <w:t>。</w:t>
      </w:r>
    </w:p>
    <w:p w14:paraId="58E7270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Country case studies and event studies. The authors examine six European countries with long time series (United Kingdom, France, Sweden, Italy, Netherlands, Portugal /ˈpɔːrtʃʊɡəl/) using OLS regressions with four lags of the dependent variable and linear time trends. They also conduct event studies showing 5-year moving averages of growth rates during 100-year windows around the year of full cadastral reform (pp. 3807–3810).</w:t>
      </w:r>
    </w:p>
    <w:p w14:paraId="30827EC0">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default" w:ascii="Times New Roman Regular" w:hAnsi="Times New Roman Regular" w:eastAsia="宋体" w:cs="Times New Roman Regular"/>
          <w:kern w:val="2"/>
          <w:sz w:val="21"/>
          <w:szCs w:val="21"/>
          <w:lang w:val="en-US" w:eastAsia="zh-CN" w:bidi="ar"/>
        </w:rPr>
        <w:t xml:space="preserve">(4) </w:t>
      </w:r>
      <w:r>
        <w:rPr>
          <w:rFonts w:hint="eastAsia" w:ascii="宋体" w:hAnsi="宋体" w:eastAsia="宋体" w:cs="宋体"/>
          <w:kern w:val="2"/>
          <w:sz w:val="21"/>
          <w:szCs w:val="21"/>
          <w:lang w:val="en-US" w:eastAsia="zh-CN" w:bidi="ar"/>
        </w:rPr>
        <w:t xml:space="preserve">国家案例研究与事件研究。 作者考察了六个拥有长时间序列的欧洲国家（英国、法国、瑞典、意大利、荷兰、葡萄牙 </w:t>
      </w:r>
      <w:r>
        <w:rPr>
          <w:rFonts w:hint="default" w:ascii="Times New Roman Regular" w:hAnsi="Times New Roman Regular" w:eastAsia="Times New Roman Regular" w:cs="Times New Roman Regular"/>
          <w:kern w:val="2"/>
          <w:sz w:val="21"/>
          <w:szCs w:val="21"/>
          <w:lang w:val="en-US" w:eastAsia="zh-CN" w:bidi="ar"/>
        </w:rPr>
        <w:t>Portugal /ˈpɔːrtʃʊɡəl/</w:t>
      </w:r>
      <w:r>
        <w:rPr>
          <w:rFonts w:hint="eastAsia" w:ascii="宋体" w:hAnsi="宋体" w:eastAsia="宋体" w:cs="宋体"/>
          <w:kern w:val="2"/>
          <w:sz w:val="21"/>
          <w:szCs w:val="21"/>
          <w:lang w:val="en-US" w:eastAsia="zh-CN" w:bidi="ar"/>
        </w:rPr>
        <w:t>），使用带四个因变量滞后项和线性时间趋势的</w:t>
      </w:r>
      <w:r>
        <w:rPr>
          <w:rFonts w:hint="default" w:ascii="Times New Roman Regular" w:hAnsi="Times New Roman Regular" w:eastAsia="Times New Roman Regular" w:cs="Times New Roman Regular"/>
          <w:kern w:val="2"/>
          <w:sz w:val="21"/>
          <w:szCs w:val="21"/>
          <w:lang w:val="en-US" w:eastAsia="zh-CN" w:bidi="ar"/>
        </w:rPr>
        <w:t>OLS</w:t>
      </w:r>
      <w:r>
        <w:rPr>
          <w:rFonts w:hint="eastAsia" w:ascii="宋体" w:hAnsi="宋体" w:eastAsia="宋体" w:cs="宋体"/>
          <w:kern w:val="2"/>
          <w:sz w:val="21"/>
          <w:szCs w:val="21"/>
          <w:lang w:val="en-US" w:eastAsia="zh-CN" w:bidi="ar"/>
        </w:rPr>
        <w:t>回归。他们还进行了事件研究，展示完整地籍改革年份前后各</w:t>
      </w:r>
      <w:r>
        <w:rPr>
          <w:rFonts w:hint="default" w:ascii="Times New Roman Regular" w:hAnsi="Times New Roman Regular" w:eastAsia="Times New Roman Regular" w:cs="Times New Roman Regular"/>
          <w:kern w:val="2"/>
          <w:sz w:val="21"/>
          <w:szCs w:val="21"/>
          <w:lang w:val="en-US" w:eastAsia="zh-CN" w:bidi="ar"/>
        </w:rPr>
        <w:t>50</w:t>
      </w:r>
      <w:r>
        <w:rPr>
          <w:rFonts w:hint="eastAsia" w:ascii="宋体" w:hAnsi="宋体" w:eastAsia="宋体" w:cs="宋体"/>
          <w:kern w:val="2"/>
          <w:sz w:val="21"/>
          <w:szCs w:val="21"/>
          <w:lang w:val="en-US" w:eastAsia="zh-CN" w:bidi="ar"/>
        </w:rPr>
        <w:t>年（共</w:t>
      </w:r>
      <w:r>
        <w:rPr>
          <w:rFonts w:hint="default" w:ascii="Times New Roman Regular" w:hAnsi="Times New Roman Regular" w:eastAsia="Times New Roman Regular" w:cs="Times New Roman Regular"/>
          <w:kern w:val="2"/>
          <w:sz w:val="21"/>
          <w:szCs w:val="21"/>
          <w:lang w:val="en-US" w:eastAsia="zh-CN" w:bidi="ar"/>
        </w:rPr>
        <w:t>100</w:t>
      </w:r>
      <w:r>
        <w:rPr>
          <w:rFonts w:hint="eastAsia" w:ascii="宋体" w:hAnsi="宋体" w:eastAsia="宋体" w:cs="宋体"/>
          <w:kern w:val="2"/>
          <w:sz w:val="21"/>
          <w:szCs w:val="21"/>
          <w:lang w:val="en-US" w:eastAsia="zh-CN" w:bidi="ar"/>
        </w:rPr>
        <w:t>年窗口）的</w:t>
      </w:r>
      <w:r>
        <w:rPr>
          <w:rFonts w:hint="default" w:ascii="Times New Roman Regular" w:hAnsi="Times New Roman Regular" w:eastAsia="Times New Roman Regular" w:cs="Times New Roman Regular"/>
          <w:kern w:val="2"/>
          <w:sz w:val="21"/>
          <w:szCs w:val="21"/>
          <w:lang w:val="en-US" w:eastAsia="zh-CN" w:bidi="ar"/>
        </w:rPr>
        <w:t>GDP</w:t>
      </w:r>
      <w:r>
        <w:rPr>
          <w:rFonts w:hint="eastAsia" w:ascii="宋体" w:hAnsi="宋体" w:eastAsia="宋体" w:cs="宋体"/>
          <w:kern w:val="2"/>
          <w:sz w:val="21"/>
          <w:szCs w:val="21"/>
          <w:lang w:val="en-US" w:eastAsia="zh-CN" w:bidi="ar"/>
        </w:rPr>
        <w:t>增长率</w:t>
      </w:r>
      <w:r>
        <w:rPr>
          <w:rFonts w:hint="default" w:ascii="Times New Roman Regular" w:hAnsi="Times New Roman Regular" w:eastAsia="Times New Roman Regular" w:cs="Times New Roman Regular"/>
          <w:kern w:val="2"/>
          <w:sz w:val="21"/>
          <w:szCs w:val="21"/>
          <w:lang w:val="en-US" w:eastAsia="zh-CN" w:bidi="ar"/>
        </w:rPr>
        <w:t>5</w:t>
      </w:r>
      <w:r>
        <w:rPr>
          <w:rFonts w:hint="eastAsia" w:ascii="宋体" w:hAnsi="宋体" w:eastAsia="宋体" w:cs="宋体"/>
          <w:kern w:val="2"/>
          <w:sz w:val="21"/>
          <w:szCs w:val="21"/>
          <w:lang w:val="en-US" w:eastAsia="zh-CN" w:bidi="ar"/>
        </w:rPr>
        <w:t>年移动平均（第</w:t>
      </w:r>
      <w:r>
        <w:rPr>
          <w:rFonts w:hint="default" w:ascii="Times New Roman Regular" w:hAnsi="Times New Roman Regular" w:eastAsia="Times New Roman Regular" w:cs="Times New Roman Regular"/>
          <w:kern w:val="2"/>
          <w:sz w:val="21"/>
          <w:szCs w:val="21"/>
          <w:lang w:val="en-US" w:eastAsia="zh-CN" w:bidi="ar"/>
        </w:rPr>
        <w:t>3807–3810</w:t>
      </w:r>
      <w:r>
        <w:rPr>
          <w:rFonts w:hint="eastAsia" w:ascii="宋体" w:hAnsi="宋体" w:eastAsia="宋体" w:cs="宋体"/>
          <w:kern w:val="2"/>
          <w:sz w:val="21"/>
          <w:szCs w:val="21"/>
          <w:lang w:val="en-US" w:eastAsia="zh-CN" w:bidi="ar"/>
        </w:rPr>
        <w:t>页）。</w:t>
      </w:r>
    </w:p>
    <w:p w14:paraId="79E685A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Prussian county-level cross-sectional analysis. For the Prussian case study, the authors exploit differential timing of cadastral reform across provinces to estimate the effect on farm density and land concentration, using lagged dependent variables and district fixed effects (pp. 3811–3814).</w:t>
      </w:r>
    </w:p>
    <w:p w14:paraId="7BD5E34D">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default" w:ascii="Times New Roman Regular" w:hAnsi="Times New Roman Regular" w:eastAsia="宋体" w:cs="Times New Roman Regular"/>
          <w:kern w:val="2"/>
          <w:sz w:val="21"/>
          <w:szCs w:val="21"/>
          <w:lang w:val="en-US" w:eastAsia="zh-CN" w:bidi="ar"/>
        </w:rPr>
        <w:t xml:space="preserve">(4) </w:t>
      </w:r>
      <w:r>
        <w:rPr>
          <w:rFonts w:hint="eastAsia" w:ascii="宋体" w:hAnsi="宋体" w:eastAsia="宋体" w:cs="宋体"/>
          <w:kern w:val="2"/>
          <w:sz w:val="21"/>
          <w:szCs w:val="21"/>
          <w:lang w:val="en-US" w:eastAsia="zh-CN" w:bidi="ar"/>
        </w:rPr>
        <w:t xml:space="preserve">国家案例研究与事件研究。 作者考察了六个拥有长时间序列的欧洲国家（英国、法国、瑞典、意大利、荷兰、葡萄牙 </w:t>
      </w:r>
      <w:r>
        <w:rPr>
          <w:rFonts w:hint="default" w:ascii="Times New Roman Regular" w:hAnsi="Times New Roman Regular" w:eastAsia="Times New Roman Regular" w:cs="Times New Roman Regular"/>
          <w:kern w:val="2"/>
          <w:sz w:val="21"/>
          <w:szCs w:val="21"/>
          <w:lang w:val="en-US" w:eastAsia="zh-CN" w:bidi="ar"/>
        </w:rPr>
        <w:t>Portugal /ˈpɔːrtʃʊɡəl/</w:t>
      </w:r>
      <w:r>
        <w:rPr>
          <w:rFonts w:hint="eastAsia" w:ascii="宋体" w:hAnsi="宋体" w:eastAsia="宋体" w:cs="宋体"/>
          <w:kern w:val="2"/>
          <w:sz w:val="21"/>
          <w:szCs w:val="21"/>
          <w:lang w:val="en-US" w:eastAsia="zh-CN" w:bidi="ar"/>
        </w:rPr>
        <w:t>），使用带四个因变量滞后项和线性时间趋势的</w:t>
      </w:r>
      <w:r>
        <w:rPr>
          <w:rFonts w:hint="default" w:ascii="Times New Roman Regular" w:hAnsi="Times New Roman Regular" w:eastAsia="Times New Roman Regular" w:cs="Times New Roman Regular"/>
          <w:kern w:val="2"/>
          <w:sz w:val="21"/>
          <w:szCs w:val="21"/>
          <w:lang w:val="en-US" w:eastAsia="zh-CN" w:bidi="ar"/>
        </w:rPr>
        <w:t>OLS</w:t>
      </w:r>
      <w:r>
        <w:rPr>
          <w:rFonts w:hint="eastAsia" w:ascii="宋体" w:hAnsi="宋体" w:eastAsia="宋体" w:cs="宋体"/>
          <w:kern w:val="2"/>
          <w:sz w:val="21"/>
          <w:szCs w:val="21"/>
          <w:lang w:val="en-US" w:eastAsia="zh-CN" w:bidi="ar"/>
        </w:rPr>
        <w:t>回归。他们还进行了事件研究，展示完整地籍改革年份前后各</w:t>
      </w:r>
      <w:r>
        <w:rPr>
          <w:rFonts w:hint="default" w:ascii="Times New Roman Regular" w:hAnsi="Times New Roman Regular" w:eastAsia="Times New Roman Regular" w:cs="Times New Roman Regular"/>
          <w:kern w:val="2"/>
          <w:sz w:val="21"/>
          <w:szCs w:val="21"/>
          <w:lang w:val="en-US" w:eastAsia="zh-CN" w:bidi="ar"/>
        </w:rPr>
        <w:t>50</w:t>
      </w:r>
      <w:r>
        <w:rPr>
          <w:rFonts w:hint="eastAsia" w:ascii="宋体" w:hAnsi="宋体" w:eastAsia="宋体" w:cs="宋体"/>
          <w:kern w:val="2"/>
          <w:sz w:val="21"/>
          <w:szCs w:val="21"/>
          <w:lang w:val="en-US" w:eastAsia="zh-CN" w:bidi="ar"/>
        </w:rPr>
        <w:t>年（共</w:t>
      </w:r>
      <w:r>
        <w:rPr>
          <w:rFonts w:hint="default" w:ascii="Times New Roman Regular" w:hAnsi="Times New Roman Regular" w:eastAsia="Times New Roman Regular" w:cs="Times New Roman Regular"/>
          <w:kern w:val="2"/>
          <w:sz w:val="21"/>
          <w:szCs w:val="21"/>
          <w:lang w:val="en-US" w:eastAsia="zh-CN" w:bidi="ar"/>
        </w:rPr>
        <w:t>100</w:t>
      </w:r>
      <w:r>
        <w:rPr>
          <w:rFonts w:hint="eastAsia" w:ascii="宋体" w:hAnsi="宋体" w:eastAsia="宋体" w:cs="宋体"/>
          <w:kern w:val="2"/>
          <w:sz w:val="21"/>
          <w:szCs w:val="21"/>
          <w:lang w:val="en-US" w:eastAsia="zh-CN" w:bidi="ar"/>
        </w:rPr>
        <w:t>年窗口）的</w:t>
      </w:r>
      <w:r>
        <w:rPr>
          <w:rFonts w:hint="default" w:ascii="Times New Roman Regular" w:hAnsi="Times New Roman Regular" w:eastAsia="Times New Roman Regular" w:cs="Times New Roman Regular"/>
          <w:kern w:val="2"/>
          <w:sz w:val="21"/>
          <w:szCs w:val="21"/>
          <w:lang w:val="en-US" w:eastAsia="zh-CN" w:bidi="ar"/>
        </w:rPr>
        <w:t>GDP</w:t>
      </w:r>
      <w:r>
        <w:rPr>
          <w:rFonts w:hint="eastAsia" w:ascii="宋体" w:hAnsi="宋体" w:eastAsia="宋体" w:cs="宋体"/>
          <w:kern w:val="2"/>
          <w:sz w:val="21"/>
          <w:szCs w:val="21"/>
          <w:lang w:val="en-US" w:eastAsia="zh-CN" w:bidi="ar"/>
        </w:rPr>
        <w:t>增长率</w:t>
      </w:r>
      <w:r>
        <w:rPr>
          <w:rFonts w:hint="default" w:ascii="Times New Roman Regular" w:hAnsi="Times New Roman Regular" w:eastAsia="Times New Roman Regular" w:cs="Times New Roman Regular"/>
          <w:kern w:val="2"/>
          <w:sz w:val="21"/>
          <w:szCs w:val="21"/>
          <w:lang w:val="en-US" w:eastAsia="zh-CN" w:bidi="ar"/>
        </w:rPr>
        <w:t>5</w:t>
      </w:r>
      <w:r>
        <w:rPr>
          <w:rFonts w:hint="eastAsia" w:ascii="宋体" w:hAnsi="宋体" w:eastAsia="宋体" w:cs="宋体"/>
          <w:kern w:val="2"/>
          <w:sz w:val="21"/>
          <w:szCs w:val="21"/>
          <w:lang w:val="en-US" w:eastAsia="zh-CN" w:bidi="ar"/>
        </w:rPr>
        <w:t>年移动平均（第</w:t>
      </w:r>
      <w:r>
        <w:rPr>
          <w:rFonts w:hint="default" w:ascii="Times New Roman Regular" w:hAnsi="Times New Roman Regular" w:eastAsia="Times New Roman Regular" w:cs="Times New Roman Regular"/>
          <w:kern w:val="2"/>
          <w:sz w:val="21"/>
          <w:szCs w:val="21"/>
          <w:lang w:val="en-US" w:eastAsia="zh-CN" w:bidi="ar"/>
        </w:rPr>
        <w:t>3807–3810</w:t>
      </w:r>
      <w:r>
        <w:rPr>
          <w:rFonts w:hint="eastAsia" w:ascii="宋体" w:hAnsi="宋体" w:eastAsia="宋体" w:cs="宋体"/>
          <w:kern w:val="2"/>
          <w:sz w:val="21"/>
          <w:szCs w:val="21"/>
          <w:lang w:val="en-US" w:eastAsia="zh-CN" w:bidi="ar"/>
        </w:rPr>
        <w:t>页）。</w:t>
      </w:r>
    </w:p>
    <w:p w14:paraId="72F700C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identifying assumptions. For the within estimator to yield unbiased estimates of β, it must be the case that past levels of GDP and Cadaster are orthogonal to the contemporaneous error term ε</w:t>
      </w:r>
      <w:r>
        <w:rPr>
          <w:rFonts w:hint="default" w:ascii="Times New Roman Regular" w:hAnsi="Times New Roman Regular" w:cs="Times New Roman Regular"/>
          <w:lang w:val="en-US"/>
        </w:rPr>
        <w:t>_it</w:t>
      </w:r>
      <w:r>
        <w:rPr>
          <w:rFonts w:hint="default" w:ascii="Times New Roman Regular" w:hAnsi="Times New Roman Regular" w:cs="Times New Roman Regular" w:eastAsiaTheme="minorEastAsia"/>
        </w:rPr>
        <w:t xml:space="preserve"> (strict exogeneity conditional on fixed effects and lagged values). This rules out situations where an anticipated future change in GDP causes the adoption of cadasters (reverse causality) or where an unobserved time-varying factor simultaneously drives both cadastral reform and GDP changes (omitted variable bias). The authors explicitly acknowledge that they cannot fully rule out these threats and therefore interpret their results as </w:t>
      </w:r>
      <w:r>
        <w:rPr>
          <w:rFonts w:hint="default" w:ascii="Times New Roman Regular" w:hAnsi="Times New Roman Regular" w:cs="Times New Roman Regular"/>
          <w:lang w:val="en-US"/>
        </w:rPr>
        <w:t>“suggestive but not necessarily causal”</w:t>
      </w:r>
      <w:r>
        <w:rPr>
          <w:rFonts w:hint="default" w:ascii="Times New Roman Regular" w:hAnsi="Times New Roman Regular" w:cs="Times New Roman Regular" w:eastAsiaTheme="minorEastAsia"/>
        </w:rPr>
        <w:t xml:space="preserve"> (p. 3787). The ATET analysis relies on the assumption that no unobserved factors beyond lagged GDP levels and year effects simultaneously determine both selection into full cadastral reform and subsequent GDP growth (conditional independence assumption or unconfoundedness) (p. 3804).</w:t>
      </w:r>
    </w:p>
    <w:p w14:paraId="6746903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关键识别假设。 组内估计量要得到β的无偏估计，必须满足：过去的GDP和地籍水平与当期误差项ε</w:t>
      </w:r>
      <w:r>
        <w:rPr>
          <w:rFonts w:hint="default" w:ascii="Times New Roman Regular" w:hAnsi="Times New Roman Regular" w:cs="Times New Roman Regular"/>
          <w:lang w:val="en-US"/>
        </w:rPr>
        <w:t>_it</w:t>
      </w:r>
      <w:r>
        <w:rPr>
          <w:rFonts w:hint="default" w:ascii="Times New Roman Regular" w:hAnsi="Times New Roman Regular" w:cs="Times New Roman Regular" w:eastAsiaTheme="minorEastAsia"/>
        </w:rPr>
        <w:t>正交（条件于固定效应和滞后值的严格外生性）。这排除了以下情形：预期未来GDP变化导致采用地籍（反向因果），或者某个未观测的时变因素同时驱动地籍改革和GDP变化（遗漏变量偏差）。作者明确承认无法完全排除这些威胁，因此将其结果解释为</w:t>
      </w:r>
      <w:r>
        <w:rPr>
          <w:rFonts w:hint="default" w:ascii="Times New Roman Regular" w:hAnsi="Times New Roman Regular" w:cs="Times New Roman Regular"/>
          <w:lang w:val="en-US"/>
        </w:rPr>
        <w:t>“有启示性但不一定是因果性的”</w:t>
      </w:r>
      <w:r>
        <w:rPr>
          <w:rFonts w:hint="default" w:ascii="Times New Roman Regular" w:hAnsi="Times New Roman Regular" w:cs="Times New Roman Regular" w:eastAsiaTheme="minorEastAsia"/>
        </w:rPr>
        <w:t>（第3787页）。ATET分析依赖的假设是：除了滞后GDP水平和年份效应之外，不存在同时决定完整地籍改革选择和后续GDP增长的未观测因素（条件独立假设或不可混淆性）（第3804页）。</w:t>
      </w:r>
    </w:p>
    <w:p w14:paraId="2159C34E">
      <w:pPr>
        <w:rPr>
          <w:rFonts w:hint="default" w:ascii="Times New Roman Regular" w:hAnsi="Times New Roman Regular" w:cs="Times New Roman Regular" w:eastAsiaTheme="minorEastAsia"/>
        </w:rPr>
      </w:pPr>
    </w:p>
    <w:p w14:paraId="418C0ABE">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What is the main contribution? / 贡献：主要贡献是什么？</w:t>
      </w:r>
    </w:p>
    <w:p w14:paraId="67350C6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paper makes several notable contributions. First and most fundamentally, it introduces original data: the first cross-national database on state-administered cadastral records covering 159 countries over a millennium (1000–2015). This is a substantial data collection effort involving several hundred sources in multiple languages, peer-reviewed coding, and expert validation. The accompanying 42,000-word codebook is itself a major scholarly resource (pp. 3790, 3792–3793). Second, the paper provides new macro-level evidence on the link between a specific type of property rights institution—cadasters—and economic growth. While the micro-level literature on land titling and property rights has generated mixed results (Deininger and Feder 2009; Place 2009; Fenske 2011), macro-level evidence on formal land registration systems has been almost entirely absent. This paper fills that gap (p. 3786). Third, the paper refines existing theory by decomposing the channels through which property rights institutions affect growth and finding that the Coasean transaction-cost channel and the state capacity/fiscal channel matter more than the de Soto collateral-access channel. This is a theoretically important distinction (pp. 3820–3821). Fourth, the paper documents new descriptive patterns—that the positive association between cadasters and growth is a modern phenomenon (post-1900), strongest in Europe and Africa, and absent in Latin America and Asia—which opens important questions for future research (pp. 3802, 3806). Fifth, by placing cadasters in a </w:t>
      </w:r>
      <w:r>
        <w:rPr>
          <w:rFonts w:hint="default" w:ascii="Times New Roman Regular" w:hAnsi="Times New Roman Regular" w:cs="Times New Roman Regular"/>
          <w:lang w:val="en-US"/>
        </w:rPr>
        <w:t>“horse race”</w:t>
      </w:r>
      <w:r>
        <w:rPr>
          <w:rFonts w:hint="default" w:ascii="Times New Roman Regular" w:hAnsi="Times New Roman Regular" w:cs="Times New Roman Regular" w:eastAsiaTheme="minorEastAsia"/>
        </w:rPr>
        <w:t xml:space="preserve"> with democracy (Acemoglu et al. 2019), the paper demonstrates that this specific, concrete institutional variable has a positive effect on growth that is independent of and in some specifications larger than that of democracy, suggesting that property rights formalization may deserve more attention than it has received in the institutions-and-growth literature (pp. 3797–3799).</w:t>
      </w:r>
    </w:p>
    <w:p w14:paraId="1E937E3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做出了几项重要贡献。第一，也是最根本的，它引入了原创数据：第一个覆盖159个国家、跨越千年（1000–2015年）的国家管理地籍登记跨国数据库。这是一项涉及多种语言数百个资料来源、经同行评审编码和专家验证的大规模数据收集工作。随附的42000字编码手册本身就是重要的学术资源（第3790、3792–3793页）。第二，本文提供了关于一种特定类型的产权制度——地籍登记——与经济增长之间联系的新的宏观层面证据。虽然关于土地确权和产权的微观文献产生了混合结果（Deininger and Feder 2009; Place 2009; Fenske 2011），但关于正式土地登记系统的宏观证据几乎完全缺失。本文填补了这一空白（第3786页）。第三，本文通过分解产权制度影响增长的渠道来精炼了现有理论，发现科斯式交易成本渠道和国家能力/财政渠道比德索托式抵押品可及性渠道更为重要。这是一个在理论上具有重要意义的区分（第3820–3821页）。第四，本文记录了新的描述性模式——地籍与增长的正向关联是现代现象（1900年后）、在欧洲和非洲最强、在拉丁美洲和亚洲不存在——这为未来研究提出了重要问题（第3802、3806页）。第五，通过将地籍与民主（Acemoglu et al. 2019）进行</w:t>
      </w:r>
      <w:r>
        <w:rPr>
          <w:rFonts w:hint="default" w:ascii="Times New Roman Regular" w:hAnsi="Times New Roman Regular" w:cs="Times New Roman Regular"/>
          <w:lang w:val="en-US"/>
        </w:rPr>
        <w:t>“赛马”</w:t>
      </w:r>
      <w:r>
        <w:rPr>
          <w:rFonts w:hint="default" w:ascii="Times New Roman Regular" w:hAnsi="Times New Roman Regular" w:cs="Times New Roman Regular" w:eastAsiaTheme="minorEastAsia"/>
        </w:rPr>
        <w:t>，本文证明了这一具体的制度变量对增长的正效应独立于民主，且在某些设定中大于民主的效应，表明产权正式化可能比它在</w:t>
      </w:r>
      <w:r>
        <w:rPr>
          <w:rFonts w:hint="default" w:ascii="Times New Roman Regular" w:hAnsi="Times New Roman Regular" w:cs="Times New Roman Regular"/>
          <w:lang w:val="en-US"/>
        </w:rPr>
        <w:t>“制度与增长”</w:t>
      </w:r>
      <w:r>
        <w:rPr>
          <w:rFonts w:hint="default" w:ascii="Times New Roman Regular" w:hAnsi="Times New Roman Regular" w:cs="Times New Roman Regular" w:eastAsiaTheme="minorEastAsia"/>
        </w:rPr>
        <w:t>文献中所受到的关注更为值得重视（第3797–3799页）。</w:t>
      </w:r>
    </w:p>
    <w:p w14:paraId="3F78F680">
      <w:pPr>
        <w:rPr>
          <w:rFonts w:hint="default" w:ascii="Times New Roman Regular" w:hAnsi="Times New Roman Regular" w:cs="Times New Roman Regular" w:eastAsiaTheme="minorEastAsia"/>
        </w:rPr>
      </w:pPr>
    </w:p>
    <w:p w14:paraId="69B42B3C">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What are the limitations and how to address them? / 建议：有哪些局限性以及如何改进？</w:t>
      </w:r>
    </w:p>
    <w:p w14:paraId="612E16A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Professional scholars and researchers would identify several important limitations.</w:t>
      </w:r>
    </w:p>
    <w:p w14:paraId="37F88B0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Endogeneity and omitted variable bias remain the central concern. The authors themselves repeatedly acknowledge this (pp. 3787, 3821–3822). Cadastral reforms are typically bundled with other institutional reforms—the Napoleonic /nəˌpoʊliˈɒnɪk/ cadaster came with a civil code, administrative reform, and metric standardization; the Swedish /ˈswiːdɪʃ/ cadaster of 1628 came with military, tax, legal, and educational reforms (p. 3810). The within estimator with lagged dependent variables and fixed effects mitigates but cannot eliminate this problem. A scholar might suggest pursuing genuine natural experiments—such as the differential timing of cadastral reform across Prussian provinces, which the authors already exploit—but at a larger scale or with additional instrumental variables.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Prussian analysis is a step in this direction but is limited to a cross-sectional setting within a single state.</w:t>
      </w:r>
    </w:p>
    <w:p w14:paraId="3423EE8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内生性和遗漏变量偏差仍然是核心问题。 作者自己反复承认这一点（第3787、3821–3822页）。地籍改革通常与其他制度改革捆绑——拿破仑 (Napoleonic /nəˌpoʊliˈɒnɪk/) 地籍伴随着民法典、行政改革和度量衡标准化；瑞典 (Swedish /ˈswiːdɪʃ/) 1628年的地籍伴随着军事、税收、法律和教育改革（第3810页）。带滞后因变量和固定效应的组内估计量缓解但无法消除这一问题。学者可能建议寻求真正的自然实验——如作者已经利用的普鲁士不同省份地籍改革的差异时间——但规模更大或使用额外的工具变量。作者的普鲁士分析是这个方向上的一步，但局限于单个国家内的横截面分析。</w:t>
      </w:r>
    </w:p>
    <w:p w14:paraId="618FBA1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The Cadaster index may conflate state capacity with property rights clarity. Because </w:t>
      </w:r>
      <w:r>
        <w:rPr>
          <w:rFonts w:hint="default" w:ascii="Times New Roman Regular" w:hAnsi="Times New Roman Regular" w:cs="Times New Roman Regular" w:eastAsiaTheme="minorEastAsia"/>
          <w:color w:val="0000FF"/>
        </w:rPr>
        <w:t>cadasters are by definition state-administered, a high Cadaster score inherently reflects some degree of state organizational capacity</w:t>
      </w:r>
      <w:r>
        <w:rPr>
          <w:rFonts w:hint="default" w:ascii="Times New Roman Regular" w:hAnsi="Times New Roman Regular" w:cs="Times New Roman Regular" w:eastAsiaTheme="minorEastAsia"/>
        </w:rPr>
        <w:t>. It is therefore difficult to distinguish whether growth effects come from the information content of cadasters (reducing transaction costs for private agents) or from the state-building process that the creation of cadasters represents. A researcher might address this by exploiting cases where private cadasters existed alongside state cadasters (the authors mention these in footnote 1, p. 3788) or by comparing countries where cadasters were imported through colonization (rather than organically built through state-building).</w:t>
      </w:r>
    </w:p>
    <w:p w14:paraId="43A04757">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default" w:ascii="Times New Roman Regular" w:hAnsi="Times New Roman Regular" w:eastAsia="宋体" w:cs="Times New Roman Regular"/>
          <w:kern w:val="2"/>
          <w:sz w:val="21"/>
          <w:szCs w:val="21"/>
          <w:lang w:val="en-US" w:eastAsia="zh-CN" w:bidi="ar"/>
        </w:rPr>
        <w:t xml:space="preserve">(2) </w:t>
      </w:r>
      <w:r>
        <w:rPr>
          <w:rFonts w:hint="eastAsia" w:ascii="宋体" w:hAnsi="宋体" w:eastAsia="宋体" w:cs="宋体"/>
          <w:kern w:val="2"/>
          <w:sz w:val="21"/>
          <w:szCs w:val="21"/>
          <w:lang w:val="en-US" w:eastAsia="zh-CN" w:bidi="ar"/>
        </w:rPr>
        <w:t>地籍指数可能混淆了国家能力与产权清晰性。 因为地籍按定义是国家管理的，高地籍得分本身就反映了一定程度的国家组织能力。因此难以区分增长效应来自地籍的信息内容（降低私人主体的交易成本）还是来自创建地籍所代表的国家建设过程。研究者可以通过利用私人地籍与国家地籍并存的案例（作者在脚注</w:t>
      </w:r>
      <w:r>
        <w:rPr>
          <w:rFonts w:hint="default" w:ascii="Times New Roman Regular" w:hAnsi="Times New Roman Regular" w:eastAsia="Times New Roman Regular" w:cs="Times New Roman Regular"/>
          <w:kern w:val="2"/>
          <w:sz w:val="21"/>
          <w:szCs w:val="21"/>
          <w:lang w:val="en-US" w:eastAsia="zh-CN" w:bidi="ar"/>
        </w:rPr>
        <w:t>1</w:t>
      </w:r>
      <w:r>
        <w:rPr>
          <w:rFonts w:hint="eastAsia" w:ascii="宋体" w:hAnsi="宋体" w:eastAsia="宋体" w:cs="宋体"/>
          <w:kern w:val="2"/>
          <w:sz w:val="21"/>
          <w:szCs w:val="21"/>
          <w:lang w:val="en-US" w:eastAsia="zh-CN" w:bidi="ar"/>
        </w:rPr>
        <w:t>第</w:t>
      </w:r>
      <w:r>
        <w:rPr>
          <w:rFonts w:hint="default" w:ascii="Times New Roman Regular" w:hAnsi="Times New Roman Regular" w:eastAsia="Times New Roman Regular" w:cs="Times New Roman Regular"/>
          <w:kern w:val="2"/>
          <w:sz w:val="21"/>
          <w:szCs w:val="21"/>
          <w:lang w:val="en-US" w:eastAsia="zh-CN" w:bidi="ar"/>
        </w:rPr>
        <w:t>3788</w:t>
      </w:r>
      <w:r>
        <w:rPr>
          <w:rFonts w:hint="eastAsia" w:ascii="宋体" w:hAnsi="宋体" w:eastAsia="宋体" w:cs="宋体"/>
          <w:kern w:val="2"/>
          <w:sz w:val="21"/>
          <w:szCs w:val="21"/>
          <w:lang w:val="en-US" w:eastAsia="zh-CN" w:bidi="ar"/>
        </w:rPr>
        <w:t>页提及），或比较通过殖民引入地籍（而非通过国家建设有机构建）的国家来解决这一问题。</w:t>
      </w:r>
    </w:p>
    <w:p w14:paraId="67F4948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The measurement of the Cadaster index involves discretionary choices. The weighting scheme (0.75 for narrative vs. 1 for cartographic) and the thresholds (90% coverage = 1) are somewhat arbitrary, though the authors provide justifications in the appendix. Sensitivity analyses with alternative weightings would strengthen confidence.</w:t>
      </w:r>
    </w:p>
    <w:p w14:paraId="2C79F2B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地籍指数的衡量涉及裁量性选择。 权重方案（叙述式0.75 vs. 地图式1）和阈值（90%覆盖=1）有一定任意性，尽管作者在附录中提供了理由。使用替代权重的敏感性分析将增强信心。</w:t>
      </w:r>
    </w:p>
    <w:p w14:paraId="4D108F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The null result for the pre-1900 period is underexplored. The authors note that the positive association between cadasters and growth is absent before 1900 but offer only brief speculation about why (p. 3802). This is a theoretically important finding that deserves deeper investigation—perhaps through interaction effects with variables capturing financial development, urbanization, or state bureaucratic capacity.</w:t>
      </w:r>
    </w:p>
    <w:p w14:paraId="35078B1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1900年前的零结果未得到充分探讨。 作者注意到地籍与增长的正向关联在1900年前不存在，但仅简短推测了原因（第3802页）。这是一个在理论上重要的发现，值得更深入的研究——或许可通过与金融发展、城市化或国家官僚能力变量的交互效应来展开。</w:t>
      </w:r>
    </w:p>
    <w:p w14:paraId="783A75D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(5) The spatial heterogeneity results raise unanswered questions. </w:t>
      </w:r>
      <w:r>
        <w:rPr>
          <w:rFonts w:hint="default" w:ascii="Times New Roman Regular" w:hAnsi="Times New Roman Regular" w:cs="Times New Roman Regular" w:eastAsiaTheme="minorEastAsia"/>
          <w:color w:val="0000FF"/>
        </w:rPr>
        <w:t>The null results for Latin America /ˌlætɪn əˈmɛrɪkə/ and Asia /ˈeɪʒə/ (p. 3806) are not fully explained</w:t>
      </w:r>
      <w:r>
        <w:rPr>
          <w:rFonts w:hint="default" w:ascii="Times New Roman Regular" w:hAnsi="Times New Roman Regular" w:cs="Times New Roman Regular" w:eastAsiaTheme="minorEastAsia"/>
        </w:rPr>
        <w:t>. The authors briefly suggest that the predominance of fiscal rather than legal cadasters in Latin America might matter, but this is not tested. Scholars might suggest explicitly coding the distinction between fiscal and legal cadasters and testing whether different types have different growth effects.</w:t>
      </w:r>
    </w:p>
    <w:p w14:paraId="13F5EB1C">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default" w:ascii="Times New Roman Regular" w:hAnsi="Times New Roman Regular" w:eastAsia="宋体" w:cs="Times New Roman Regular"/>
          <w:kern w:val="2"/>
          <w:sz w:val="21"/>
          <w:szCs w:val="21"/>
          <w:lang w:val="en-US" w:eastAsia="zh-CN" w:bidi="ar"/>
        </w:rPr>
        <w:t xml:space="preserve">(5) </w:t>
      </w:r>
      <w:r>
        <w:rPr>
          <w:rFonts w:hint="eastAsia" w:ascii="宋体" w:hAnsi="宋体" w:eastAsia="宋体" w:cs="宋体"/>
          <w:kern w:val="2"/>
          <w:sz w:val="21"/>
          <w:szCs w:val="21"/>
          <w:lang w:val="en-US" w:eastAsia="zh-CN" w:bidi="ar"/>
        </w:rPr>
        <w:t xml:space="preserve">空间异质性结果引发了未回答的问题。 拉丁美洲 </w:t>
      </w:r>
      <w:r>
        <w:rPr>
          <w:rFonts w:hint="default" w:ascii="Times New Roman Regular" w:hAnsi="Times New Roman Regular" w:eastAsia="Times New Roman Regular" w:cs="Times New Roman Regular"/>
          <w:kern w:val="2"/>
          <w:sz w:val="21"/>
          <w:szCs w:val="21"/>
          <w:lang w:val="en-US" w:eastAsia="zh-CN" w:bidi="ar"/>
        </w:rPr>
        <w:t xml:space="preserve">(Latin America /ˌlætɪn əˈmɛrɪkə/) </w:t>
      </w:r>
      <w:r>
        <w:rPr>
          <w:rFonts w:hint="eastAsia" w:ascii="宋体" w:hAnsi="宋体" w:eastAsia="宋体" w:cs="宋体"/>
          <w:kern w:val="2"/>
          <w:sz w:val="21"/>
          <w:szCs w:val="21"/>
          <w:lang w:val="en-US" w:eastAsia="zh-CN" w:bidi="ar"/>
        </w:rPr>
        <w:t xml:space="preserve">和亚洲 </w:t>
      </w:r>
      <w:r>
        <w:rPr>
          <w:rFonts w:hint="default" w:ascii="Times New Roman Regular" w:hAnsi="Times New Roman Regular" w:eastAsia="Times New Roman Regular" w:cs="Times New Roman Regular"/>
          <w:kern w:val="2"/>
          <w:sz w:val="21"/>
          <w:szCs w:val="21"/>
          <w:lang w:val="en-US" w:eastAsia="zh-CN" w:bidi="ar"/>
        </w:rPr>
        <w:t xml:space="preserve">(Asia /ˈeɪʒə/) </w:t>
      </w:r>
      <w:r>
        <w:rPr>
          <w:rFonts w:hint="eastAsia" w:ascii="宋体" w:hAnsi="宋体" w:eastAsia="宋体" w:cs="宋体"/>
          <w:kern w:val="2"/>
          <w:sz w:val="21"/>
          <w:szCs w:val="21"/>
          <w:lang w:val="en-US" w:eastAsia="zh-CN" w:bidi="ar"/>
        </w:rPr>
        <w:t>的零结果（第</w:t>
      </w:r>
      <w:r>
        <w:rPr>
          <w:rFonts w:hint="default" w:ascii="Times New Roman Regular" w:hAnsi="Times New Roman Regular" w:eastAsia="Times New Roman Regular" w:cs="Times New Roman Regular"/>
          <w:kern w:val="2"/>
          <w:sz w:val="21"/>
          <w:szCs w:val="21"/>
          <w:lang w:val="en-US" w:eastAsia="zh-CN" w:bidi="ar"/>
        </w:rPr>
        <w:t>3806</w:t>
      </w:r>
      <w:r>
        <w:rPr>
          <w:rFonts w:hint="eastAsia" w:ascii="宋体" w:hAnsi="宋体" w:eastAsia="宋体" w:cs="宋体"/>
          <w:kern w:val="2"/>
          <w:sz w:val="21"/>
          <w:szCs w:val="21"/>
          <w:lang w:val="en-US" w:eastAsia="zh-CN" w:bidi="ar"/>
        </w:rPr>
        <w:t>页）未得到充分解释。作者简要提出拉丁美洲以财政性而非法律性地籍为主可能是原因，但未加检验。学者可能建议明确编码财政性与法律性地籍的区分，并检验不同类型是否有不同的增长效应。</w:t>
      </w:r>
    </w:p>
    <w:p w14:paraId="35F0CFD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The ATET analysis is based on very few treatment episodes. Only 19 transitions to full cadaster could be matched with GDP data during 1900–2015, and the authors acknowledge this limits the reliability of the semiparametric results (p. 3805). With so few observations, the results may be sensitive to individual country experiences.</w:t>
      </w:r>
    </w:p>
    <w:p w14:paraId="6B635A2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ATET分析基于极少的处理事件。 在1900–2015年间，仅有19次向完整地籍的转型能与GDP数据匹配，作者承认这限制了半参数结果的可靠性（第3805页）。如此少的观测值意味着结果可能对个别国家经验敏感。</w:t>
      </w:r>
    </w:p>
    <w:p w14:paraId="0F48B83C">
      <w:pPr>
        <w:rPr>
          <w:rFonts w:hint="default" w:ascii="Times New Roman Regular" w:hAnsi="Times New Roman Regular" w:cs="Times New Roman Regular" w:eastAsiaTheme="minorEastAsia"/>
        </w:rPr>
      </w:pPr>
    </w:p>
    <w:p w14:paraId="0DB0AE8A">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Extensions: What potential extensions or new research questions are inspired by this paper? / 拓展：受本文启发的潜在研究拓展或新研究问题</w:t>
      </w:r>
    </w:p>
    <w:p w14:paraId="6791931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Several promising extensions emerge from this paper.</w:t>
      </w:r>
    </w:p>
    <w:p w14:paraId="1ECC122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Disaggregating the cadaster index by type and purpose. The current index combines fiscal and legal cadasters. As the authors suggest in their conclusion (p. 3822), future work could separately code whether cadasters are fiscal or legal, centrally or subnationally managed, and under unified or fragmented ministerial control. This would allow researchers to test which specific institutional design features drive the growth effects and would speak to broader debates about whether information capacity or enforcement capacity matters more for state-led development.</w:t>
      </w:r>
    </w:p>
    <w:p w14:paraId="49693D4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按类型和目的分解地籍指数。 当前指数将财政性和法律性地籍合并。正如作者在结论中建议的（第3822页），未来工作可以分别编码地籍是财政性还是法律性的、是中央还是地方管理的、是统一还是分散的部门控制。这将使研究者能够检验哪些具体的制度设计特征驱动增长效应，并与关于信息能力还是执行能力对国家主导发展更重要的更广泛辩论对话。</w:t>
      </w:r>
    </w:p>
    <w:p w14:paraId="627D4D7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Subnational analysis of cadasters and development. The Prussian case study demonstrates the potential for subnational analysis. Similar designs could be implemented in other countries where cadasters were rolled out differentially across regions—for instance, India /ˈɪndiə/, Indonesia /ˌɪndəˈniːʒə/, or Brazil /brəˈzɪl/—using geographic regression discontinuity or staggered difference-in-differences designs. This would provide much more credible causal estimates than the cross-country panel.</w:t>
      </w:r>
    </w:p>
    <w:p w14:paraId="1E105FD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地籍与发展的次国家分析。 普鲁士案例研究展示了次国家分析的潜力。类似的设计可以在地籍在不同地区差异性推广的其他国家实施——例如印度 (India /ˈɪndiə/)、印度尼西亚 (Indonesia /ˌɪndəˈniːʒə/) 或巴西 (Brazil /brəˈzɪl/)——使用地理断点回归或交错双重差分设计。这将提供比跨国面板可信度高得多的因果估计。</w:t>
      </w:r>
    </w:p>
    <w:p w14:paraId="3B9438D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(3) The political economy of cadastral reform. The authors note that the determinants of cadastral reform remain a </w:t>
      </w:r>
      <w:r>
        <w:rPr>
          <w:rFonts w:hint="default" w:ascii="Times New Roman Regular" w:hAnsi="Times New Roman Regular" w:cs="Times New Roman Regular"/>
          <w:lang w:val="en-US"/>
        </w:rPr>
        <w:t>“black box”</w:t>
      </w:r>
      <w:r>
        <w:rPr>
          <w:rFonts w:hint="default" w:ascii="Times New Roman Regular" w:hAnsi="Times New Roman Regular" w:cs="Times New Roman Regular" w:eastAsiaTheme="minorEastAsia"/>
        </w:rPr>
        <w:t xml:space="preserve"> (p. 3787). Understanding why some states adopt cadasters while others do not is itself a critical research question. Does war drive cadastral reform (as suggested by the European case studies)? Do colonial legacies matter? Do specific political regimes (autocracies vs. democracies) differ in their propensity to create cadasters? Such research would not only help address endogeneity concerns but would also contribute to the literature on state formation and institutional change.</w:t>
      </w:r>
    </w:p>
    <w:p w14:paraId="3009465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地籍改革的政治经济学。 作者注意到地籍改革的决定因素仍然是一个</w:t>
      </w:r>
      <w:r>
        <w:rPr>
          <w:rFonts w:hint="default" w:ascii="Times New Roman Regular" w:hAnsi="Times New Roman Regular" w:cs="Times New Roman Regular"/>
          <w:lang w:val="en-US"/>
        </w:rPr>
        <w:t>“黑箱”</w:t>
      </w:r>
      <w:r>
        <w:rPr>
          <w:rFonts w:hint="default" w:ascii="Times New Roman Regular" w:hAnsi="Times New Roman Regular" w:cs="Times New Roman Regular" w:eastAsiaTheme="minorEastAsia"/>
        </w:rPr>
        <w:t>（第3787页）。理解为什么一些国家采用地籍而另一些没有，本身就是一个关键的研究问题。战争是否驱动了地籍改革（如欧洲案例研究所暗示的）？殖民遗产是否重要？不同政治体制（专制vs.民主）创建地籍的倾向是否不同？这类研究不仅有助于解决内生性问题，还将贡献于国家形成和制度变迁的文献。</w:t>
      </w:r>
    </w:p>
    <w:p w14:paraId="2798A7A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Cadasters and inequality. The Prussian analysis hints that cadasters affected land concentration and ownership distribution (pp. 3811–3814). A systematic cross-country study of cadasters and inequality—using measures such as Gini coefficients for land or income—would be a valuable extension, connecting the literature on property rights institutions to the literature on inequality and development.</w:t>
      </w:r>
    </w:p>
    <w:p w14:paraId="76A1469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地籍与不平等。 普鲁士分析暗示地籍影响了土地集中度和所有权分布（第3811–3814页）。系统性地跨国研究地籍与不平等——使用土地或收入的基尼系数等衡量——将是有价值的拓展，连接产权制度文献与不平等与发展文献。</w:t>
      </w:r>
    </w:p>
    <w:p w14:paraId="657C129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Cadasters and contemporary development outcomes. Beyond GDP growth, cadasters might affect a range of outcomes relevant to development: access to credit, urbanization patterns, women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land rights, environmental management (e.g., reducing deforestation through clear land demarcation), and conflict over land. Each of these could be a separate study using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Cadaster dataset.</w:t>
      </w:r>
    </w:p>
    <w:p w14:paraId="37674D8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地籍与当代发展结果。 超越GDP增长，地籍可能影响一系列与发展相关的结果：信贷可及性、城市化模式、女性土地权利、环境管理（如通过清晰的土地划界减少森林砍伐）以及土地冲突。每一个都可以利用作者的地籍数据集进行单独研究。</w:t>
      </w:r>
    </w:p>
    <w:p w14:paraId="7D4BF02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Interaction between cadasters and other institutional reforms. The event study evidence suggests that cadasters are often part of reform bundles (p. 3810). A systematic study of complementarities between cadasters and other reforms (legal codes, administrative reforms, financial sector development) could illuminate whether cadasters are necessary, sufficient, or merely facilitating conditions for growth.</w:t>
      </w:r>
    </w:p>
    <w:p w14:paraId="04E5B8D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地籍与其他制度改革的互动。 事件研究证据表明地籍通常是改革组合的一部分（第3810页）。系统性地研究地籍与其他改革（法典、行政改革、金融部门发展）之间的互补性，可以揭示地籍是增长的必要条件、充分条件还是仅仅是促进条件。</w:t>
      </w:r>
    </w:p>
    <w:p w14:paraId="4EFAF54A">
      <w:pPr>
        <w:rPr>
          <w:rFonts w:hint="default" w:ascii="Times New Roman Regular" w:hAnsi="Times New Roman Regular" w:cs="Times New Roman Regular" w:eastAsiaTheme="minorEastAsia"/>
        </w:rPr>
      </w:pPr>
    </w:p>
    <w:p w14:paraId="372EA5DA">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核心命题：地籍的增长效应不是无条件的，而是取决于地籍所嵌入的制度环境</w:t>
      </w:r>
    </w:p>
    <w:p w14:paraId="2A7CC91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Core proposition: The growth effect of cadasters is not unconditional, but depends on the institutional environment in which cadasters are embedded.</w:t>
      </w:r>
    </w:p>
    <w:p w14:paraId="06DDFF3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籍作为一种信息基础设施，其经济功能取决于谁在使用这些信息、用来做什么、以及配套制度是否允许信息转化为经济行动。同一种制度形式在不同制度环境中可以服务于截然不同的功能。亚洲和拉美的零结果不意味着地籍不重要，而是意味着地籍的效应以特定的制度条件为前提。</w:t>
      </w:r>
    </w:p>
    <w:p w14:paraId="7DDFC65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As an information infrastructure, the economic function of cadasters depends on who uses the information, for what purposes, and whether complementary institutions allow information to translate into economic action. The same institutional form can serve entirely different functions in different institutional environments. The null results in Asia and Latin America do not mean cadasters are unimportant, but that their effects are conditional on specific institutional preconditions.</w:t>
      </w:r>
    </w:p>
    <w:p w14:paraId="3AD2B859">
      <w:pPr>
        <w:rPr>
          <w:rFonts w:hint="default" w:ascii="Times New Roman Regular" w:hAnsi="Times New Roman Regular" w:cs="Times New Roman Regular" w:eastAsiaTheme="minorEastAsia"/>
        </w:rPr>
      </w:pPr>
    </w:p>
    <w:p w14:paraId="224ED56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假说一：地籍的增长效应取决于它在多大程度上被用作市场信息工具而非仅用作国家汲取工具</w:t>
      </w:r>
    </w:p>
    <w:p w14:paraId="1F00296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Hypothesis 1: The growth effect of cadasters depends on the extent to which they function as market information tools rather than solely as instruments of state extraction.</w:t>
      </w:r>
    </w:p>
    <w:p w14:paraId="73C3357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在欧洲，拿破仑地籍和此后的法律地籍主要服务于打破封建土地关系、使土地可自由交易。在中国和奥斯曼帝国，地籍主要服务于征税——国家</w:t>
      </w:r>
      <w:r>
        <w:rPr>
          <w:rFonts w:hint="default" w:ascii="Times New Roman Regular" w:hAnsi="Times New Roman Regular" w:cs="Times New Roman Regular"/>
          <w:lang w:eastAsia="zh-CN"/>
        </w:rPr>
        <w:t>“看见土地”</w:t>
      </w:r>
      <w:r>
        <w:rPr>
          <w:rFonts w:hint="default" w:ascii="Times New Roman Regular" w:hAnsi="Times New Roman Regular" w:cs="Times New Roman Regular" w:eastAsiaTheme="minorEastAsia"/>
        </w:rPr>
        <w:t>并不等于市场主体</w:t>
      </w:r>
      <w:r>
        <w:rPr>
          <w:rFonts w:hint="default" w:ascii="Times New Roman Regular" w:hAnsi="Times New Roman Regular" w:cs="Times New Roman Regular"/>
          <w:lang w:eastAsia="zh-CN"/>
        </w:rPr>
        <w:t>“能低成本地交易土地”</w:t>
      </w:r>
      <w:r>
        <w:rPr>
          <w:rFonts w:hint="default" w:ascii="Times New Roman Regular" w:hAnsi="Times New Roman Regular" w:cs="Times New Roman Regular" w:eastAsiaTheme="minorEastAsia"/>
        </w:rPr>
        <w:t>。在拉美，殖民地籍服务于记录和固定殖民者对原住民土地的征用。这三种功能的差异可以解释为什么同样编码为</w:t>
      </w:r>
      <w:r>
        <w:rPr>
          <w:rFonts w:hint="default" w:ascii="Times New Roman Regular" w:hAnsi="Times New Roman Regular" w:cs="Times New Roman Regular"/>
          <w:lang w:eastAsia="zh-CN"/>
        </w:rPr>
        <w:t>“有地籍”</w:t>
      </w:r>
      <w:r>
        <w:rPr>
          <w:rFonts w:hint="default" w:ascii="Times New Roman Regular" w:hAnsi="Times New Roman Regular" w:cs="Times New Roman Regular" w:eastAsiaTheme="minorEastAsia"/>
        </w:rPr>
        <w:t>的国家，增长效应截然不同。值得注意的是，财政地籍并非完全无效——日本殖民时期的台湾和朝鲜地籍虽为财政目的而建，却迅速催生了土地和抵押市场（Yoo and Steckel 2016, 第3789页脚注5），这说明关键不是地籍的初始目的，而是它所嵌入的制度能否让登记信息被市场主体利用。</w:t>
      </w:r>
    </w:p>
    <w:p w14:paraId="311D4E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In Europe, Napoleonic and subsequent legal cadasters primarily served to break feudal land relations and enable free land transactions. In China and the Ottoman Empire, cadasters primarily served taxation—the state </w:t>
      </w:r>
      <w:r>
        <w:rPr>
          <w:rFonts w:hint="default" w:ascii="Times New Roman Regular" w:hAnsi="Times New Roman Regular" w:cs="Times New Roman Regular"/>
          <w:lang w:eastAsia="zh-CN"/>
        </w:rPr>
        <w:t>“seeing”</w:t>
      </w:r>
      <w:r>
        <w:rPr>
          <w:rFonts w:hint="default" w:ascii="Times New Roman Regular" w:hAnsi="Times New Roman Regular" w:cs="Times New Roman Regular" w:eastAsiaTheme="minorEastAsia"/>
        </w:rPr>
        <w:t xml:space="preserve"> land is not the same as market actors being able to transact land at low cost. In Latin America, colonial cadasters served to record and fix colonial appropriation of indigenous lands. These functional differences can explain why countries identically coded as </w:t>
      </w:r>
      <w:r>
        <w:rPr>
          <w:rFonts w:hint="default" w:ascii="Times New Roman Regular" w:hAnsi="Times New Roman Regular" w:cs="Times New Roman Regular"/>
          <w:lang w:eastAsia="zh-CN"/>
        </w:rPr>
        <w:t>“having a cadaster”</w:t>
      </w:r>
      <w:r>
        <w:rPr>
          <w:rFonts w:hint="default" w:ascii="Times New Roman Regular" w:hAnsi="Times New Roman Regular" w:cs="Times New Roman Regular" w:eastAsiaTheme="minorEastAsia"/>
        </w:rPr>
        <w:t xml:space="preserve"> display vastly different growth effects. Importantly, fiscal cadasters are not wholly ineffective—Japanese colonial cadasters in Taiwan and Korea, though built for fiscal purposes, rapidly catalyzed land and mortgage markets (Yoo and Steckel 2016, footnote 5, p. 3789), indicating that the key is not a cadaster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initial purpose but whether surrounding institutions allow market actors to utilize the registration information.</w:t>
      </w:r>
    </w:p>
    <w:p w14:paraId="0C35FDC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检验方法： 将地籍编码细分为财政性（primary purpose: taxation）和法律性（primary purpose: property rights recording and transaction facilitation），分别估计增长效应。利用作者42000字编码手册中的国家叙述进行分类。进一步以台湾/朝鲜等</w:t>
      </w:r>
      <w:r>
        <w:rPr>
          <w:rFonts w:hint="default" w:ascii="Times New Roman Regular" w:hAnsi="Times New Roman Regular" w:cs="Times New Roman Regular"/>
          <w:lang w:eastAsia="zh-CN"/>
        </w:rPr>
        <w:t>“财政地籍却催生市场”</w:t>
      </w:r>
      <w:r>
        <w:rPr>
          <w:rFonts w:hint="default" w:ascii="Times New Roman Regular" w:hAnsi="Times New Roman Regular" w:cs="Times New Roman Regular" w:eastAsiaTheme="minorEastAsia"/>
        </w:rPr>
        <w:t>的案例作为诊断：在这些案例中，什么互补条件（殖民行政效率、日本法律移植、抵押法改革）使财政地籍也能发挥市场功能？</w:t>
      </w:r>
    </w:p>
    <w:p w14:paraId="6B29431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Testing strategy: Subdivide cadaster coding into fiscal (primary purpose: taxation) and legal (primary purpose: property rights recording and transaction facilitation), estimating growth effects separately. Use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42,000-word codebook narratives for classification. Further use cases like Taiwan/Korea—where fiscal cadasters catalyzed markets—as diagnostics: what complementary conditions (colonial administrative efficiency, Japanese legal transplants, mortgage law reforms) enabled fiscal cadasters to serve market functions?</w:t>
      </w:r>
    </w:p>
    <w:p w14:paraId="08F2960A">
      <w:pPr>
        <w:rPr>
          <w:rFonts w:hint="default" w:ascii="Times New Roman Regular" w:hAnsi="Times New Roman Regular" w:cs="Times New Roman Regular" w:eastAsiaTheme="minorEastAsia"/>
        </w:rPr>
      </w:pPr>
    </w:p>
    <w:p w14:paraId="5E43584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假说二：地籍的增长效应以互补制度为条件——法治、金融深度、行政质量构成地籍发挥作用的必要环境</w:t>
      </w:r>
    </w:p>
    <w:p w14:paraId="21250A1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Hypothesis 2: The growth effect of cadasters is conditional on complementary institutions—rule of law, financial depth, and administrative quality constitute the necessary environment for cadasters to function.</w:t>
      </w:r>
    </w:p>
    <w:p w14:paraId="39660E0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地籍只是信息基础设施。信息要转化为增长，需要法院能执行产权、银行能接受抵押、登记机关能及时更新记录、腐败不至于使登记失真。如果这些环节缺位，地籍就成为</w:t>
      </w:r>
      <w:r>
        <w:rPr>
          <w:rFonts w:hint="default" w:ascii="Times New Roman Regular" w:hAnsi="Times New Roman Regular" w:cs="Times New Roman Regular"/>
          <w:lang w:eastAsia="zh-CN"/>
        </w:rPr>
        <w:t>“看起来现代但经济作用有限的制度壳”</w:t>
      </w:r>
      <w:r>
        <w:rPr>
          <w:rFonts w:hint="default" w:ascii="Times New Roman Regular" w:hAnsi="Times New Roman Regular" w:cs="Times New Roman Regular" w:eastAsiaTheme="minorEastAsia"/>
        </w:rPr>
        <w:t>。这与作者发现地籍效应在1900年后才显著的时间模式一致——因为互补性的现代制度（金融体系、法治框架）在19-20世纪才逐步成熟。在明清中国，地籍虽然存在了上千年，但皇帝可以随时改变产权规则，地方代理人利用地籍信息进行勒索而非服务市场，金融中介极度不发达——地籍的潜在增长效应因此长期处于休眠状态。</w:t>
      </w:r>
    </w:p>
    <w:p w14:paraId="7697F1C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Cadasters are merely information infrastructure. For information to translate into growth, courts must enforce property rights, banks must accept collateral, registration offices must update records promptly, and corruption must not render registrations unreliable. If these links are missing, cadasters become </w:t>
      </w:r>
      <w:r>
        <w:rPr>
          <w:rFonts w:hint="default" w:ascii="Times New Roman Regular" w:hAnsi="Times New Roman Regular" w:cs="Times New Roman Regular"/>
          <w:lang w:eastAsia="zh-CN"/>
        </w:rPr>
        <w:t>“institutionally modern-looking but economically inert shells.”</w:t>
      </w:r>
      <w:r>
        <w:rPr>
          <w:rFonts w:hint="default" w:ascii="Times New Roman Regular" w:hAnsi="Times New Roman Regular" w:cs="Times New Roman Regular" w:eastAsiaTheme="minorEastAsia"/>
        </w:rPr>
        <w:t xml:space="preserve"> This is consistent with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finding that cadaster effects are significant only after 1900—because complementary modern institutions (financial systems, rule-of-law frameworks) matured only in the 19th-20th centuries. In Ming-Qing China, though cadasters existed for over a millennium, the emperor could alter property rules at will, local agents exploited cadastral information for extortion rather than market facilitation, and financial intermediation was extremely underdeveloped—the potential growth effect of cadasters remained dormant.</w:t>
      </w:r>
    </w:p>
    <w:p w14:paraId="39288E5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检验方法： 在主回归中加入Cadaster × Rule of Law、Cadaster × 银行信贷深度、Cadaster × 官僚质量的交互项。如果交互项显著为正，说明零结果来自互补制度不足而非地籍本身无效。可进一步检验序列互补：在金融发展水平跨越某一阈值后，地籍的增长效应是否出现非线性跳跃。作者在表C8中已经做了Cadaster与Rule of Law的初步交互（第3806页），发现纳入Rule of Law后系数下降最多，这为这一假说提供了初步支持。</w:t>
      </w:r>
    </w:p>
    <w:p w14:paraId="5B5F13E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Testing strategy: Include Cadaster × Rule of Law, Cadaster × banking credit depth, and Cadaster × bureaucratic quality interaction terms in the main regressions. If interactions are significantly positive, the null result comes from insufficient complementary institutions rather than cadaster ineffectiveness per se. Further test sequential complementarity: does the growth effect of cadasters exhibit a nonlinear jump once financial development crosses a threshold?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preliminary interaction with Rule of Law in Table C8 (p. 3806), where the coefficient drops most, provides initial support.</w:t>
      </w:r>
    </w:p>
    <w:p w14:paraId="06C8E53C">
      <w:pPr>
        <w:rPr>
          <w:rFonts w:hint="default" w:ascii="Times New Roman Regular" w:hAnsi="Times New Roman Regular" w:cs="Times New Roman Regular" w:eastAsiaTheme="minorEastAsia"/>
        </w:rPr>
      </w:pPr>
    </w:p>
    <w:p w14:paraId="5F2CDA8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假说三：在经济交易尚以地方网络为主的社会，地籍提供的新增信息价值较低；地籍的效应主要在经济超越地方网络时才显现</w:t>
      </w:r>
    </w:p>
    <w:p w14:paraId="0DCF237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Hypothesis 3: In societies where economic transactions are primarily organized through local networks, the marginal informational value of cadasters is low; cadaster effects emerge mainly when economies outgrow local networks.</w:t>
      </w:r>
    </w:p>
    <w:p w14:paraId="17E01C7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科斯框架的前提是：市场交易因缺乏可靠的产权信息而成本高昂。但在明清中国、前殖民印度和东南亚部分地区，地方社会已经通过宗族记忆、中间人（牙行/中人）、地方契约习惯和长期重复博弈建立了运转良好的非正式产权与信用信息机制。论文脚注3（第3788页）自己也承认中世纪欧洲的抵押市场</w:t>
      </w:r>
      <w:r>
        <w:rPr>
          <w:rFonts w:hint="default" w:ascii="Times New Roman Regular" w:hAnsi="Times New Roman Regular" w:cs="Times New Roman Regular"/>
          <w:lang w:eastAsia="zh-CN"/>
        </w:rPr>
        <w:t>“在没有地籍的社区内依靠内部信息和社会规范就能运转”</w:t>
      </w:r>
      <w:r>
        <w:rPr>
          <w:rFonts w:hint="default" w:ascii="Times New Roman Regular" w:hAnsi="Times New Roman Regular" w:cs="Times New Roman Regular" w:eastAsiaTheme="minorEastAsia"/>
        </w:rPr>
        <w:t>。在这类社会中，国家地籍替代的是既有的可用机制，而非填补信息真空，因此其边际增长效应较弱。但当经济规模扩大到超越地方熟人网络——需要陌生人之间、跨区域的大规模交易时——地方性信息机制就不够用了，国家地籍的标准化、公开性和跨地域可检索性才变得不可替代。这解释了为什么地籍效应在1900年后（全球化、城市化加速）才显著：不是因为地籍本身变了，而是经济对国家级信息基础设施的需求变了。</w:t>
      </w:r>
    </w:p>
    <w:p w14:paraId="10E5D49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Coasean framework assumes that market transactions are costly due to unreliable property information. But in Ming-Qing China, pre-colonial India, and parts of Southeast Asia, local societies had already built functioning informal property and credit information mechanisms through kinship memory, intermediaries (brokers, notaries), local contractual customs, and repeated-game reputation systems.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footnote 3 (p. 3788) acknowledges that medieval European mortgage markets </w:t>
      </w:r>
      <w:r>
        <w:rPr>
          <w:rFonts w:hint="default" w:ascii="Times New Roman Regular" w:hAnsi="Times New Roman Regular" w:cs="Times New Roman Regular"/>
          <w:lang w:eastAsia="zh-CN"/>
        </w:rPr>
        <w:t>“functioned within communities with insider information and social norms without cadasters.”</w:t>
      </w:r>
      <w:r>
        <w:rPr>
          <w:rFonts w:hint="default" w:ascii="Times New Roman Regular" w:hAnsi="Times New Roman Regular" w:cs="Times New Roman Regular" w:eastAsiaTheme="minorEastAsia"/>
        </w:rPr>
        <w:t xml:space="preserve"> In such societies, state cadasters replace existing functional mechanisms rather than fill an information vacuum, so their marginal growth effect is weaker. But when economies scale beyond local acquaintance networks—requiring large-scale transactions between strangers across regions—local information mechanisms become insufficient, and the standardization, publicity, and cross-regional searchability of state cadasters become irreplaceable. This explains why cadaster effects become significant only after 1900 (accelerating globalization and urbanization): not because cadasters themselves changed, but because economic demand for national-level information infrastructure changed.</w:t>
      </w:r>
    </w:p>
    <w:p w14:paraId="3A40145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检验方法： 这一假说最难直接检验，但有两个间接策略。第一，如果假说成立，地籍效应应在城市化率较高、贸易开放度较大的国家-时期更强——因为这些是经济超越地方网络的代理指标。可以加入Cadaster × 城市化率和Cadaster × 贸易开放度的交互项。第二，可以利用次国家层面数据，比较同一国家内城市地区（陌生人交易为主）和农村地区（熟人网络为主）对地籍改革的差异性反应。</w:t>
      </w:r>
    </w:p>
    <w:p w14:paraId="49FEC80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Testing strategy: This hypothesis is hardest to test directly, but two indirect strategies exist. First, if the hypothesis holds, cadaster effects should be stronger in country-periods with higher urbanization rates and trade openness—proxies for economies outgrowing local networks. Cadaster × urbanization and Cadaster × trade openness interaction terms can be tested. Second, subnational data can compare differential responses to cadastral reform between urban areas (stranger-based transactions) and rural areas (acquaintance-network transactions) within the same country.</w:t>
      </w:r>
    </w:p>
    <w:p w14:paraId="31076DC6">
      <w:pPr>
        <w:rPr>
          <w:rFonts w:hint="default" w:ascii="Times New Roman Regular" w:hAnsi="Times New Roman Regular" w:cs="Times New Roman Regular" w:eastAsiaTheme="minorEastAsia"/>
        </w:rPr>
      </w:pPr>
    </w:p>
    <w:p w14:paraId="2DD2A2A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假说四：在土地高度集中的社会，地籍可能巩固不平等的分配结构，抵消甚至逆转其对人均增长的正效应</w:t>
      </w:r>
    </w:p>
    <w:p w14:paraId="44E7810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Hypothesis 4: In societies with highly concentrated land ownership, cadasters may consolidate unequal distributional structures, offsetting or even reversing their positive effect on per capita growth.</w:t>
      </w:r>
    </w:p>
    <w:p w14:paraId="5EC986F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这对拉美尤其重要。西班牙殖民时期建立的地籍并非为促进市场交易，而是为记录和固化恩科米恩达和阿森达体制下殖民者对土地的占有。地籍</w:t>
      </w:r>
      <w:r>
        <w:rPr>
          <w:rFonts w:hint="default" w:ascii="Times New Roman Regular" w:hAnsi="Times New Roman Regular" w:cs="Times New Roman Regular"/>
          <w:lang w:eastAsia="zh-CN"/>
        </w:rPr>
        <w:t>“清晰化”</w:t>
      </w:r>
      <w:r>
        <w:rPr>
          <w:rFonts w:hint="default" w:ascii="Times New Roman Regular" w:hAnsi="Times New Roman Regular" w:cs="Times New Roman Regular" w:eastAsiaTheme="minorEastAsia"/>
        </w:rPr>
        <w:t>了产权，但清晰化的内容是一个高度不平等的分配格局。在这种条件下，地籍对总GDP可能有正效应（大庄园的商品化农业产出计入GDP），但对人均GDP未必有效甚至可能为负——因为增长收益集中在少数大地主手中，大多数人口被排斥在土地市场和信贷市场之外。作者的普鲁士分析（第3811–3814页）已经暗示了这一机制：早期获得地籍的西部省份，农场密度增长更快，土地集中度增长更慢——也就是说，地籍在普鲁士恰好配合了打破庄园制的改革。但在拉美，地籍配合的是巩固庄园制的殖民秩序，所以效果可能相反。</w:t>
      </w:r>
    </w:p>
    <w:p w14:paraId="47A788D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This is especially important for Latin America. Cadasters established during Spanish colonial rule were not designed to facilitate market transactions but to record and fix colonial appropriation of land under the encomienda and hacienda systems. Cadasters </w:t>
      </w:r>
      <w:r>
        <w:rPr>
          <w:rFonts w:hint="default" w:ascii="Times New Roman Regular" w:hAnsi="Times New Roman Regular" w:cs="Times New Roman Regular"/>
          <w:lang w:eastAsia="zh-CN"/>
        </w:rPr>
        <w:t>“clarified”</w:t>
      </w:r>
      <w:r>
        <w:rPr>
          <w:rFonts w:hint="default" w:ascii="Times New Roman Regular" w:hAnsi="Times New Roman Regular" w:cs="Times New Roman Regular" w:eastAsiaTheme="minorEastAsia"/>
        </w:rPr>
        <w:t xml:space="preserve"> property rights, but what they clarified was a highly unequal distributional pattern. Under these conditions, cadasters may have a positive effect on aggregate GDP (commercialized hacienda agriculture counts toward GDP) but not necessarily on per capita GDP—because growth gains are concentrated among a few large landowners while most of the population is excluded from land and credit markets.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Prussian analysis (pp. 3811–3814) already hints at this mechanism: western provinces that received cadasters earlier saw faster farm density growth and slower land concentration growth—cadasters in Prussia happened to accompany reforms dismantling the manorial system. In Latin America, cadasters accompanied the consolidation of the colonial estate system, so effects may be reversed.</w:t>
      </w:r>
    </w:p>
    <w:p w14:paraId="15207B6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检验方法： 将历史土地Gini系数或大地主占有比例作为调节变量，检验Cadaster × 土地不平等的交互效应。如果交互项显著为负，说明土地越集中的地方地籍对人均增长的效应越弱或为负。可进一步利用作者已有的普鲁士数据进行类比检验：如果普鲁士东部（大庄园主导）的地籍效应弱于西部（小农主导），这为H4提供了次国家证据。</w:t>
      </w:r>
    </w:p>
    <w:p w14:paraId="328C6A6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Testing strategy: Use historical land Gini coefficients or large-landholder share as a moderating variable, testing the Cadaster × land inequality interaction. If the interaction is significantly negative, cadaster effects on per capita growth are weaker or negative where land is more concentrated.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existing Prussian data can provide subnational evidence: if cadaster effects in eastern Prussia (estate-dominated) are weaker than in western Prussia (smallholder-dominated), this supports H4.</w:t>
      </w:r>
    </w:p>
    <w:p w14:paraId="5E3534C0">
      <w:pPr>
        <w:rPr>
          <w:rFonts w:hint="default" w:ascii="Times New Roman Regular" w:hAnsi="Times New Roman Regular" w:cs="Times New Roman Regular" w:eastAsiaTheme="minorEastAsia"/>
        </w:rPr>
      </w:pPr>
    </w:p>
    <w:p w14:paraId="2884587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假说五（方法论推论）：区域平均效应掩盖了条件效应，应沿H1-H4所指出的维度分解异质性</w:t>
      </w:r>
    </w:p>
    <w:p w14:paraId="10EAAAE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Hypothesis 5 (methodological corollary): Regional average effects mask conditional effects; heterogeneity should be decomposed along the dimensions identified in H1-H4.</w:t>
      </w:r>
    </w:p>
    <w:p w14:paraId="33B4958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这不是独立的实质性假说，而是前四个假说的统计推论。如果H1-H4成立，那么在</w:t>
      </w:r>
      <w:r>
        <w:rPr>
          <w:rFonts w:hint="default" w:ascii="Times New Roman Regular" w:hAnsi="Times New Roman Regular" w:cs="Times New Roman Regular"/>
          <w:lang w:eastAsia="zh-CN"/>
        </w:rPr>
        <w:t>“亚洲”</w:t>
      </w:r>
      <w:r>
        <w:rPr>
          <w:rFonts w:hint="default" w:ascii="Times New Roman Regular" w:hAnsi="Times New Roman Regular" w:cs="Times New Roman Regular" w:eastAsiaTheme="minorEastAsia"/>
        </w:rPr>
        <w:t>和</w:t>
      </w:r>
      <w:r>
        <w:rPr>
          <w:rFonts w:hint="default" w:ascii="Times New Roman Regular" w:hAnsi="Times New Roman Regular" w:cs="Times New Roman Regular"/>
          <w:lang w:eastAsia="zh-CN"/>
        </w:rPr>
        <w:t>“拉美”</w:t>
      </w:r>
      <w:r>
        <w:rPr>
          <w:rFonts w:hint="default" w:ascii="Times New Roman Regular" w:hAnsi="Times New Roman Regular" w:cs="Times New Roman Regular" w:eastAsiaTheme="minorEastAsia"/>
        </w:rPr>
        <w:t>这种内部制度差异极大的区域内做平均回归，就必然会把有效应的国家和无效应的国家混在一起，得到接近于零的平均估计。真正的研究策略不是问</w:t>
      </w:r>
      <w:r>
        <w:rPr>
          <w:rFonts w:hint="default" w:ascii="Times New Roman Regular" w:hAnsi="Times New Roman Regular" w:cs="Times New Roman Regular"/>
          <w:lang w:eastAsia="zh-CN"/>
        </w:rPr>
        <w:t>“亚洲的地籍有没有效”</w:t>
      </w:r>
      <w:r>
        <w:rPr>
          <w:rFonts w:hint="default" w:ascii="Times New Roman Regular" w:hAnsi="Times New Roman Regular" w:cs="Times New Roman Regular" w:eastAsiaTheme="minorEastAsia"/>
        </w:rPr>
        <w:t>，而是问</w:t>
      </w:r>
      <w:r>
        <w:rPr>
          <w:rFonts w:hint="default" w:ascii="Times New Roman Regular" w:hAnsi="Times New Roman Regular" w:cs="Times New Roman Regular"/>
          <w:lang w:eastAsia="zh-CN"/>
        </w:rPr>
        <w:t>“在亚洲内部，什么条件下地籍有效”</w:t>
      </w:r>
      <w:r>
        <w:rPr>
          <w:rFonts w:hint="default" w:ascii="Times New Roman Regular" w:hAnsi="Times New Roman Regular" w:cs="Times New Roman Regular" w:eastAsiaTheme="minorEastAsia"/>
        </w:rPr>
        <w:t>。</w:t>
      </w:r>
    </w:p>
    <w:p w14:paraId="244A77A0">
      <w:pP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This is not an independent substantive hypothesis but a statistical corollary of the first four. If H1-H4 hold, then running average regressions within internally heterogeneous regions like </w:t>
      </w:r>
      <w:r>
        <w:rPr>
          <w:rFonts w:hint="default" w:ascii="Times New Roman Regular" w:hAnsi="Times New Roman Regular" w:cs="Times New Roman Regular"/>
          <w:lang w:eastAsia="zh-CN"/>
        </w:rPr>
        <w:t>“Asia”</w:t>
      </w:r>
      <w:r>
        <w:rPr>
          <w:rFonts w:hint="default" w:ascii="Times New Roman Regular" w:hAnsi="Times New Roman Regular" w:cs="Times New Roman Regular" w:eastAsiaTheme="minorEastAsia"/>
        </w:rPr>
        <w:t xml:space="preserve"> and </w:t>
      </w:r>
      <w:r>
        <w:rPr>
          <w:rFonts w:hint="default" w:ascii="Times New Roman Regular" w:hAnsi="Times New Roman Regular" w:cs="Times New Roman Regular"/>
          <w:lang w:eastAsia="zh-CN"/>
        </w:rPr>
        <w:t>“Latin America”</w:t>
      </w:r>
      <w:r>
        <w:rPr>
          <w:rFonts w:hint="default" w:ascii="Times New Roman Regular" w:hAnsi="Times New Roman Regular" w:cs="Times New Roman Regular" w:eastAsiaTheme="minorEastAsia"/>
        </w:rPr>
        <w:t xml:space="preserve"> necessarily mixes countries where cadasters are effective with those where they are not, yielding near-zero average estimates. The proper research strategy is not to ask </w:t>
      </w:r>
      <w:r>
        <w:rPr>
          <w:rFonts w:hint="default" w:ascii="Times New Roman Regular" w:hAnsi="Times New Roman Regular" w:cs="Times New Roman Regular"/>
          <w:lang w:eastAsia="zh-CN"/>
        </w:rPr>
        <w:t>“do cadasters work in Asia”</w:t>
      </w:r>
      <w:r>
        <w:rPr>
          <w:rFonts w:hint="default" w:ascii="Times New Roman Regular" w:hAnsi="Times New Roman Regular" w:cs="Times New Roman Regular" w:eastAsiaTheme="minorEastAsia"/>
        </w:rPr>
        <w:t xml:space="preserve"> but </w:t>
      </w:r>
      <w:r>
        <w:rPr>
          <w:rFonts w:hint="default" w:ascii="Times New Roman Regular" w:hAnsi="Times New Roman Regular" w:cs="Times New Roman Regular"/>
          <w:lang w:eastAsia="zh-CN"/>
        </w:rPr>
        <w:t>“under what conditions within Asia do cadasters work.”</w:t>
      </w:r>
    </w:p>
    <w:p w14:paraId="5278777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检验方法： 将全样本按H1-H4的调节变量分组（而非按地理区域分组），运行分样本回归或带交互项的全样本回归。如果在</w:t>
      </w:r>
      <w:r>
        <w:rPr>
          <w:rFonts w:hint="default" w:ascii="Times New Roman Regular" w:hAnsi="Times New Roman Regular" w:cs="Times New Roman Regular"/>
          <w:lang w:eastAsia="zh-CN"/>
        </w:rPr>
        <w:t>“法律型地籍+高法治+低土地集中+高城市化”</w:t>
      </w:r>
      <w:r>
        <w:rPr>
          <w:rFonts w:hint="default" w:ascii="Times New Roman Regular" w:hAnsi="Times New Roman Regular" w:cs="Times New Roman Regular" w:eastAsiaTheme="minorEastAsia"/>
        </w:rPr>
        <w:t>的子样本中，无论在哪个大洲，地籍效应都显著为正，就说明零结果来自制度条件而非地域文化。</w:t>
      </w:r>
    </w:p>
    <w:p w14:paraId="16C49C1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Testing strategy: Split the full sample by H1-H4</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moderating variables (rather than geographic region), running subsample regressions or full-sample regressions with interaction terms. If cadaster effects are significantly positive in the </w:t>
      </w:r>
      <w:r>
        <w:rPr>
          <w:rFonts w:hint="default" w:ascii="Times New Roman Regular" w:hAnsi="Times New Roman Regular" w:cs="Times New Roman Regular"/>
          <w:lang w:eastAsia="zh-CN"/>
        </w:rPr>
        <w:t>“legal cadaster + high rule of law + low land concentration + high urbanization”</w:t>
      </w:r>
      <w:r>
        <w:rPr>
          <w:rFonts w:hint="default" w:ascii="Times New Roman Regular" w:hAnsi="Times New Roman Regular" w:cs="Times New Roman Regular" w:eastAsiaTheme="minorEastAsia"/>
        </w:rPr>
        <w:t xml:space="preserve"> subsample regardless of continent, this confirms that null results stem from institutional conditions rather than regional culture.</w:t>
      </w:r>
    </w:p>
    <w:p w14:paraId="05F44B18">
      <w:pPr>
        <w:rPr>
          <w:rFonts w:hint="default" w:ascii="Times New Roman Regular" w:hAnsi="Times New Roman Regular" w:cs="Times New Roman Regular" w:eastAsiaTheme="minorEastAsia"/>
        </w:rPr>
      </w:pPr>
    </w:p>
    <w:p w14:paraId="18668A5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总结性命题</w:t>
      </w:r>
    </w:p>
    <w:p w14:paraId="367D951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Concluding proposition</w:t>
      </w:r>
    </w:p>
    <w:p w14:paraId="0B4B883A">
      <w:pPr>
        <w:rPr>
          <w:rFonts w:hint="default" w:ascii="Times New Roman Regular" w:hAnsi="Times New Roman Regular" w:cs="Times New Roman Regular" w:eastAsiaTheme="minorEastAsia"/>
        </w:rPr>
      </w:pPr>
      <w:r>
        <w:rPr>
          <w:rFonts w:hint="default" w:ascii="Times New Roman Regular" w:hAnsi="Times New Roman Regular" w:cs="Times New Roman Regular"/>
          <w:lang w:eastAsia="zh-CN"/>
        </w:rPr>
        <w:t>“国家能看见土地”</w:t>
      </w:r>
      <w:r>
        <w:rPr>
          <w:rFonts w:hint="default" w:ascii="Times New Roman Regular" w:hAnsi="Times New Roman Regular" w:cs="Times New Roman Regular" w:eastAsiaTheme="minorEastAsia"/>
        </w:rPr>
        <w:t>与</w:t>
      </w:r>
      <w:r>
        <w:rPr>
          <w:rFonts w:hint="default" w:ascii="Times New Roman Regular" w:hAnsi="Times New Roman Regular" w:cs="Times New Roman Regular"/>
          <w:lang w:eastAsia="zh-CN"/>
        </w:rPr>
        <w:t>“市场能无摩擦地交易土地”</w:t>
      </w:r>
      <w:r>
        <w:rPr>
          <w:rFonts w:hint="default" w:ascii="Times New Roman Regular" w:hAnsi="Times New Roman Regular" w:cs="Times New Roman Regular" w:eastAsiaTheme="minorEastAsia"/>
        </w:rPr>
        <w:t>之间不存在自动的连通。地籍是一个信息基础设施，但信息能否转化为增长，取决于围绕信息的制度体系——产权是否安全、法院是否执行、金融是否可及、分配是否包容。亚洲和拉美的经验提示我们：制度的形式不等于制度的功能，同一种制度在不同的权力结构和社会关系中可以服务于截然不同的目的。未来研究应从</w:t>
      </w:r>
      <w:r>
        <w:rPr>
          <w:rFonts w:hint="default" w:ascii="Times New Roman Regular" w:hAnsi="Times New Roman Regular" w:cs="Times New Roman Regular"/>
          <w:lang w:eastAsia="zh-CN"/>
        </w:rPr>
        <w:t>“地籍是否存在”</w:t>
      </w:r>
      <w:r>
        <w:rPr>
          <w:rFonts w:hint="default" w:ascii="Times New Roman Regular" w:hAnsi="Times New Roman Regular" w:cs="Times New Roman Regular" w:eastAsiaTheme="minorEastAsia"/>
        </w:rPr>
        <w:t>转向</w:t>
      </w:r>
      <w:r>
        <w:rPr>
          <w:rFonts w:hint="default" w:ascii="Times New Roman Regular" w:hAnsi="Times New Roman Regular" w:cs="Times New Roman Regular"/>
          <w:lang w:eastAsia="zh-CN"/>
        </w:rPr>
        <w:t>“地籍在什么条件下有效”</w:t>
      </w:r>
      <w:r>
        <w:rPr>
          <w:rFonts w:hint="default" w:ascii="Times New Roman Regular" w:hAnsi="Times New Roman Regular" w:cs="Times New Roman Regular" w:eastAsiaTheme="minorEastAsia"/>
        </w:rPr>
        <w:t>，这不仅对理解地籍本身有价值，对理解产权制度与经济发展的关系这一更一般性的问题同样具有意义。</w:t>
      </w:r>
    </w:p>
    <w:p w14:paraId="1639335A">
      <w:pPr>
        <w:rPr>
          <w:rFonts w:hint="default" w:ascii="Times New Roman Regular" w:hAnsi="Times New Roman Regular" w:cs="Times New Roman Regular" w:eastAsiaTheme="minorEastAsia"/>
        </w:rPr>
      </w:pPr>
      <w:r>
        <w:rPr>
          <w:rFonts w:hint="default" w:ascii="Times New Roman Regular" w:hAnsi="Times New Roman Regular" w:cs="Times New Roman Regular"/>
          <w:lang w:eastAsia="zh-CN"/>
        </w:rPr>
        <w:t>“The state seeing land”</w:t>
      </w:r>
      <w:r>
        <w:rPr>
          <w:rFonts w:hint="default" w:ascii="Times New Roman Regular" w:hAnsi="Times New Roman Regular" w:cs="Times New Roman Regular" w:eastAsiaTheme="minorEastAsia"/>
        </w:rPr>
        <w:t xml:space="preserve"> and </w:t>
      </w:r>
      <w:r>
        <w:rPr>
          <w:rFonts w:hint="default" w:ascii="Times New Roman Regular" w:hAnsi="Times New Roman Regular" w:cs="Times New Roman Regular"/>
          <w:lang w:eastAsia="zh-CN"/>
        </w:rPr>
        <w:t>“the market transacting land frictionlessly”</w:t>
      </w:r>
      <w:r>
        <w:rPr>
          <w:rFonts w:hint="default" w:ascii="Times New Roman Regular" w:hAnsi="Times New Roman Regular" w:cs="Times New Roman Regular" w:eastAsiaTheme="minorEastAsia"/>
        </w:rPr>
        <w:t xml:space="preserve"> are not automatically connected. Cadasters are information infrastructure, but whether information translates into growth depends on the institutional system surrounding it—whether property is secure, courts enforce, finance is accessible, distribution is inclusive. The experience of Asia and Latin America reminds us that institutional form does not equal institutional function; the same institution can serve entirely different purposes under different power structures and social relations. Future research should shift from </w:t>
      </w:r>
      <w:r>
        <w:rPr>
          <w:rFonts w:hint="default" w:ascii="Times New Roman Regular" w:hAnsi="Times New Roman Regular" w:cs="Times New Roman Regular"/>
          <w:lang w:eastAsia="zh-CN"/>
        </w:rPr>
        <w:t>“whether cadasters exist”</w:t>
      </w:r>
      <w:r>
        <w:rPr>
          <w:rFonts w:hint="default" w:ascii="Times New Roman Regular" w:hAnsi="Times New Roman Regular" w:cs="Times New Roman Regular" w:eastAsiaTheme="minorEastAsia"/>
        </w:rPr>
        <w:t xml:space="preserve"> to </w:t>
      </w:r>
      <w:r>
        <w:rPr>
          <w:rFonts w:hint="default" w:ascii="Times New Roman Regular" w:hAnsi="Times New Roman Regular" w:cs="Times New Roman Regular"/>
          <w:lang w:eastAsia="zh-CN"/>
        </w:rPr>
        <w:t>“under what conditions cadasters are effective”</w:t>
      </w:r>
      <w:r>
        <w:rPr>
          <w:rFonts w:hint="default" w:ascii="Times New Roman Regular" w:hAnsi="Times New Roman Regular" w:cs="Times New Roman Regular" w:eastAsiaTheme="minorEastAsia"/>
        </w:rPr>
        <w:t>—a question valuable not only for understanding cadasters themselves, but for understanding the more general relationship between property rights institutions and economic development.</w:t>
      </w:r>
    </w:p>
    <w:p w14:paraId="59712F24">
      <w:pPr>
        <w:rPr>
          <w:rFonts w:hint="default" w:ascii="Times New Roman Regular" w:hAnsi="Times New Roman Regular" w:cs="Times New Roman Regular" w:eastAsiaTheme="minorEastAsia"/>
        </w:rPr>
      </w:pPr>
    </w:p>
    <w:p w14:paraId="7FED116C">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Note on Formal Model / 关于形式模型的说明</w:t>
      </w:r>
    </w:p>
    <w:p w14:paraId="62ED9F8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paper does not propose a formal theoretical model (e.g., a game-theoretic or general equilibrium model). Instead, it is primarily an empirical paper that draws on well-established theoretical frameworks—Coasean property rights theory, the de Soto hypothesis, and the Besley-Persson state capacity framework—to motivate its hypotheses and interpret its results. The econometric specifications (equations 1–7 in the paper) are empirical estimation equations, not structural models derived from micro-foundations. This is a notable feature: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main strength lies in its novel data and empirical exploration rather than in theoretical innovation.</w:t>
      </w:r>
    </w:p>
    <w:p w14:paraId="5FF8A12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没有提出形式化的理论模型（例如博弈论模型或一般均衡模型）。相反，它主要是一篇实证论文，借鉴成熟的理论框架——科斯产权理论、德索托假说和Besley-Persson国家能力框架——来激发假说和解释结果。文中的计量设定（方程1–7）是实证估计方程，而非从微观基础推导的结构模型。这是一个值得注意的特征：本文的主要优势在于其新颖的数据和实证探索，而非理论创新。</w:t>
      </w:r>
    </w:p>
    <w:p w14:paraId="38997EE5">
      <w:pPr>
        <w:rPr>
          <w:rFonts w:hint="default" w:ascii="Times New Roman Regular" w:hAnsi="Times New Roman Regular" w:cs="Times New Roman Regular" w:eastAsiaTheme="minorEastAsia"/>
        </w:rPr>
      </w:pPr>
    </w:p>
    <w:p w14:paraId="1362BF3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br w:type="page"/>
      </w:r>
    </w:p>
    <w:p w14:paraId="71710B38">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 xml:space="preserve">Lecture Notes: </w:t>
      </w:r>
      <w:r>
        <w:rPr>
          <w:rFonts w:hint="default" w:ascii="Times New Roman Regular" w:hAnsi="Times New Roman Regular" w:cs="Times New Roman Regular"/>
          <w:b/>
          <w:bCs/>
          <w:color w:val="0000FF"/>
          <w:kern w:val="44"/>
          <w:sz w:val="48"/>
          <w:szCs w:val="48"/>
          <w:lang w:val="en-US" w:eastAsia="zh-CN" w:bidi="ar"/>
        </w:rPr>
        <w:t>“The Dynamic Consequences of State Building: Evidence from the French Revolution”</w:t>
      </w:r>
    </w:p>
    <w:p w14:paraId="0CEBFC2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b/>
          <w:bCs/>
          <w:color w:val="0000FF"/>
          <w:kern w:val="44"/>
          <w:sz w:val="48"/>
          <w:szCs w:val="48"/>
          <w:lang w:val="en-US" w:eastAsia="zh-CN" w:bidi="ar"/>
        </w:rPr>
        <w:t>讲义：《国家建设的动态后果：来自法国大革命的证据》</w:t>
      </w:r>
    </w:p>
    <w:p w14:paraId="374DAFFB">
      <w:pPr>
        <w:rPr>
          <w:rFonts w:hint="default" w:ascii="Times New Roman Regular" w:hAnsi="Times New Roman Regular" w:cs="Times New Roman Regular" w:eastAsiaTheme="minorEastAsia"/>
          <w:lang w:val="en-US"/>
        </w:rPr>
      </w:pPr>
    </w:p>
    <w:p w14:paraId="3B47FFB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27FDD97B">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lang w:val="en-US"/>
        </w:rPr>
        <w:t>“The Dynamic Consequences of State Building: Evidence from the French Revolution”</w:t>
      </w:r>
    </w:p>
    <w:p w14:paraId="4C4BE7B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《国家建设的动态后果：来自法国大革命的证据》</w:t>
      </w:r>
    </w:p>
    <w:p w14:paraId="4209248F">
      <w:pPr>
        <w:rPr>
          <w:rFonts w:hint="default" w:ascii="Times New Roman Regular" w:hAnsi="Times New Roman Regular" w:cs="Times New Roman Regular" w:eastAsiaTheme="minorEastAsia"/>
          <w:lang w:val="en-US"/>
        </w:rPr>
      </w:pPr>
    </w:p>
    <w:p w14:paraId="6CC7993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5BC089E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Cédric Chambru /seɪˈdriːk ʃɒmˈbruː/, Emeric Henry /eɪˈmɛrɪk ˈhɛnri/, and Benjamin Marx /ˈbɛndʒəmɪn mɑːrks/. Chambru is affiliated with the University of Zurich /ˈzjʊərɪk/; Henry and Marx are affiliated with Sciences Po /sjɑ̃s poʊ/ and CEPR.</w:t>
      </w:r>
    </w:p>
    <w:p w14:paraId="084C3D7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塞德里克·尚布吕（Cédric Chambru /seɪˈdriːk ʃɒmˈbruː/），苏黎世大学（University of Zurich /ˈzjʊərɪk/）；埃梅里克·亨利（Emeric Henry /eɪˈmɛrɪk ˈhɛnri/）和本杰明·马克思（Benjamin Marx /ˈbɛndʒəmɪn mɑːrks/），巴黎政治学院（Sciences Po /sjɑ̃s poʊ/）及欧洲经济政策研究中心（CEPR）。</w:t>
      </w:r>
    </w:p>
    <w:p w14:paraId="1AC5FFCD">
      <w:pPr>
        <w:rPr>
          <w:rFonts w:hint="default" w:ascii="Times New Roman Regular" w:hAnsi="Times New Roman Regular" w:cs="Times New Roman Regular" w:eastAsiaTheme="minorEastAsia"/>
        </w:rPr>
      </w:pPr>
    </w:p>
    <w:p w14:paraId="1EB0228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3F22166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2024, published in the American Economic Review, Volume 114, Issue 11, pages 3578–3622 (November 2024).</w:t>
      </w:r>
    </w:p>
    <w:p w14:paraId="61803FC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2024年，发表于《美国经济评论》（American Economic Review），第114卷第11期，第3578–3622页（2024年11月）。</w:t>
      </w:r>
    </w:p>
    <w:p w14:paraId="4A76AFF2">
      <w:pPr>
        <w:rPr>
          <w:rFonts w:hint="default" w:ascii="Times New Roman Regular" w:hAnsi="Times New Roman Regular" w:cs="Times New Roman Regular" w:eastAsiaTheme="minorEastAsia"/>
        </w:rPr>
      </w:pPr>
    </w:p>
    <w:p w14:paraId="481B8870">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 / 因变量：主要因变量是什么？</w:t>
      </w:r>
    </w:p>
    <w:p w14:paraId="3C4F3C2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examines multiple dependent variables organized along a temporal sequence: (1) in the short run, indicators of the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coercive capacity, including extractive capacity (the timing of cadaster establishment, the amount of business tax collected per industrial establishment, and the number of military conscripts) and enforcement capacity (the number of prisons, tribunals, and police forces); (2) in the medium run, indicators of productive capacity, including secondary schools, hospitals, welfare offices, telegraph connections, and railway stations; and (3) in the long run, indicators of economic development, including industrial establishments, banks, patents registered by residents, population growth, and public and private employment (pp. 3578–3580). The overarching dependent variable is how state capacity and economic development evolve dynamically over time following an exogenous administrative reform. The paper does not have a single DV; rather, its central contribution is precisely to trace the sequence across multiple DVs.</w:t>
      </w:r>
    </w:p>
    <w:p w14:paraId="2F5EC0B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本文考察了沿时间顺序排列的多个因变量：（1）在短期内，衡量国家强制能力（coercive capacity）的指标，包括榨取能力（cadastre地籍调查建立的时间、每个工业企业缴纳的营业税额、拿破仑军队的征兵人数）和执法能力（监狱、法庭和警力数量）；（2）在中期，衡量生产能力（productive capacity）的指标，包括中学、医院、福利机构、电报连接和铁路车站；（3）在长期，衡量经济发展的指标，包括工业企业数量、银行数量、居民注册的专利数量、人口增长以及公共和私人就业（第3578–3580页）。总体而言，因变量是在外生行政改革之后国家能力和经济发展如何随时间动态演变。本文并没有单一的因变量，其核心贡献恰恰在于追踪跨越多个因变量的时序。</w:t>
      </w:r>
    </w:p>
    <w:p w14:paraId="0CCF6C00">
      <w:pPr>
        <w:rPr>
          <w:rFonts w:hint="default" w:ascii="Times New Roman Regular" w:hAnsi="Times New Roman Regular" w:cs="Times New Roman Regular" w:eastAsiaTheme="minorEastAsia"/>
        </w:rPr>
      </w:pPr>
    </w:p>
    <w:p w14:paraId="5751E7B7">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 / 自变量：主要自变量是什么？</w:t>
      </w:r>
    </w:p>
    <w:p w14:paraId="40B3924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independent variable is capital status—that is, whether a city was chosen as the capital (chef-lieu) of a newly created department (département) in the 1790 administrative reform of Revolutionary France /frɑːns/ (p. 3579). For the analysis of peripheral municipalitie</w:t>
      </w:r>
      <w:bookmarkStart w:id="0" w:name="_GoBack"/>
      <w:bookmarkEnd w:id="0"/>
      <w:r>
        <w:rPr>
          <w:rFonts w:hint="default" w:ascii="Times New Roman Regular" w:hAnsi="Times New Roman Regular" w:cs="Times New Roman Regular" w:eastAsiaTheme="minorEastAsia"/>
        </w:rPr>
        <w:t>s, the independent variable is proximity to the capital—specifically, a binary indicator of whether a municipality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nearest candidate city was ultimately chosen as the department capital (p. 3593). The variation in capital status is exploited as a quasi-random assignment: in a subset of artificial departments, the French Constituent Assembly (Assemblée nationale constituante /asɑ̃ble nasjɔnal kɔ̃stitɥɑ̃t/) failed to designate a single capital and instead established rotations of administrative functions across multiple candidate cities or left the choice to a local election. When the rotation system was abolished in September 1791, capitals were </w:t>
      </w:r>
      <w:r>
        <w:rPr>
          <w:rFonts w:hint="default" w:ascii="Times New Roman Regular" w:hAnsi="Times New Roman Regular" w:cs="Times New Roman Regular"/>
          <w:lang w:val="en-US"/>
        </w:rPr>
        <w:t>“fixed”</w:t>
      </w:r>
      <w:r>
        <w:rPr>
          <w:rFonts w:hint="default" w:ascii="Times New Roman Regular" w:hAnsi="Times New Roman Regular" w:cs="Times New Roman Regular" w:eastAsiaTheme="minorEastAsia"/>
        </w:rPr>
        <w:t xml:space="preserve"> in whichever city happened to host the administration at that moment (pp. 3583–3585).</w:t>
      </w:r>
    </w:p>
    <w:p w14:paraId="4C1BC18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主要自变量是省会地位（capital status）——即一座城市是否在法国大革命（French Revolution）1790年行政改革中被选为新设省（département /depaʁtəmɑ̃/）的省会（chef-lieu /ʃɛf ljø/）（第3579页）。对于周边市镇的分析，自变量是与省会的接近程度——具体而言，是一个二元指标，衡量某市镇最近的候选城市是否最终被选为省会（第3593页）。省会地位的变异被利用为准随机分配：在一部分人为划定的省份中，法国制宪议会（Assemblée nationale constituante /asɑ̃ble nasjɔnal kɔ̃stitɥɑ̃t/）未能指定唯一的省会，而是设立了行政职能在多个候选城市之间轮换的制度，或将选择权交给地方选举。当轮换制度于1791年9月被废除时，省会被</w:t>
      </w:r>
      <w:r>
        <w:rPr>
          <w:rFonts w:hint="default" w:ascii="Times New Roman Regular" w:hAnsi="Times New Roman Regular" w:cs="Times New Roman Regular"/>
          <w:lang w:val="en-US"/>
        </w:rPr>
        <w:t>“固定”</w:t>
      </w:r>
      <w:r>
        <w:rPr>
          <w:rFonts w:hint="default" w:ascii="Times New Roman Regular" w:hAnsi="Times New Roman Regular" w:cs="Times New Roman Regular" w:eastAsiaTheme="minorEastAsia"/>
        </w:rPr>
        <w:t>在当时恰好驻有行政机构的城市（第3583–3585页）。</w:t>
      </w:r>
    </w:p>
    <w:p w14:paraId="2703AA09">
      <w:pPr>
        <w:rPr>
          <w:rFonts w:hint="default" w:ascii="Times New Roman Regular" w:hAnsi="Times New Roman Regular" w:cs="Times New Roman Regular" w:eastAsiaTheme="minorEastAsia"/>
        </w:rPr>
      </w:pPr>
    </w:p>
    <w:p w14:paraId="287A96E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default" w:ascii="Times New Roman Regular" w:hAnsi="Times New Roman Regular" w:cs="Times New Roman Regular"/>
          <w:highlight w:val="yellow"/>
          <w:lang w:val="en-US"/>
        </w:rPr>
        <w:t>“state”</w:t>
      </w:r>
      <w:r>
        <w:rPr>
          <w:rFonts w:hint="default" w:ascii="Times New Roman Regular" w:hAnsi="Times New Roman Regular" w:cs="Times New Roman Regular" w:eastAsiaTheme="minorEastAsia"/>
          <w:highlight w:val="yellow"/>
        </w:rPr>
        <w:t xml:space="preserve"> and/or </w:t>
      </w:r>
      <w:r>
        <w:rPr>
          <w:rFonts w:hint="default" w:ascii="Times New Roman Regular" w:hAnsi="Times New Roman Regular" w:cs="Times New Roman Regular"/>
          <w:highlight w:val="yellow"/>
          <w:lang w:val="en-US"/>
        </w:rPr>
        <w:t>“state building”</w:t>
      </w:r>
      <w:r>
        <w:rPr>
          <w:rFonts w:hint="default" w:ascii="Times New Roman Regular" w:hAnsi="Times New Roman Regular" w:cs="Times New Roman Regular" w:eastAsiaTheme="minorEastAsia"/>
          <w:highlight w:val="yellow"/>
        </w:rPr>
        <w:t xml:space="preserve"> conceptualized and measured? / 国家性：如何概念化和测量</w:t>
      </w:r>
      <w:r>
        <w:rPr>
          <w:rFonts w:hint="default" w:ascii="Times New Roman Regular" w:hAnsi="Times New Roman Regular" w:cs="Times New Roman Regular"/>
          <w:highlight w:val="yellow"/>
          <w:lang w:val="en-US"/>
        </w:rPr>
        <w:t>“国家”</w:t>
      </w:r>
      <w:r>
        <w:rPr>
          <w:rFonts w:hint="default" w:ascii="Times New Roman Regular" w:hAnsi="Times New Roman Regular" w:cs="Times New Roman Regular" w:eastAsiaTheme="minorEastAsia"/>
          <w:highlight w:val="yellow"/>
        </w:rPr>
        <w:t>和/或</w:t>
      </w:r>
      <w:r>
        <w:rPr>
          <w:rFonts w:hint="default" w:ascii="Times New Roman Regular" w:hAnsi="Times New Roman Regular" w:cs="Times New Roman Regular"/>
          <w:highlight w:val="yellow"/>
          <w:lang w:val="en-US"/>
        </w:rPr>
        <w:t>“国家建设”</w:t>
      </w:r>
      <w:r>
        <w:rPr>
          <w:rFonts w:hint="default" w:ascii="Times New Roman Regular" w:hAnsi="Times New Roman Regular" w:cs="Times New Roman Regular" w:eastAsiaTheme="minorEastAsia"/>
          <w:highlight w:val="yellow"/>
        </w:rPr>
        <w:t>？</w:t>
      </w:r>
    </w:p>
    <w:p w14:paraId="5F7FB91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conceptualize state capacity following Mann /mæn/ (1984), Besley /ˈbɛzli/ and Persson /ˈpɛrsən/ (2010), and Berwick /ˈbɛrɪk/ and Christia /ˈkrɪstiə/ (2018) as the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ability to implement policy and achieve intended outcomes (p. 3580). They decompose state capacity into three distinct dimensions. The first is extractive capacity: the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ability to obtain fiscal or physical contributions from citizens, measured through cadaster establishment, business tax per establishment, and military conscription rates (pp. 3580, 3595–3598). The second is enforcement capacity: the ability to control the population through institutions of law and order, measured through the construction of prisons and tribunals and the size of police forces (pp. 3580, 3598). The authors group extractive and enforcement capacity together as coercive capacity, conceptualizing them as inputs into the production of public goods, consistent with Besley and Persson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(2010) framework (p. 3580). The third is productive capacity: the ability of the state to provide public goods, measured through schools, hospitals, welfare services, telegraph connections, and railway stations (pp. 3580, 3598–3600). State building, in this paper, is therefore understood not as a one-time event but as a dynamic process in which the state first establishes coercive capacity in a locality, which then enables revenue collection, which in turn funds productive investments. The </w:t>
      </w:r>
      <w:r>
        <w:rPr>
          <w:rFonts w:hint="default" w:ascii="Times New Roman Regular" w:hAnsi="Times New Roman Regular" w:cs="Times New Roman Regular"/>
          <w:lang w:val="en-US"/>
        </w:rPr>
        <w:t>“state”</w:t>
      </w:r>
      <w:r>
        <w:rPr>
          <w:rFonts w:hint="default" w:ascii="Times New Roman Regular" w:hAnsi="Times New Roman Regular" w:cs="Times New Roman Regular" w:eastAsiaTheme="minorEastAsia"/>
        </w:rPr>
        <w:t xml:space="preserve"> is not conceptualized as a unitary Weberian entity but rather as a set of local institutions and administrative presences whose intensity varies across space (p. 3580).</w:t>
      </w:r>
    </w:p>
    <w:p w14:paraId="7338F24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作者遵循曼恩（Mann /mæn/，1984）、贝斯利（Besley /ˈbɛzli/）和佩尔松（Persson /ˈpɛrsən/，2010）、以及伯威克（Berwick /ˈbɛrɪk/）和克里斯蒂亚（Christia /ˈkrɪstiə/，2018）的框架，将国家能力概念化为国家实施政策并实现预期结果的能力（第3580页）。他们将国家能力分解为三个维度。第一是榨取能力（extractive capacity）：国家从公民那里获取财政或物质贡献的能力，通过地籍调查建立时间、每个企业缴纳的营业税额和征兵率来衡量（第3580、3595–3598页）。第二是执法能力（enforcement capacity）：通过法律和秩序制度控制人口的能力，通过监狱和法庭的建设及警力规模来衡量（第3580、3598页）。作者将榨取能力和执法能力统称为强制能力（coercive capacity），将其概念化为公共物品生产的投入，与贝斯利和佩尔松（2010）的框架一致（第3580页）。第三是生产能力（productive capacity）：国家提供公共物品的能力，通过学校、医院、福利服务、电报连接和铁路车站来衡量（第3580、3598–3600页）。在本文中，国家建设因此被理解为不是一次性事件，而是一个动态过程：国家首先在一个地区建立强制能力，进而实现税收征集，再以此资助生产性投资。</w:t>
      </w:r>
      <w:r>
        <w:rPr>
          <w:rFonts w:hint="default" w:ascii="Times New Roman Regular" w:hAnsi="Times New Roman Regular" w:cs="Times New Roman Regular"/>
          <w:lang w:val="en-US"/>
        </w:rPr>
        <w:t>“国家”</w:t>
      </w:r>
      <w:r>
        <w:rPr>
          <w:rFonts w:hint="default" w:ascii="Times New Roman Regular" w:hAnsi="Times New Roman Regular" w:cs="Times New Roman Regular" w:eastAsiaTheme="minorEastAsia"/>
        </w:rPr>
        <w:t>在此不是被概念化为一个统一的韦伯式实体，而是一组地方制度和行政存在，其强度在空间上有所不同（第3580页）。</w:t>
      </w:r>
    </w:p>
    <w:p w14:paraId="39A5460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conceptualization has important theoretical implications. It is consistent with Tilly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/ˈtɪli/ (1990) argument that coercion precedes extraction and public goods provision, and with Olson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/ˈoʊlsən/ (1993) insight that a stationary bandit first needs the capacity to extract before providing public goods. However, the authors add a crucial temporal dimension: they argue that the sequence matters, and that the short-term costs of coercion (higher taxes, conscription, population outflow) are a necessary investment whose payoff materializes only in the long run through improved public goods and economic growth (pp. 3581, 3607).</w:t>
      </w:r>
    </w:p>
    <w:p w14:paraId="5437568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这一概念化具有重要的理论含义。它与蒂利（Tilly /ˈtɪli/，1990）关于强制先于榨取和公共物品供给的论点一致，也与奥尔森（Olson /ˈoʊlsən/，1993）关于固定土匪首先需要榨取能力然后才能提供公共物品的洞见一致。但作者增加了一个关键的时间维度：他们论证顺序很重要，强制的短期成本（更高的税收、征兵、人口外流）是一种必要的投资，其回报只在长期才通过改善的公共物品和经济增长得以实现（第3581、3607页）。</w:t>
      </w:r>
    </w:p>
    <w:p w14:paraId="0330C619">
      <w:pPr>
        <w:rPr>
          <w:rFonts w:hint="default" w:ascii="Times New Roman Regular" w:hAnsi="Times New Roman Regular" w:cs="Times New Roman Regular" w:eastAsiaTheme="minorEastAsia"/>
        </w:rPr>
      </w:pPr>
    </w:p>
    <w:p w14:paraId="7C1F01EE">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 论点：核心论点是什么？</w:t>
      </w:r>
    </w:p>
    <w:p w14:paraId="00F5100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core argument is that state building is a dynamic process in which early investments in coercive capacity are a prerequisite for later investments in productive capacity and long-run economic development. The paper argues that when a city received quasi-random administrative status as a department capital in 1790, this triggered a sequential chain of effects: in the short run, the new capital experienced higher taxation, more conscription, and greater investment in law enforcement institutions (prisons, tribunals, police); in the medium run, these fiscal resources enabled greater provision of public goods such as schools, hospitals, telegraph connections, and railways; and in the long run, these public goods attracted private economic activity, innovation, and population growth, so that by the early 20th century, capitals were approximately 40% more populated than comparable candidate cities (pp. 3578–3580). Crucially, the authors argue that this divergence did not appear immediately. In the short run, the costs of coercion (higher taxes, conscription) may have actually driven some citizens away from the capital. Only after decades of institutional buildup did the benefits of state presence—in the form of local public goods and the private sector activity they attracted—outweigh these costs (pp. 3581, 3589–3590).</w:t>
      </w:r>
    </w:p>
    <w:p w14:paraId="5755FD7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核心论点是：国家建设是一个动态过程，其中对强制能力的早期投资是后来对生产能力投资和长期经济发展的先决条件。本文论证，当一座城市在1790年准随机地获得省会行政地位时，这触发了一连串的因果效应：在短期内，新省会经历了更高的税收、更多的征兵和更大的执法制度投资（监狱、法庭、警力）；在中期，这些财政资源使得更多公共物品——如学校、医院、电报连接和铁路——得以提供；而在长期，这些公共物品吸引了私人经济活动、创新和人口增长，以至于到20世纪初，省会城市的人口大约比同等条件的候选城市多出40%（第3578–3580页）。至关重要的是，作者论证这种分化并非立即出现。在短期内，强制的成本（更高的税收、征兵）实际上可能将一些公民驱离省会。只有经过数十年的制度建设，国家存在的益处——以地方公共物品和它们吸引的私人部门活动的形式——才超过了这些成本（第3581、3589–3590页）。</w:t>
      </w:r>
    </w:p>
    <w:p w14:paraId="73BA6D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argument can be summarized as a three-stage temporal logic: (1) Coercion first: the state projects its coercive power into the new capital, establishing tax collection infrastructure (cadasters), military recruitment capacity, and law enforcement institutions (pp. 3595–3598); (2) Public goods next: the fiscal resources accumulated through coercion fund investments in public goods, which materialize in the medium to long run (pp. 3598–3600, 3601–3603); (3) Growth last: the availability of local public goods raises productivity and attracts private sector activity and population, generating a self-reinforcing cycle of urban growth (pp. 3603–3607). This temporal logic is formalized in a spatial equilibrium model presented in Section 3 of the paper (pp. 3586–3590).</w:t>
      </w:r>
    </w:p>
    <w:p w14:paraId="7F7E7C4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该论点可以概括为三阶段时序逻辑：（1）强制在先：国家将其强制力量投射到新省会，建立税收征集基础设施（地籍调查）、军事征募能力和执法制度（第3595–3598页）；（2）公共物品随后：通过强制积累的财政资源资助公共物品投资，这在中长期才得以实现（第3598–3600、3601–3603页）；（3）增长最后：地方公共物品的可得性提高了生产力，吸引了私人部门活动和人口，产生了城市增长的自我强化循环（第3603–3607页）。这一时序逻辑在论文第3节的空间均衡模型中被形式化（第3586–3590页）。</w:t>
      </w:r>
    </w:p>
    <w:p w14:paraId="04FA3763">
      <w:pPr>
        <w:rPr>
          <w:rFonts w:hint="default" w:ascii="Times New Roman Regular" w:hAnsi="Times New Roman Regular" w:cs="Times New Roman Regular" w:eastAsiaTheme="minorEastAsia"/>
        </w:rPr>
      </w:pPr>
    </w:p>
    <w:p w14:paraId="4FD2BE95">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 机制：提出了什么机制？</w:t>
      </w:r>
    </w:p>
    <w:p w14:paraId="64EFB58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propose a formal spatial equilibrium model that delivers the key mechanisms (pp. 3586–3590). The model is structured as follows.</w:t>
      </w:r>
    </w:p>
    <w:p w14:paraId="5FBD104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Setting: There are two cities, a capital c and a rival candidate city r, and two periods. Both cities are initially identical except that c receives an exogenous positive shock in coercive capacity. Private goods are produced according to a linear production function where productivity depends on the level of local public goods: A_{j,t} = A(G_{j,t})^{β₁}. Workers are paid their marginal product. Public goods are produced using tax revenues. The government allocates revenue across three uses: local public goods (share μ), global public goods (share ν), and coercive capacity investment (share 1−μ−ν). Tax revenue depends on coercive capacity: T_{j,t} = C_{j,t} × τ_{j,t} × N_{j,t} × w_{j,t}, so without coercive capacity no taxes can be collected. Coercive capacity is a stock that grows proportionally to the budget allocated to it: C_{j,t} = C_{j,t−1} × (B_{j,t−1})^σ. Citizens are mobile and choose cities based on utility from private goods, local public goods, and global public goods, plus an idiosyncratic taste shock (pp. 3586–3588).</w:t>
      </w:r>
    </w:p>
    <w:p w14:paraId="04B6CF57">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eastAsia" w:ascii="宋体" w:hAnsi="宋体" w:eastAsia="宋体" w:cs="宋体"/>
          <w:kern w:val="2"/>
          <w:sz w:val="21"/>
          <w:szCs w:val="21"/>
          <w:lang w:val="en-US" w:eastAsia="zh-CN" w:bidi="ar"/>
        </w:rPr>
        <w:t>设定：有两座城市</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省会</w:t>
      </w:r>
      <w:r>
        <w:rPr>
          <w:rFonts w:hint="default" w:ascii="Times New Roman Regular" w:hAnsi="Times New Roman Regular" w:eastAsia="Times New Roman Regular" w:cs="Times New Roman Regular"/>
          <w:kern w:val="2"/>
          <w:sz w:val="21"/>
          <w:szCs w:val="21"/>
          <w:lang w:val="en-US" w:eastAsia="zh-CN" w:bidi="ar"/>
        </w:rPr>
        <w:t>c</w:t>
      </w:r>
      <w:r>
        <w:rPr>
          <w:rFonts w:hint="eastAsia" w:ascii="宋体" w:hAnsi="宋体" w:eastAsia="宋体" w:cs="宋体"/>
          <w:kern w:val="2"/>
          <w:sz w:val="21"/>
          <w:szCs w:val="21"/>
          <w:lang w:val="en-US" w:eastAsia="zh-CN" w:bidi="ar"/>
        </w:rPr>
        <w:t>和竞争的候选城市</w:t>
      </w:r>
      <w:r>
        <w:rPr>
          <w:rFonts w:hint="default" w:ascii="Times New Roman Regular" w:hAnsi="Times New Roman Regular" w:eastAsia="Times New Roman Regular" w:cs="Times New Roman Regular"/>
          <w:kern w:val="2"/>
          <w:sz w:val="21"/>
          <w:szCs w:val="21"/>
          <w:lang w:val="en-US" w:eastAsia="zh-CN" w:bidi="ar"/>
        </w:rPr>
        <w:t>r——</w:t>
      </w:r>
      <w:r>
        <w:rPr>
          <w:rFonts w:hint="eastAsia" w:ascii="宋体" w:hAnsi="宋体" w:eastAsia="宋体" w:cs="宋体"/>
          <w:kern w:val="2"/>
          <w:sz w:val="21"/>
          <w:szCs w:val="21"/>
          <w:lang w:val="en-US" w:eastAsia="zh-CN" w:bidi="ar"/>
        </w:rPr>
        <w:t>以及两个时期。两座城市初始完全相同，除了</w:t>
      </w:r>
      <w:r>
        <w:rPr>
          <w:rFonts w:hint="default" w:ascii="Times New Roman Regular" w:hAnsi="Times New Roman Regular" w:eastAsia="Times New Roman Regular" w:cs="Times New Roman Regular"/>
          <w:kern w:val="2"/>
          <w:sz w:val="21"/>
          <w:szCs w:val="21"/>
          <w:lang w:val="en-US" w:eastAsia="zh-CN" w:bidi="ar"/>
        </w:rPr>
        <w:t>c</w:t>
      </w:r>
      <w:r>
        <w:rPr>
          <w:rFonts w:hint="eastAsia" w:ascii="宋体" w:hAnsi="宋体" w:eastAsia="宋体" w:cs="宋体"/>
          <w:kern w:val="2"/>
          <w:sz w:val="21"/>
          <w:szCs w:val="21"/>
          <w:lang w:val="en-US" w:eastAsia="zh-CN" w:bidi="ar"/>
        </w:rPr>
        <w:t>获得一个外生的正向强制能力冲击。私人物品的生产函数为线性形式，生产率取决于地方公共物品水平：</w:t>
      </w:r>
      <w:r>
        <w:rPr>
          <w:rFonts w:hint="default" w:ascii="Times New Roman Regular" w:hAnsi="Times New Roman Regular" w:eastAsia="Times New Roman Regular" w:cs="Times New Roman Regular"/>
          <w:kern w:val="2"/>
          <w:sz w:val="21"/>
          <w:szCs w:val="21"/>
          <w:lang w:val="en-US" w:eastAsia="zh-CN" w:bidi="ar"/>
        </w:rPr>
        <w:t>A_{j,t} = A(G_{j,t})^{β₁}</w:t>
      </w:r>
      <w:r>
        <w:rPr>
          <w:rFonts w:hint="eastAsia" w:ascii="宋体" w:hAnsi="宋体" w:eastAsia="宋体" w:cs="宋体"/>
          <w:kern w:val="2"/>
          <w:sz w:val="21"/>
          <w:szCs w:val="21"/>
          <w:lang w:val="en-US" w:eastAsia="zh-CN" w:bidi="ar"/>
        </w:rPr>
        <w:t>。工人获得其边际产出。公共物品由税收收入生产。政府将收入在三种用途之间分配：地方公共物品（份额</w:t>
      </w:r>
      <w:r>
        <w:rPr>
          <w:rFonts w:hint="default" w:ascii="Times New Roman Regular" w:hAnsi="Times New Roman Regular" w:eastAsia="Times New Roman Regular" w:cs="Times New Roman Regular"/>
          <w:kern w:val="2"/>
          <w:sz w:val="21"/>
          <w:szCs w:val="21"/>
          <w:lang w:val="en-US" w:eastAsia="zh-CN" w:bidi="ar"/>
        </w:rPr>
        <w:t>μ</w:t>
      </w:r>
      <w:r>
        <w:rPr>
          <w:rFonts w:hint="eastAsia" w:ascii="宋体" w:hAnsi="宋体" w:eastAsia="宋体" w:cs="宋体"/>
          <w:kern w:val="2"/>
          <w:sz w:val="21"/>
          <w:szCs w:val="21"/>
          <w:lang w:val="en-US" w:eastAsia="zh-CN" w:bidi="ar"/>
        </w:rPr>
        <w:t>）、全局公共物品（份额</w:t>
      </w:r>
      <w:r>
        <w:rPr>
          <w:rFonts w:hint="default" w:ascii="Times New Roman Regular" w:hAnsi="Times New Roman Regular" w:eastAsia="Times New Roman Regular" w:cs="Times New Roman Regular"/>
          <w:kern w:val="2"/>
          <w:sz w:val="21"/>
          <w:szCs w:val="21"/>
          <w:lang w:val="en-US" w:eastAsia="zh-CN" w:bidi="ar"/>
        </w:rPr>
        <w:t>ν</w:t>
      </w:r>
      <w:r>
        <w:rPr>
          <w:rFonts w:hint="eastAsia" w:ascii="宋体" w:hAnsi="宋体" w:eastAsia="宋体" w:cs="宋体"/>
          <w:kern w:val="2"/>
          <w:sz w:val="21"/>
          <w:szCs w:val="21"/>
          <w:lang w:val="en-US" w:eastAsia="zh-CN" w:bidi="ar"/>
        </w:rPr>
        <w:t>）和强制能力投资（份额</w:t>
      </w:r>
      <w:r>
        <w:rPr>
          <w:rFonts w:hint="default" w:ascii="Times New Roman Regular" w:hAnsi="Times New Roman Regular" w:eastAsia="Times New Roman Regular" w:cs="Times New Roman Regular"/>
          <w:kern w:val="2"/>
          <w:sz w:val="21"/>
          <w:szCs w:val="21"/>
          <w:lang w:val="en-US" w:eastAsia="zh-CN" w:bidi="ar"/>
        </w:rPr>
        <w:t>1−μ−ν</w:t>
      </w:r>
      <w:r>
        <w:rPr>
          <w:rFonts w:hint="eastAsia" w:ascii="宋体" w:hAnsi="宋体" w:eastAsia="宋体" w:cs="宋体"/>
          <w:kern w:val="2"/>
          <w:sz w:val="21"/>
          <w:szCs w:val="21"/>
          <w:lang w:val="en-US" w:eastAsia="zh-CN" w:bidi="ar"/>
        </w:rPr>
        <w:t>）。税收收入取决于强制能力：</w:t>
      </w:r>
      <w:r>
        <w:rPr>
          <w:rFonts w:hint="default" w:ascii="Times New Roman Regular" w:hAnsi="Times New Roman Regular" w:eastAsia="Times New Roman Regular" w:cs="Times New Roman Regular"/>
          <w:kern w:val="2"/>
          <w:sz w:val="21"/>
          <w:szCs w:val="21"/>
          <w:lang w:val="en-US" w:eastAsia="zh-CN" w:bidi="ar"/>
        </w:rPr>
        <w:t>T_{j,t} = C_{j,t} × τ_{j,t} × N_{j,t} × w_{j,t}</w:t>
      </w:r>
      <w:r>
        <w:rPr>
          <w:rFonts w:hint="eastAsia" w:ascii="宋体" w:hAnsi="宋体" w:eastAsia="宋体" w:cs="宋体"/>
          <w:kern w:val="2"/>
          <w:sz w:val="21"/>
          <w:szCs w:val="21"/>
          <w:lang w:val="en-US" w:eastAsia="zh-CN" w:bidi="ar"/>
        </w:rPr>
        <w:t>，因此没有强制能力就无法征税。强制能力是一个存量，与分配给它的预算成比例增长：</w:t>
      </w:r>
      <w:r>
        <w:rPr>
          <w:rFonts w:hint="default" w:ascii="Times New Roman Regular" w:hAnsi="Times New Roman Regular" w:eastAsia="Times New Roman Regular" w:cs="Times New Roman Regular"/>
          <w:kern w:val="2"/>
          <w:sz w:val="21"/>
          <w:szCs w:val="21"/>
          <w:lang w:val="en-US" w:eastAsia="zh-CN" w:bidi="ar"/>
        </w:rPr>
        <w:t>C_{j,t} = C_{j,t−1} × (B_{j,t−1})^σ</w:t>
      </w:r>
      <w:r>
        <w:rPr>
          <w:rFonts w:hint="eastAsia" w:ascii="宋体" w:hAnsi="宋体" w:eastAsia="宋体" w:cs="宋体"/>
          <w:kern w:val="2"/>
          <w:sz w:val="21"/>
          <w:szCs w:val="21"/>
          <w:lang w:val="en-US" w:eastAsia="zh-CN" w:bidi="ar"/>
        </w:rPr>
        <w:t>。公民可以流动，基于私人物品、地方公共物品和全局公共物品的效用加上个体偏好冲击来选择城市（第</w:t>
      </w:r>
      <w:r>
        <w:rPr>
          <w:rFonts w:hint="default" w:ascii="Times New Roman Regular" w:hAnsi="Times New Roman Regular" w:eastAsia="Times New Roman Regular" w:cs="Times New Roman Regular"/>
          <w:kern w:val="2"/>
          <w:sz w:val="21"/>
          <w:szCs w:val="21"/>
          <w:lang w:val="en-US" w:eastAsia="zh-CN" w:bidi="ar"/>
        </w:rPr>
        <w:t>3586–3588</w:t>
      </w:r>
      <w:r>
        <w:rPr>
          <w:rFonts w:hint="eastAsia" w:ascii="宋体" w:hAnsi="宋体" w:eastAsia="宋体" w:cs="宋体"/>
          <w:kern w:val="2"/>
          <w:sz w:val="21"/>
          <w:szCs w:val="21"/>
          <w:lang w:val="en-US" w:eastAsia="zh-CN" w:bidi="ar"/>
        </w:rPr>
        <w:t>页）。</w:t>
      </w:r>
    </w:p>
    <w:p w14:paraId="57CAB08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Predictions (Proposition 1): In Period 1, taxes are strictly higher in the capital; if the initial shock in coercive capacity is not too large, the capital has fewer local public goods, lower productivity, lower wages, and experiences population outflow. In Period 2, the gap in coercive capacity has grown even larger (because more resources were invested in coercion in the capital in Period 1); taxes remain higher in the capital, but more local public goods are now provided; productivity and wages are higher; and population migrates toward the capital (p. 3589). The key insight is that the budget share allocated to coercive capacity is the same in both cities, but the size of the budget differs because the capital can collect taxes more efficiently. This means the absolute investment in coercion is higher in the capital, which amplifies the initial advantage over time (p. 3589).</w:t>
      </w:r>
    </w:p>
    <w:p w14:paraId="7B06E4C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预测（命题1）：在第1期，省会的税率严格更高；如果初始强制能力冲击不太大，省会的地方公共物品更少、生产率更低、工资更低，并经历人口外流。在第2期，强制能力差距进一步扩大（因为第1期省会投入了更多资源于强制）；省会的税率仍然更高，但现在提供了更多的地方公共物品；生产率和工资更高；人口向省会迁移（第3589页）。关键洞见是：分配给强制能力的预算份额在两座城市中相同，但预算规模不同，因为省会能更有效地征税。这意味着省会在强制方面的绝对投资更高，从而随时间放大了初始优势（第3589页）。</w:t>
      </w:r>
    </w:p>
    <w:p w14:paraId="1BA3688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Specific empirical mechanisms: Beyond the formal model, the authors identify several concrete channels: (a) Cadaster as fiscal infrastructure: the early establishment of cadasters in capitals and their periphery facilitated systematic land taxation, which generated revenue for the central state; the authors specifically test and reject alternative channels whereby the cadaster boosted growth through property rights or reduced conflict (pp. 3596–3597). (b) Conscription as physical extraction: the Napoleonic state used the administrative proximity of the prefect to recruit more soldiers from capitals (p. 3597). (c) Law enforcement as a complementary coercive investment: prisons, tribunals, and police forces were concentrated in capitals, reinforcing the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capacity to enforce compliance (p. 3598). (d) Public goods as growth engines: secondary schools, hospitals, telegraph, and railways attracted productive workers and firms; the authors argue these emerged only after enough fiscal capacity had been built up (pp. 3598–3603). (e) Agglomeration effects: once public goods attracted workers and firms, concentration effects further amplified the capital</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advantage, as evidenced by the rising gap in patents, banks, and population (pp. 3603–3607). (f) Civil servants as a demand channel: about one-third of the population difference between capitals and candidates by 1886 is attributable to civil servants and their families; the remaining two-thirds reflects broader private-sector attraction (pp. 3604–3605).</w:t>
      </w:r>
    </w:p>
    <w:p w14:paraId="4944E43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具体经验机制：除了形式模型之外，作者还识别了几条具体渠道：（a）地籍调查作为财政基础设施：省会及其周边地区率先建立的地籍调查促进了系统性的土地税征收，为中央政府创造了收入；作者专门检验并排除了地籍调查通过产权保护或减少冲突促进增长的替代渠道（第3596–3597页）。（b）征兵作为物质榨取：拿破仑国家利用省长（préfet /pʁeˈfɛ/）的行政接近性从省会征募更多士兵（第3597页）。（c）执法作为互补的强制投资：监狱、法庭和警力集中在省会，强化了国家执行服从的能力（第3598页）。（d）公共物品作为增长引擎：中学、医院、电报和铁路吸引了有生产力的工人和企业；作者论证这些只在积累了足够的财政能力之后才出现（第3598–3603页）。（e）集聚效应：一旦公共物品吸引了工人和企业，集中效应进一步放大了省会的优势，专利、银行和人口差距的不断扩大证明了这一点（第3603–3607页）。（f）公务员作为需求渠道：到1886年，省会与候选城市之间大约三分之一的人口差异可归因于公务员及其家属；其余三分之二反映了更广泛的私人部门吸引力（第3604–3605页）。</w:t>
      </w:r>
    </w:p>
    <w:p w14:paraId="0C4D525D">
      <w:pPr>
        <w:rPr>
          <w:rFonts w:hint="default" w:ascii="Times New Roman Regular" w:hAnsi="Times New Roman Regular" w:cs="Times New Roman Regular" w:eastAsiaTheme="minorEastAsia"/>
        </w:rPr>
      </w:pPr>
    </w:p>
    <w:p w14:paraId="42CD191D">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 数据：使用了什么数据？</w:t>
      </w:r>
    </w:p>
    <w:p w14:paraId="24CCE11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assembles an impressively comprehensive set of original data at the municipal level across France /frɑːns/, spanning from the late 18th century to the early 21st century.</w:t>
      </w:r>
    </w:p>
    <w:p w14:paraId="380A771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Geographic coverage and unit of analysis: The primary unit of analysis is the municipality (commune). The authors construct a balanced panel of municipalities covering the period 1800–1914 using the Cassini map of France, digitized by EHESS (École des Hautes Études en Sciences Sociales /ekɔl de ot etyd ɑ̃ sjɑ̃s sɔsjal/). Their baseline sample includes 50 candidate cities across 17 </w:t>
      </w:r>
      <w:r>
        <w:rPr>
          <w:rFonts w:hint="default" w:ascii="Times New Roman Regular" w:hAnsi="Times New Roman Regular" w:cs="Times New Roman Regular"/>
          <w:lang w:val="en-US"/>
        </w:rPr>
        <w:t>“artificial”</w:t>
      </w:r>
      <w:r>
        <w:rPr>
          <w:rFonts w:hint="default" w:ascii="Times New Roman Regular" w:hAnsi="Times New Roman Regular" w:cs="Times New Roman Regular" w:eastAsiaTheme="minorEastAsia"/>
        </w:rPr>
        <w:t xml:space="preserve"> departments; their augmented sample extends to 69 cities across 25 departments. For peripheral analysis, they cover 10,892 municipalities within 20 km of candidate cities across these 25 departments (pp. 3590–3592).</w:t>
      </w:r>
    </w:p>
    <w:p w14:paraId="69094E5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data sources and how variables are measured: For pre-reform characteristics (balance checks), they use Nordman /ˈnɔːrdmən/ et al. (1995) for Ancien Régime /ɑ̃sjɛ̃ ʁeˈʒim/ administrative functions (bishoprics, bailiwicks, tax centers, subdelegations), pre-revolution road networks from Arnaud /aʁˈno/ (2021), navigable waterway data from Dupain-Triel /dyˈpɛ̃ tʁiˈɛl/ (1781), and urban potential from Bosker /ˈbɒskər/ et al. (2013). Population data comes from decennial censuses starting in 1793. For extractive capacity, they collected cadaster dates from departmental archives (series P and 3P), conscription data from the Matricules Napoléoniens /matʁikyl napɔleɔˈnjɛ̃/ collaborative project (950,000+ soldiers, 1802–1815), and business tax data from the first industrial census (1839–47) digitized from Chanut /ʃaˈny/ et al. (2000). For enforcement capacity, they use the Atlas Historique de la Gendarmerie for police locations in 1790 and 1816, and the Conseil des Bâtiments Civils (Conbavil) database for public building construction projects (prisons, tribunals, hospitals) from 1795 to 1840. For productive capacity, they collected secondary school data at the municipal level for 1812 and 1836 from national archives, welfare office data from Bucquet /byˈkɛ/ (1874), telegraph network data from de Vougy /də vuˈʒi/ (1863), and railway station locations from historical maps (1852, 1870). For economic outcomes, they use establishment-level microdata from the 1839 industrial census, banking data from Hoffman /ˈhɒfmən/ et al. (2019), and patent data from INPI. For contemporary outcomes, they use the DADS matched employer-employee dataset (2006–2015) covering public and private employment (pp. 3592–3594).</w:t>
      </w:r>
    </w:p>
    <w:p w14:paraId="70601D4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Time period: The data spans from the Ancien Régime (pre-1789) to 2015, with the most intensive coverage from 1800 to 1914.</w:t>
      </w:r>
    </w:p>
    <w:p w14:paraId="35674A1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本文在法国（France /frɑːns/）市镇层面汇集了一套极为全面的原始数据，时间跨度从18世纪末到21世纪初。</w:t>
      </w:r>
    </w:p>
    <w:p w14:paraId="0AB3A46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地理覆盖范围和分析单位：主要分析单位是市镇（commune /kɔˈmyn/）。作者使用由法国高等社会科学院（EHESS /ekɔl de ot etyd ɑ̃ sjɑ̃s sɔsjal/）数字化的法国卡西尼地图（Cassini /kɑːˈsiːni/）构建了覆盖1800–1914年的市镇平衡面板。基准样本包括17个</w:t>
      </w:r>
      <w:r>
        <w:rPr>
          <w:rFonts w:hint="default" w:ascii="Times New Roman Regular" w:hAnsi="Times New Roman Regular" w:cs="Times New Roman Regular"/>
          <w:lang w:val="en-US"/>
        </w:rPr>
        <w:t>“人为划定”</w:t>
      </w:r>
      <w:r>
        <w:rPr>
          <w:rFonts w:hint="default" w:ascii="Times New Roman Regular" w:hAnsi="Times New Roman Regular" w:cs="Times New Roman Regular" w:eastAsiaTheme="minorEastAsia"/>
        </w:rPr>
        <w:t>省份中的50个候选城市；扩展样本延伸至25个省份中的69个城市。对于周边分析，他们覆盖了这25个省份中候选城市20公里范围内的10,892个市镇（第3590–3592页）。</w:t>
      </w:r>
    </w:p>
    <w:p w14:paraId="6E68960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关键数据来源和变量测量方式：对于改革前特征（平衡性检验），他们使用诺德曼（Nordman /ˈnɔːrdmən/）等人（1995）的旧制度（Ancien Régime /ɑ̃sjɛ̃ ʁeˈʒim/）行政功能数据（主教区、法管区、税务中心、行政分区），阿尔诺（Arnaud /aʁˈno/，2021）的革命前公路网络数据，杜潘-特里埃尔（Dupain-Triel /dyˈpɛ̃ tʁiˈɛl/，1781）的通航水道数据，以及博斯克（Bosker /ˈbɒskər/）等人（2013）的城市潜力数据。人口数据来自1793年开始的十年一次人口普查。对于榨取能力，他们从省级档案（P系列和3P系列）收集了地籍调查日期，从拿破仑征兵簿（Matricules Napoléoniens /matʁikyl napɔleɔˈnjɛ̃/）协作项目获取了征兵数据（超过95万名士兵，1802–1815年），以及从沙尼（Chanut /ʃaˈny/）等人（2000）数字化的第一次工业普查（1839–47年）获取了营业税数据。对于执法能力，他们使用宪兵历史地图集（Atlas Historique de la Gendarmerie）获取1790年和1816年的警力位置，以及公共建筑委员会（Conseil des Bâtiments Civils /kɔ̃ˈsɛj de bɑtiˈmɑ̃ siˈvil/，即Conbavil）数据库获取1795年至1840年的公共建筑施工项目（监狱、法庭、医院）。对于生产能力，他们从国家档案收集了1812年和1836年市镇层面的中学数据，从比克（Bucquet /byˈkɛ/，1874）获取福利机构数据，从德·弗日（de Vougy /də vuˈʒi/，1863）获取电报网络数据，从历史地图（1852年、1870年）获取铁路车站位置。对于经济成果，他们使用1839年工业普查的企业层面微观数据、霍夫曼（Hoffman /ˈhɒfmən/）等人（2019）的银行数据和国家工业产权研究所（INPI）的专利数据。对于当代成果，他们使用DADS雇主-雇员匹配数据集（2006–2015年），涵盖公共和私人就业（第3592–3594页）。</w:t>
      </w:r>
    </w:p>
    <w:p w14:paraId="69150CB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时间跨度：数据从旧制度时期（1789年之前）延伸至2015年，1800年至1914年覆盖最为密集。</w:t>
      </w:r>
    </w:p>
    <w:p w14:paraId="494441E9">
      <w:pPr>
        <w:rPr>
          <w:rFonts w:hint="default" w:ascii="Times New Roman Regular" w:hAnsi="Times New Roman Regular" w:cs="Times New Roman Regular" w:eastAsiaTheme="minorEastAsia"/>
        </w:rPr>
      </w:pPr>
    </w:p>
    <w:p w14:paraId="1F0889C0">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 方法：使用了什么方法？</w:t>
      </w:r>
    </w:p>
    <w:p w14:paraId="0487835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identification strategy is based on a quasi-natural experiment arising from the 1790 administrative reform. The authors exploit the fact that in a subset of </w:t>
      </w:r>
      <w:r>
        <w:rPr>
          <w:rFonts w:hint="default" w:ascii="Times New Roman Regular" w:hAnsi="Times New Roman Regular" w:cs="Times New Roman Regular"/>
          <w:lang w:val="en-US"/>
        </w:rPr>
        <w:t>“artificial”</w:t>
      </w:r>
      <w:r>
        <w:rPr>
          <w:rFonts w:hint="default" w:ascii="Times New Roman Regular" w:hAnsi="Times New Roman Regular" w:cs="Times New Roman Regular" w:eastAsiaTheme="minorEastAsia"/>
        </w:rPr>
        <w:t xml:space="preserve"> departments (those not built around a single historical city or province), the Constituent Assembly could not agree on a single capital and instead set up a rotation system or local elections among multiple candidate cities. When the rotation system was abolished in 1791, the final capital was effectively determined by which city happened to host the administration at that time. The authors argue this constitutes quasi-random assignment of capital status (pp. 3583–3585, 3593–3594).</w:t>
      </w:r>
    </w:p>
    <w:p w14:paraId="67F080A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识别策略基于1790年行政改革产生的准自然实验。作者利用这样一个事实：在一部分</w:t>
      </w:r>
      <w:r>
        <w:rPr>
          <w:rFonts w:hint="default" w:ascii="Times New Roman Regular" w:hAnsi="Times New Roman Regular" w:cs="Times New Roman Regular"/>
          <w:lang w:val="en-US"/>
        </w:rPr>
        <w:t>“人为划定”</w:t>
      </w:r>
      <w:r>
        <w:rPr>
          <w:rFonts w:hint="default" w:ascii="Times New Roman Regular" w:hAnsi="Times New Roman Regular" w:cs="Times New Roman Regular" w:eastAsiaTheme="minorEastAsia"/>
        </w:rPr>
        <w:t>的省份（即不是围绕单一历史城市或省份建立的省份）中，制宪议会无法就唯一的省会达成一致，而是在多个候选城市之间设立了轮换制度或地方选举。当轮换制度于1791年被废除时，最终省会实际上由当时恰好驻有行政机构的城市决定。作者论证这构成了省会地位的准随机分配（第3583–3585、3593–3594页）。</w:t>
      </w:r>
    </w:p>
    <w:p w14:paraId="396224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core empirical framework uses three specifications. Equation (1) compares capitals with other candidate cities within the same department: y_{ij} = α₀ + α₁C_{ij} + δ_j + ε_{ij}, where C_{ij} is capital status, δ_j are department fixed effects, and the sample consists of candidate cities only. Equation (2) estimates effects on peripheral municipalities: y_{ij} = β₀ + β₁CloseToCap_{ij} + X_{ij}Ω + δ_j + ε_{ij}, where CloseToCap is a binary variable for whether the nearest candidate city was chosen as capital, and X includes geographic, demographic, and administrative controls. Equation (3) jointly estimates capital effects and periphery effects including all municipalities within 20 km of candidate cities (pp. 3593–3594).</w:t>
      </w:r>
    </w:p>
    <w:p w14:paraId="00A68EA2">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核心经验框架使用三个方程。方程（</w:t>
      </w:r>
      <w:r>
        <w:rPr>
          <w:rFonts w:hint="default" w:ascii="Times New Roman Regular" w:hAnsi="Times New Roman Regular" w:eastAsia="宋体" w:cs="Times New Roman Regular"/>
          <w:kern w:val="2"/>
          <w:sz w:val="21"/>
          <w:szCs w:val="21"/>
          <w:lang w:val="en-US" w:eastAsia="zh-CN" w:bidi="ar"/>
        </w:rPr>
        <w:t>1</w:t>
      </w:r>
      <w:r>
        <w:rPr>
          <w:rFonts w:hint="eastAsia" w:ascii="宋体" w:hAnsi="宋体" w:eastAsia="宋体" w:cs="宋体"/>
          <w:kern w:val="2"/>
          <w:sz w:val="21"/>
          <w:szCs w:val="21"/>
          <w:lang w:val="en-US" w:eastAsia="zh-CN" w:bidi="ar"/>
        </w:rPr>
        <w:t>）在同一省份内比较省会与其他候选城市：</w:t>
      </w:r>
      <w:r>
        <w:rPr>
          <w:rFonts w:hint="default" w:ascii="Times New Roman Regular" w:hAnsi="Times New Roman Regular" w:eastAsia="Times New Roman Regular" w:cs="Times New Roman Regular"/>
          <w:kern w:val="2"/>
          <w:sz w:val="21"/>
          <w:szCs w:val="21"/>
          <w:lang w:val="en-US" w:eastAsia="zh-CN" w:bidi="ar"/>
        </w:rPr>
        <w:t>y_{ij} = α₀ + α₁C_{ij} + δ_j + ε_{ij}</w:t>
      </w:r>
      <w:r>
        <w:rPr>
          <w:rFonts w:hint="eastAsia" w:ascii="宋体" w:hAnsi="宋体" w:eastAsia="宋体" w:cs="宋体"/>
          <w:kern w:val="2"/>
          <w:sz w:val="21"/>
          <w:szCs w:val="21"/>
          <w:lang w:val="en-US" w:eastAsia="zh-CN" w:bidi="ar"/>
        </w:rPr>
        <w:t>，其中</w:t>
      </w:r>
      <w:r>
        <w:rPr>
          <w:rFonts w:hint="default" w:ascii="Times New Roman Regular" w:hAnsi="Times New Roman Regular" w:eastAsia="Times New Roman Regular" w:cs="Times New Roman Regular"/>
          <w:kern w:val="2"/>
          <w:sz w:val="21"/>
          <w:szCs w:val="21"/>
          <w:lang w:val="en-US" w:eastAsia="zh-CN" w:bidi="ar"/>
        </w:rPr>
        <w:t>C_{ij}</w:t>
      </w:r>
      <w:r>
        <w:rPr>
          <w:rFonts w:hint="eastAsia" w:ascii="宋体" w:hAnsi="宋体" w:eastAsia="宋体" w:cs="宋体"/>
          <w:kern w:val="2"/>
          <w:sz w:val="21"/>
          <w:szCs w:val="21"/>
          <w:lang w:val="en-US" w:eastAsia="zh-CN" w:bidi="ar"/>
        </w:rPr>
        <w:t>为省会地位，</w:t>
      </w:r>
      <w:r>
        <w:rPr>
          <w:rFonts w:hint="default" w:ascii="Times New Roman Regular" w:hAnsi="Times New Roman Regular" w:eastAsia="Times New Roman Regular" w:cs="Times New Roman Regular"/>
          <w:kern w:val="2"/>
          <w:sz w:val="21"/>
          <w:szCs w:val="21"/>
          <w:lang w:val="en-US" w:eastAsia="zh-CN" w:bidi="ar"/>
        </w:rPr>
        <w:t>δ_j</w:t>
      </w:r>
      <w:r>
        <w:rPr>
          <w:rFonts w:hint="eastAsia" w:ascii="宋体" w:hAnsi="宋体" w:eastAsia="宋体" w:cs="宋体"/>
          <w:kern w:val="2"/>
          <w:sz w:val="21"/>
          <w:szCs w:val="21"/>
          <w:lang w:val="en-US" w:eastAsia="zh-CN" w:bidi="ar"/>
        </w:rPr>
        <w:t>为省份固定效应，样本仅包括候选城市。方程（</w:t>
      </w:r>
      <w:r>
        <w:rPr>
          <w:rFonts w:hint="default" w:ascii="Times New Roman Regular" w:hAnsi="Times New Roman Regular" w:eastAsia="Times New Roman Regular" w:cs="Times New Roman Regular"/>
          <w:kern w:val="2"/>
          <w:sz w:val="21"/>
          <w:szCs w:val="21"/>
          <w:lang w:val="en-US" w:eastAsia="zh-CN" w:bidi="ar"/>
        </w:rPr>
        <w:t>2</w:t>
      </w:r>
      <w:r>
        <w:rPr>
          <w:rFonts w:hint="eastAsia" w:ascii="宋体" w:hAnsi="宋体" w:eastAsia="宋体" w:cs="宋体"/>
          <w:kern w:val="2"/>
          <w:sz w:val="21"/>
          <w:szCs w:val="21"/>
          <w:lang w:val="en-US" w:eastAsia="zh-CN" w:bidi="ar"/>
        </w:rPr>
        <w:t>）估计对周边市镇的影响：</w:t>
      </w:r>
      <w:r>
        <w:rPr>
          <w:rFonts w:hint="default" w:ascii="Times New Roman Regular" w:hAnsi="Times New Roman Regular" w:eastAsia="Times New Roman Regular" w:cs="Times New Roman Regular"/>
          <w:kern w:val="2"/>
          <w:sz w:val="21"/>
          <w:szCs w:val="21"/>
          <w:lang w:val="en-US" w:eastAsia="zh-CN" w:bidi="ar"/>
        </w:rPr>
        <w:t>y_{ij} = β₀ + β₁CloseToCap_{ij} + X_{ij}Ω + δ_j + ε_{ij}</w:t>
      </w:r>
      <w:r>
        <w:rPr>
          <w:rFonts w:hint="eastAsia" w:ascii="宋体" w:hAnsi="宋体" w:eastAsia="宋体" w:cs="宋体"/>
          <w:kern w:val="2"/>
          <w:sz w:val="21"/>
          <w:szCs w:val="21"/>
          <w:lang w:val="en-US" w:eastAsia="zh-CN" w:bidi="ar"/>
        </w:rPr>
        <w:t>，其中</w:t>
      </w:r>
      <w:r>
        <w:rPr>
          <w:rFonts w:hint="default" w:ascii="Times New Roman Regular" w:hAnsi="Times New Roman Regular" w:eastAsia="Times New Roman Regular" w:cs="Times New Roman Regular"/>
          <w:kern w:val="2"/>
          <w:sz w:val="21"/>
          <w:szCs w:val="21"/>
          <w:lang w:val="en-US" w:eastAsia="zh-CN" w:bidi="ar"/>
        </w:rPr>
        <w:t>CloseToCap</w:t>
      </w:r>
      <w:r>
        <w:rPr>
          <w:rFonts w:hint="eastAsia" w:ascii="宋体" w:hAnsi="宋体" w:eastAsia="宋体" w:cs="宋体"/>
          <w:kern w:val="2"/>
          <w:sz w:val="21"/>
          <w:szCs w:val="21"/>
          <w:lang w:val="en-US" w:eastAsia="zh-CN" w:bidi="ar"/>
        </w:rPr>
        <w:t>是最近的候选城市是否被选为省会的二元变量，</w:t>
      </w:r>
      <w:r>
        <w:rPr>
          <w:rFonts w:hint="default" w:ascii="Times New Roman Regular" w:hAnsi="Times New Roman Regular" w:eastAsia="Times New Roman Regular" w:cs="Times New Roman Regular"/>
          <w:kern w:val="2"/>
          <w:sz w:val="21"/>
          <w:szCs w:val="21"/>
          <w:lang w:val="en-US" w:eastAsia="zh-CN" w:bidi="ar"/>
        </w:rPr>
        <w:t>X</w:t>
      </w:r>
      <w:r>
        <w:rPr>
          <w:rFonts w:hint="eastAsia" w:ascii="宋体" w:hAnsi="宋体" w:eastAsia="宋体" w:cs="宋体"/>
          <w:kern w:val="2"/>
          <w:sz w:val="21"/>
          <w:szCs w:val="21"/>
          <w:lang w:val="en-US" w:eastAsia="zh-CN" w:bidi="ar"/>
        </w:rPr>
        <w:t>包括地理、人口和行政控制变量。方程（</w:t>
      </w:r>
      <w:r>
        <w:rPr>
          <w:rFonts w:hint="default" w:ascii="Times New Roman Regular" w:hAnsi="Times New Roman Regular" w:eastAsia="Times New Roman Regular" w:cs="Times New Roman Regular"/>
          <w:kern w:val="2"/>
          <w:sz w:val="21"/>
          <w:szCs w:val="21"/>
          <w:lang w:val="en-US" w:eastAsia="zh-CN" w:bidi="ar"/>
        </w:rPr>
        <w:t>3</w:t>
      </w:r>
      <w:r>
        <w:rPr>
          <w:rFonts w:hint="eastAsia" w:ascii="宋体" w:hAnsi="宋体" w:eastAsia="宋体" w:cs="宋体"/>
          <w:kern w:val="2"/>
          <w:sz w:val="21"/>
          <w:szCs w:val="21"/>
          <w:lang w:val="en-US" w:eastAsia="zh-CN" w:bidi="ar"/>
        </w:rPr>
        <w:t>）联合估计省会效应和周边效应，包括候选城市</w:t>
      </w:r>
      <w:r>
        <w:rPr>
          <w:rFonts w:hint="default" w:ascii="Times New Roman Regular" w:hAnsi="Times New Roman Regular" w:eastAsia="Times New Roman Regular" w:cs="Times New Roman Regular"/>
          <w:kern w:val="2"/>
          <w:sz w:val="21"/>
          <w:szCs w:val="21"/>
          <w:lang w:val="en-US" w:eastAsia="zh-CN" w:bidi="ar"/>
        </w:rPr>
        <w:t>20</w:t>
      </w:r>
      <w:r>
        <w:rPr>
          <w:rFonts w:hint="eastAsia" w:ascii="宋体" w:hAnsi="宋体" w:eastAsia="宋体" w:cs="宋体"/>
          <w:kern w:val="2"/>
          <w:sz w:val="21"/>
          <w:szCs w:val="21"/>
          <w:lang w:val="en-US" w:eastAsia="zh-CN" w:bidi="ar"/>
        </w:rPr>
        <w:t>公里范围内的所有市镇（第</w:t>
      </w:r>
      <w:r>
        <w:rPr>
          <w:rFonts w:hint="default" w:ascii="Times New Roman Regular" w:hAnsi="Times New Roman Regular" w:eastAsia="Times New Roman Regular" w:cs="Times New Roman Regular"/>
          <w:kern w:val="2"/>
          <w:sz w:val="21"/>
          <w:szCs w:val="21"/>
          <w:lang w:val="en-US" w:eastAsia="zh-CN" w:bidi="ar"/>
        </w:rPr>
        <w:t>3593–3594</w:t>
      </w:r>
      <w:r>
        <w:rPr>
          <w:rFonts w:hint="eastAsia" w:ascii="宋体" w:hAnsi="宋体" w:eastAsia="宋体" w:cs="宋体"/>
          <w:kern w:val="2"/>
          <w:sz w:val="21"/>
          <w:szCs w:val="21"/>
          <w:lang w:val="en-US" w:eastAsia="zh-CN" w:bidi="ar"/>
        </w:rPr>
        <w:t>页）。</w:t>
      </w:r>
    </w:p>
    <w:p w14:paraId="19F7C9E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For inference, the authors employ two complementary approaches. First, a design-based approach: they aggregate treatment and control outcomes within each department and perform a paired t-test with K−1 degrees of freedom (K = 17 or 25 departments), conducting randomization inference based on this t-statistic. Second, they estimate OLS with 95% permutation-based randomization confidence intervals from Young /jʌŋ/ (2022), using 10,000 permutations of treatment assignment (p. 3594). They also report results with heteroskedasticity-robust standard errors and standard errors clustered by department, with wild bootstrap p-values following Cameron /ˈkæmərən/ et al. (2008) to account for the small number of clusters (pp. 3600–3601). As supplementary evidence, they use the synthetic control method of Abadie /ˌɑːbɑːˈdiːeɪ/ et al. (2010) and Abadie and L'Hour /luːr/ (2021) to construct synthetic control cities for each capital (pp. 3603–3604).</w:t>
      </w:r>
    </w:p>
    <w:p w14:paraId="112C072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在推断方面，作者采用两种互补方法。第一，基于设计的方法：他们在每个省份内聚合处理组和控制组的结果，进行自由度为K−1的配对t检验（K = 17或25个省份），并基于该t统计量进行随机化推断。第二，他们使用杨（Young /jʌŋ/，2022）的方法估计OLS并构建95%的基于置换的随机化置信区间，使用10,000次处理分配的置换（第3594页）。他们还报告了异方差稳健标准误和按省份聚类的标准误的结果，使用卡梅伦（Cameron /ˈkæmərən/）等人（2008）的野蛮自举p值来处理少量聚类（第3600–3601页）。作为补充证据，他们使用阿巴迪（Abadie /ˌɑːbɑːˈdiːeɪ/）等人（2010）和阿巴迪与勒尔（L'Hour /luːr/，2021）的合成控制方法为每个省会构建合成控制城市（第3603–3604页）。</w:t>
      </w:r>
    </w:p>
    <w:p w14:paraId="0FFEE00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Assumptions required for validity: (1) Conditional random assignment: within each artificial department, the final capital was chosen quasi-randomly among the candidate cities. The authors support this with extensive balance checks showing that capitals and other candidates were statistically indistinguishable along 20+ pre-reform characteristics—population, administrative functions, market access, urban potential, economic potential, and geographic features (pp. 3594–3596). Only 1 out of 20 baseline characteristics is significantly different at the 5% level. (2) SUTVA (Stable Unit Treatment Value Assumption): the outcome for one candidate city is not affected by the capital assignment in another department. This is plausible given the departments are geographically distinct. (3) No anticipation: the candidate cities did not differentially adjust their behavior before the capital assignment was finalized. (4) Excludability: capital status affects outcomes only through the administrative presence mechanism, not through other correlated channels. The authors acknowledge that centrality within the department is correlated with capital status (capitals are on average 16 km closer to the department centroid), but argue this is not a confounder because the department boundaries were arbitrary for artificial departments and proximity to the centroid had no economic significance before the reform. They confirm results are robust to controlling for distance to the centroid (pp. 3595–3596).</w:t>
      </w:r>
    </w:p>
    <w:p w14:paraId="6C26226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有效性所需的假设：（1）条件随机分配：在每个人为划定的省份内，最终省会是从候选城市中准随机选出的。作者通过广泛的平衡性检验支持这一点，表明省会和其他候选城市在20多个改革前特征——人口、行政功能、市场准入、城市潜力、经济潜力和地理特征——上不存在统计显著差异（第3594–3596页）。20个基线特征中只有1个在5%水平上显著不同。（2）SUTVA（稳定单位处理值假设）：一个候选城市的结果不受另一个省份省会分配的影响。鉴于各省份在地理上是分离的，这是合理的。（3）无预期效应：在省会分配最终确定之前，候选城市没有差异性地调整其行为。（4）排除性限制：省会地位仅通过行政存在机制影响结果，而非通过其他相关渠道。作者承认省份内的中心性与省会地位相关（省会平均比其他候选城市靠近省份质心16公里），但认为这不是混淆因素，因为对于人为划定的省份，省份边界是任意的，而靠近质心在改革前没有经济意义。他们确认结果在控制与质心的距离后仍然稳健（第3595–3596页）。</w:t>
      </w:r>
    </w:p>
    <w:p w14:paraId="7192FBE9">
      <w:pPr>
        <w:rPr>
          <w:rFonts w:hint="default" w:ascii="Times New Roman Regular" w:hAnsi="Times New Roman Regular" w:cs="Times New Roman Regular" w:eastAsiaTheme="minorEastAsia"/>
        </w:rPr>
      </w:pPr>
    </w:p>
    <w:p w14:paraId="1D9361A1">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What is the main contribution? / 贡献：主要学术贡献是什么？</w:t>
      </w:r>
    </w:p>
    <w:p w14:paraId="7B43CFC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makes several important contributions to the literature.</w:t>
      </w:r>
    </w:p>
    <w:p w14:paraId="64618BA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First, and most centrally, it provides the first empirical evidence documenting the full dynamic trajectory of state building—from early coercive investments to eventual productive capacity and economic growth—at a fine spatial resolution (municipal level) and over a period spanning more than two centuries. Previous work in the state capacity literature has tended to examine either the determinants of state capacity (e.g., Besley and Persson 2010, Tilly 1990) or its long-run consequences (e.g., Acemoglu /ˌæsɪˈmoʊɡluː/ et al. 2015, Dincecco /dɪnˈtʃɛkoʊ/ and Katz 2014), but not the intermediate dynamics linking early investments to long-run outcomes. Chambru, Henry, and Marx fill this gap by showing that investments in different dimensions of state capacity unfold sequentially and that coercive capacity is a prerequisite for productive capacity (pp. 3578–3580).</w:t>
      </w:r>
    </w:p>
    <w:p w14:paraId="333542FE">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第一，也是最核心的，它提供了首个记录国家建设完整动态轨迹的经验证据</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从早期强制投资到最终的生产能力和经济增长</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在精细的空间分辨率（市镇层面）上，跨越两个多世纪。此前国家能力文献中的研究倾向于考察国家能力的决定因素（如贝斯利和佩尔松</w:t>
      </w:r>
      <w:r>
        <w:rPr>
          <w:rFonts w:hint="default" w:ascii="Times New Roman Regular" w:hAnsi="Times New Roman Regular" w:eastAsia="Times New Roman Regular" w:cs="Times New Roman Regular"/>
          <w:kern w:val="2"/>
          <w:sz w:val="21"/>
          <w:szCs w:val="21"/>
          <w:lang w:val="en-US" w:eastAsia="zh-CN" w:bidi="ar"/>
        </w:rPr>
        <w:t>2010</w:t>
      </w:r>
      <w:r>
        <w:rPr>
          <w:rFonts w:hint="eastAsia" w:ascii="宋体" w:hAnsi="宋体" w:eastAsia="宋体" w:cs="宋体"/>
          <w:kern w:val="2"/>
          <w:sz w:val="21"/>
          <w:szCs w:val="21"/>
          <w:lang w:val="en-US" w:eastAsia="zh-CN" w:bidi="ar"/>
        </w:rPr>
        <w:t>，蒂利</w:t>
      </w:r>
      <w:r>
        <w:rPr>
          <w:rFonts w:hint="default" w:ascii="Times New Roman Regular" w:hAnsi="Times New Roman Regular" w:eastAsia="Times New Roman Regular" w:cs="Times New Roman Regular"/>
          <w:kern w:val="2"/>
          <w:sz w:val="21"/>
          <w:szCs w:val="21"/>
          <w:lang w:val="en-US" w:eastAsia="zh-CN" w:bidi="ar"/>
        </w:rPr>
        <w:t>1990</w:t>
      </w:r>
      <w:r>
        <w:rPr>
          <w:rFonts w:hint="eastAsia" w:ascii="宋体" w:hAnsi="宋体" w:eastAsia="宋体" w:cs="宋体"/>
          <w:kern w:val="2"/>
          <w:sz w:val="21"/>
          <w:szCs w:val="21"/>
          <w:lang w:val="en-US" w:eastAsia="zh-CN" w:bidi="ar"/>
        </w:rPr>
        <w:t>）或其长期后果（如阿西莫格鲁</w:t>
      </w:r>
      <w:r>
        <w:rPr>
          <w:rFonts w:hint="default" w:ascii="Times New Roman Regular" w:hAnsi="Times New Roman Regular" w:eastAsia="Times New Roman Regular" w:cs="Times New Roman Regular"/>
          <w:kern w:val="2"/>
          <w:sz w:val="21"/>
          <w:szCs w:val="21"/>
          <w:lang w:val="en-US" w:eastAsia="zh-CN" w:bidi="ar"/>
        </w:rPr>
        <w:t>Acemoglu /ˌæsɪˈmoʊɡluː/</w:t>
      </w:r>
      <w:r>
        <w:rPr>
          <w:rFonts w:hint="eastAsia" w:ascii="宋体" w:hAnsi="宋体" w:eastAsia="宋体" w:cs="宋体"/>
          <w:kern w:val="2"/>
          <w:sz w:val="21"/>
          <w:szCs w:val="21"/>
          <w:lang w:val="en-US" w:eastAsia="zh-CN" w:bidi="ar"/>
        </w:rPr>
        <w:t>等人</w:t>
      </w:r>
      <w:r>
        <w:rPr>
          <w:rFonts w:hint="default" w:ascii="Times New Roman Regular" w:hAnsi="Times New Roman Regular" w:eastAsia="Times New Roman Regular" w:cs="Times New Roman Regular"/>
          <w:kern w:val="2"/>
          <w:sz w:val="21"/>
          <w:szCs w:val="21"/>
          <w:lang w:val="en-US" w:eastAsia="zh-CN" w:bidi="ar"/>
        </w:rPr>
        <w:t>2015</w:t>
      </w:r>
      <w:r>
        <w:rPr>
          <w:rFonts w:hint="eastAsia" w:ascii="宋体" w:hAnsi="宋体" w:eastAsia="宋体" w:cs="宋体"/>
          <w:kern w:val="2"/>
          <w:sz w:val="21"/>
          <w:szCs w:val="21"/>
          <w:lang w:val="en-US" w:eastAsia="zh-CN" w:bidi="ar"/>
        </w:rPr>
        <w:t>，丁切科</w:t>
      </w:r>
      <w:r>
        <w:rPr>
          <w:rFonts w:hint="default" w:ascii="Times New Roman Regular" w:hAnsi="Times New Roman Regular" w:eastAsia="Times New Roman Regular" w:cs="Times New Roman Regular"/>
          <w:kern w:val="2"/>
          <w:sz w:val="21"/>
          <w:szCs w:val="21"/>
          <w:lang w:val="en-US" w:eastAsia="zh-CN" w:bidi="ar"/>
        </w:rPr>
        <w:t>Dincecco /dɪnˈtʃɛkoʊ/</w:t>
      </w:r>
      <w:r>
        <w:rPr>
          <w:rFonts w:hint="eastAsia" w:ascii="宋体" w:hAnsi="宋体" w:eastAsia="宋体" w:cs="宋体"/>
          <w:kern w:val="2"/>
          <w:sz w:val="21"/>
          <w:szCs w:val="21"/>
          <w:lang w:val="en-US" w:eastAsia="zh-CN" w:bidi="ar"/>
        </w:rPr>
        <w:t>和卡茨</w:t>
      </w:r>
      <w:r>
        <w:rPr>
          <w:rFonts w:hint="default" w:ascii="Times New Roman Regular" w:hAnsi="Times New Roman Regular" w:eastAsia="Times New Roman Regular" w:cs="Times New Roman Regular"/>
          <w:kern w:val="2"/>
          <w:sz w:val="21"/>
          <w:szCs w:val="21"/>
          <w:lang w:val="en-US" w:eastAsia="zh-CN" w:bidi="ar"/>
        </w:rPr>
        <w:t>2014</w:t>
      </w:r>
      <w:r>
        <w:rPr>
          <w:rFonts w:hint="eastAsia" w:ascii="宋体" w:hAnsi="宋体" w:eastAsia="宋体" w:cs="宋体"/>
          <w:kern w:val="2"/>
          <w:sz w:val="21"/>
          <w:szCs w:val="21"/>
          <w:lang w:val="en-US" w:eastAsia="zh-CN" w:bidi="ar"/>
        </w:rPr>
        <w:t>），而非连接早期投资与长期结果的中间动态。尚布吕、亨利和马克思填补了这一空白，展示了国家能力不同维度的投资是按顺序展开的，强制能力是生产能力的先决条件（第</w:t>
      </w:r>
      <w:r>
        <w:rPr>
          <w:rFonts w:hint="default" w:ascii="Times New Roman Regular" w:hAnsi="Times New Roman Regular" w:eastAsia="Times New Roman Regular" w:cs="Times New Roman Regular"/>
          <w:kern w:val="2"/>
          <w:sz w:val="21"/>
          <w:szCs w:val="21"/>
          <w:lang w:val="en-US" w:eastAsia="zh-CN" w:bidi="ar"/>
        </w:rPr>
        <w:t>3578–3580</w:t>
      </w:r>
      <w:r>
        <w:rPr>
          <w:rFonts w:hint="eastAsia" w:ascii="宋体" w:hAnsi="宋体" w:eastAsia="宋体" w:cs="宋体"/>
          <w:kern w:val="2"/>
          <w:sz w:val="21"/>
          <w:szCs w:val="21"/>
          <w:lang w:val="en-US" w:eastAsia="zh-CN" w:bidi="ar"/>
        </w:rPr>
        <w:t>页）。</w:t>
      </w:r>
    </w:p>
    <w:p w14:paraId="2F1FD98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the paper offers an original identification strategy exploiting the quasi-random assignment of capital status during one of the most radical administrative reforms in history. This provides credible causal evidence rather than the cross-country correlational evidence that characterizes much of the older state capacity literature (pp. 3579, 3583–3585).</w:t>
      </w:r>
    </w:p>
    <w:p w14:paraId="081368E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第二，本文提供了一种原创的识别策略，利用历史上最激进的行政改革之一期间省会地位的准随机分配。这提供了可信的因果证据，而非旧有国家能力文献中常见的跨国相关性证据（第3579、3583–3585页）。</w:t>
      </w:r>
    </w:p>
    <w:p w14:paraId="770E069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the paper assembles a remarkably rich set of original data at the municipal level, much of it hand-collected from French departmental archives, historical maps, and digitized census records. This data construction effort represents a major contribution in its own right, as it makes it possible to study the effects of the reform with a level of geographic and temporal precision that was previously unavailable (pp. 3592–3594).</w:t>
      </w:r>
    </w:p>
    <w:p w14:paraId="77E4DE4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本文在市镇层面汇集了极为丰富的原始数据，其中大部分是从法国省级档案、历史地图和数字化的人口普查记录中手工收集的。这一数据建设本身就是重大贡献，因为它使得以前所未有的地理和时间精度研究改革影响成为可能（第3592–3594页）。</w:t>
      </w:r>
    </w:p>
    <w:p w14:paraId="3B76A01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Fourth, the paper provides a formal model that generates predictions consistent with the empirical results and clarifies the role of coercive capacity as the key dynamic driver. The model shows how an initial shock in coercive capacity amplifies over time, first generating fiscal extraction (and short-run costs), and eventually enabling public goods provision and growth (pp. 3586–3590).</w:t>
      </w:r>
    </w:p>
    <w:p w14:paraId="1D21F8A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本文提供了一个形式模型，其预测与经验结果一致，并阐明了强制能力作为关键动态驱动力的角色。该模型展示了强制能力的初始冲击如何随时间放大，首先产生财政榨取（和短期成本），最终实现公共物品供给和增长（第3586–3590页）。</w:t>
      </w:r>
    </w:p>
    <w:p w14:paraId="51527A2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Fifth, the paper speaks to contemporary policy debates about state building in fragile states. The finding that the payoffs of state building are heavily back-loaded—that coercion precedes and enables public goods provision—has direct implications for understanding why state-building efforts often fail in the short run: the short-term costs of building coercive capacity may undermine political support before the long-run benefits materialize (pp. 3607–3608).</w:t>
      </w:r>
    </w:p>
    <w:p w14:paraId="1A7840A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五，本文与当代关于脆弱国家国家建设的政策辩论相关。国家建设的回报严重后置——强制先于并使公共物品供给成为可能——这一发现对理解国家建设努力为何常在短期内失败有直接启示：建设强制能力的短期成本可能在长期利益实现之前就破坏了政治支持（第3607–3608页）。</w:t>
      </w:r>
    </w:p>
    <w:p w14:paraId="47C33661">
      <w:pPr>
        <w:rPr>
          <w:rFonts w:hint="default" w:ascii="Times New Roman Regular" w:hAnsi="Times New Roman Regular" w:cs="Times New Roman Regular" w:eastAsiaTheme="minorEastAsia"/>
        </w:rPr>
      </w:pPr>
    </w:p>
    <w:p w14:paraId="36BF9587">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What are the limitations? / 建议：有什么局限性？</w:t>
      </w:r>
    </w:p>
    <w:p w14:paraId="302200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Professional scholars and researchers would likely identify the following limitations.</w:t>
      </w:r>
    </w:p>
    <w:p w14:paraId="6B2066C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First, the external validity of the findings is constrained by the highly specific historical setting. The French Revolution represents an extreme case of radical administrative reform imposed by a centralizing state on a relatively wealthy, literate, and well-connected European society. It is unclear whether the same dynamic sequence—coercion first, public goods later, growth last—would hold in contemporary developing countries with weaker bureaucratic traditions, lower literacy, less infrastructure, and different political economy constraints. The authors themselves note this limitation and suggest that fragile states face a dilemma precisely because the political conditions for sustaining the short-term costs of coercion may not hold (p. 3608). Scholars might recommend testing the framework in colonial or post-colonial settings where similar administrative reforms occurred under different background conditions.</w:t>
      </w:r>
    </w:p>
    <w:p w14:paraId="10D4D3D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一，研究发现的外部有效性受限于高度特定的历史环境。法国大革命代表了一个中央集权国家对相对富裕、识字率较高、联系紧密的欧洲社会施加激进行政改革的极端案例。尚不清楚同样的动态序列——先强制、后公共物品、最后增长——是否适用于当代发展中国家，那里的官僚传统更弱、识字率更低、基础设施更少、政治经济约束也不同。作者自己也指出了这一局限，并建议脆弱国家面临困境，恰恰因为维持强制短期成本的政治条件可能不成立（第3608页）。学者可能建议在殖民或后殖民背景下测试该框架，那里在不同的背景条件下发生了类似的行政改革。</w:t>
      </w:r>
    </w:p>
    <w:p w14:paraId="6F65882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the sample size is small—17 departments (50 candidate cities) in the baseline sample and 25 departments (69 cities) in the augmented sample. While the authors employ randomization inference appropriate for small samples, the statistical power is inevitably limited. Several results that are theoretically important (such as short-run population outflow from capitals, or the effect on conscription) fall short of conventional significance levels or are significant only in the augmented sample. Scholars might suggest that future work expand the sample by including more historical administrative reforms in other countries, or by exploiting sub-departmental variation within France.</w:t>
      </w:r>
    </w:p>
    <w:p w14:paraId="2BBE054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样本量较小——基准样本为17个省份（50个候选城市），扩展样本为25个省份（69个城市）。虽然作者采用了适合小样本的随机化推断，但统计功效不可避免地受到限制。一些理论上重要的结果（如省会短期人口外流或征兵效应）未达到常规显著性水平，或仅在扩展样本中显著。学者可能建议未来研究通过纳入其他国家更多的历史行政改革来扩大样本，或利用法国省份内部的亚级变异。</w:t>
      </w:r>
    </w:p>
    <w:p w14:paraId="38A518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Third, the paper cannot fully disentangle the specific channels through which administrative presence affects development. The formal model generates predictions consistent with the data, but the authors acknowledge that they </w:t>
      </w:r>
      <w:r>
        <w:rPr>
          <w:rFonts w:hint="default" w:ascii="Times New Roman Regular" w:hAnsi="Times New Roman Regular" w:cs="Times New Roman Regular"/>
          <w:lang w:val="en-US"/>
        </w:rPr>
        <w:t>“cannot exclude alternative channels for some empirical results”</w:t>
      </w:r>
      <w:r>
        <w:rPr>
          <w:rFonts w:hint="default" w:ascii="Times New Roman Regular" w:hAnsi="Times New Roman Regular" w:cs="Times New Roman Regular" w:eastAsiaTheme="minorEastAsia"/>
        </w:rPr>
        <w:t xml:space="preserve"> (p. 3590). For instance, the long-run growth of capitals could be driven not only by the public-goods-to-productivity mechanism highlighted in the model, but also by political economy channels (capitals attract lobbying and rent-seeking), network effects (capitals become nodes in communication and transportation networks), or cultural/identity effects (capitals develop civic pride and local identity that attracts residents). Researchers could suggest using mediation analysis or instrumental variable strategies targeting specific channels.</w:t>
      </w:r>
    </w:p>
    <w:p w14:paraId="4B50C3E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第三，本文无法完全区分行政存在影响发展的具体渠道。形式模型产生了与数据一致的预测，但作者承认他们</w:t>
      </w:r>
      <w:r>
        <w:rPr>
          <w:rFonts w:hint="default" w:ascii="Times New Roman Regular" w:hAnsi="Times New Roman Regular" w:cs="Times New Roman Regular"/>
          <w:lang w:val="en-US"/>
        </w:rPr>
        <w:t>“不能排除某些经验结果的替代渠道”</w:t>
      </w:r>
      <w:r>
        <w:rPr>
          <w:rFonts w:hint="default" w:ascii="Times New Roman Regular" w:hAnsi="Times New Roman Regular" w:cs="Times New Roman Regular" w:eastAsiaTheme="minorEastAsia"/>
        </w:rPr>
        <w:t>（第3590页）。例如，省会的长期增长可能不仅由模型强调的公共物品-生产力机制驱动，还可能由政治经济渠道（省会吸引游说和寻租）、网络效应（省会成为通信和交通网络的节点）或文化/认同效应（省会发展出吸引居民的公民自豪感和地方认同）驱动。研究人员可以建议使用中介分析或针对特定渠道的工具变量策略。</w:t>
      </w:r>
    </w:p>
    <w:p w14:paraId="124AFF8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Fourth, the analysis focuses on the winners of the reform (capitals and their periphery) but says relatively little about general equilibrium effects across the entire department or national economy. If capitals grew at the expense of other cities within the same department, then the reform might represent spatial redistribution rather than net growth. The authors address this partially by showing positive spillovers to peripheral municipalities, but they do not estimate effects on municipalities far from any candidate city. A scholar might suggest estimating the total department-level effect of having a more versus less fortunate capital allocation.</w:t>
      </w:r>
    </w:p>
    <w:p w14:paraId="25032F0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分析聚焦于改革的赢家（省会及其周边），但对整个省份或国民经济的一般均衡效应着墨较少。如果省会是以同省其他城市为代价增长的，那么改革可能代表空间再分配而非净增长。作者通过展示对周边市镇的正向溢出效应部分解决了这一问题，但他们没有估计远离任何候选城市的市镇所受的影响。学者可能建议估计省会分配好坏不同情况下的省级总效应。</w:t>
      </w:r>
    </w:p>
    <w:p w14:paraId="1A008D1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Fifth, the measurement of state capacity relies on physical infrastructure and institutional presence (buildings, officials, schools) rather than on outcomes that more directly capture state effectiveness (e.g., tax compliance rates, crime rates, educational attainment). The presence of a prison does not tell us how effectively justice is administered; the presence of a school does not tell us about educational quality. Future work could complement the analysis with outcome-based measures of state effectiveness.</w:t>
      </w:r>
    </w:p>
    <w:p w14:paraId="35C2E4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五，国家能力的测量依赖于物理基础设施和制度存在（建筑、官员、学校），而非更直接反映国家有效性的结果指标（如税收遵从率、犯罪率、教育成就）。监狱的存在不能告诉我们司法管理的有效程度；学校的存在不能告诉我们教育质量。未来工作可以用基于结果的国家有效性指标补充分析。</w:t>
      </w:r>
    </w:p>
    <w:p w14:paraId="27CF9EA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Sixth, regarding identification, while the balance checks are extensive and reassuring, the rotation mechanism that generates the quasi-random variation is not perfectly documented. The authors acknowledge that </w:t>
      </w:r>
      <w:r>
        <w:rPr>
          <w:rFonts w:hint="default" w:ascii="Times New Roman Regular" w:hAnsi="Times New Roman Regular" w:cs="Times New Roman Regular"/>
          <w:lang w:val="en-US"/>
        </w:rPr>
        <w:t>“precise information on the location of administrations in September 1791 is, to the best of our knowledge, unavailable”</w:t>
      </w:r>
      <w:r>
        <w:rPr>
          <w:rFonts w:hint="default" w:ascii="Times New Roman Regular" w:hAnsi="Times New Roman Regular" w:cs="Times New Roman Regular" w:eastAsiaTheme="minorEastAsia"/>
        </w:rPr>
        <w:t xml:space="preserve"> (p. 3585). This means we cannot be sure whether the final capital was truly random or whether, in some cases, it reflected the first city in the rotation (which may have been chosen for substantive reasons). Scholars might suggest additional historical research into the sequence of rotations to strengthen the identification.</w:t>
      </w:r>
    </w:p>
    <w:p w14:paraId="6CC1370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第六，关于识别，虽然平衡性检验广泛且令人放心，但产生准随机变异的轮换机制的文献记录并不完美。作者承认</w:t>
      </w:r>
      <w:r>
        <w:rPr>
          <w:rFonts w:hint="default" w:ascii="Times New Roman Regular" w:hAnsi="Times New Roman Regular" w:cs="Times New Roman Regular"/>
          <w:lang w:val="en-US"/>
        </w:rPr>
        <w:t>“据我们所知，1791年9月行政机构所在位置的精确信息不可得”</w:t>
      </w:r>
      <w:r>
        <w:rPr>
          <w:rFonts w:hint="default" w:ascii="Times New Roman Regular" w:hAnsi="Times New Roman Regular" w:cs="Times New Roman Regular" w:eastAsiaTheme="minorEastAsia"/>
        </w:rPr>
        <w:t>（第3585页）。这意味着我们无法确定最终省会是否真正随机，或者在某些情况下是否反映了轮换中的第一个城市（这可能是基于实质性原因选择的）。学者可能建议对轮换顺序进行额外的历史研究以加强识别。</w:t>
      </w:r>
    </w:p>
    <w:p w14:paraId="6A4B5ADD">
      <w:pPr>
        <w:rPr>
          <w:rFonts w:hint="default" w:ascii="Times New Roman Regular" w:hAnsi="Times New Roman Regular" w:cs="Times New Roman Regular" w:eastAsiaTheme="minorEastAsia"/>
        </w:rPr>
      </w:pPr>
    </w:p>
    <w:p w14:paraId="648D7CB0">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Extensions: What extensions might scholars propose? / 拓展：学者可能提出什么拓展研究？</w:t>
      </w:r>
    </w:p>
    <w:p w14:paraId="7EB5EDD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Several natural extensions and new research questions emerge from this paper.</w:t>
      </w:r>
    </w:p>
    <w:p w14:paraId="6C096FF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First, scholars could apply the same analytical framework to other major administrative reforms in history. The Napoleonic reforms were exported to much of Continental Europe (e.g., the Rhineland /ˈraɪnlænd/, the Low Countries, northern Italy /ˈɪtəli/, and parts of Spain /speɪn/), and Acemoglu et al. (2011) have already studied some long-run effects of these reforms. A natural extension would be to test whether the same coercion-to-public-goods-to-growth sequence holds when French-style administrative structures were imposed on foreign territories with different pre-existing institutional configurations. Similarly, colonial administrative reforms in Africa /ˈæfrɪkə/ and Asia /ˈeɪʒə/ offer analogous settings where administrative capitals were assigned to specific locations, sometimes arbitrarily.</w:t>
      </w:r>
    </w:p>
    <w:p w14:paraId="75EBB20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第一，学者可以将同样的分析框架应用于历史上其他重大行政改革。拿破仑改革被输出到欧洲大陆的大部分地区（如莱茵兰Rhineland /ˈraɪnlænd/、低地国家、意大利北部Italy /ˈɪtəli/和西班牙部分地区Spain /speɪn/），阿西莫格鲁等人（2011）已经研究了这些改革的一些长期效应。一个自然的拓展是检验当法国式行政结构被强加于具有不同预先存在制度配置的外国领土时，同样的强制-公共物品-增长序列是否成立。类似地，非洲（Africa /ˈæfrɪkə/）和亚洲（Asia /ˈeɪʒə/）的殖民行政改革提供了类似的环境，在那里行政首府被分配到特定位置，有时是任意的。</w:t>
      </w:r>
    </w:p>
    <w:p w14:paraId="311C922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the paper opens up questions about the political economy of the transition. The model assumes a benevolent government, but in practice, the short-run costs of state building (higher taxes, conscription) generate political opposition. A fruitful extension would be to model and empirically test how political resistance—riots, emigration, voting behavior—mediates the dynamic relationship between coercive investment and long-run development.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finding that there was no significant difference in riots between capitals and candidates (Appendix Table A.8) is suggestive but deserves deeper exploration: perhaps resistance manifested in other forms such as tax evasion, draft dodging, or electoral opposition.</w:t>
      </w:r>
    </w:p>
    <w:p w14:paraId="6CD6581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本文引出了关于过渡的政治经济学的问题。模型假设了一个仁慈的政府，但在实践中，国家建设的短期成本（更高的税收、征兵）会产生政治反对。一个富有成果的拓展是建模并经验性地检验政治抵抗——骚乱、移民、投票行为——如何中介强制投资与长期发展之间的动态关系。作者关于省会与候选城市之间骚乱没有显著差异的发现（附录表A.8）具有启发性但值得更深入探索：也许抵抗以其他形式表现，如逃税、逃避征兵或选举反对。</w:t>
      </w:r>
    </w:p>
    <w:p w14:paraId="328B657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the paper documents spatial inequality—capitals grow at the expense of candidates—but does not fully explore the welfare implications of this divergence. A welfare analysis would need to account for the mobility of citizens, the spatial distribution of public goods benefits, and the potential crowding costs in growing capitals. A new research question would be: does the administrative reform increase or decrease total welfare across the department, and how does this depend on the initial distribution of population and economic activity?</w:t>
      </w:r>
    </w:p>
    <w:p w14:paraId="7715585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本文记录了空间不平等——省会以候选城市为代价增长——但没有充分探索这种分化的福利含义。福利分析需要考虑公民的流动性、公共物品收益的空间分布以及增长中的省会的潜在拥挤成本。一个新的研究问题是：行政改革是增加还是减少了整个省份的总福利，这如何取决于人口和经济活动的初始分布？</w:t>
      </w:r>
    </w:p>
    <w:p w14:paraId="6967471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Fourth, the finding that coercive capacity begets more coercive capacity—that the gap amplifies over time—raises questions about path dependence and lock-in. Once a city becomes a capital, it is virtually impossible to reverse this decision. Scholars could explore whether the resulting spatial concentration of state capacity creates inefficiencies in the long run—for instance, by drawing resources away from areas where marginal returns to public investment might be higher. This connects to Campante /kæmˈpænteɪ/ and Do /doʊ/ (2014) on isolated capital cities and government accountability.</w:t>
      </w:r>
    </w:p>
    <w:p w14:paraId="5122869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强制能力催生更多强制能力——差距随时间放大——这一发现引出了关于路径依赖和锁定的问题。一旦一座城市成为省会，逆转这一决定几乎不可能。学者可以探索由此产生的国家能力空间集中是否在长期造成了低效率——例如，通过从公共投资边际回报可能更高的地区抽取资源。这与坎潘特（Campante /kæmˈpænteɪ/）和杜（Do /doʊ/，2014）关于孤立首都和政府问责的研究相关。</w:t>
      </w:r>
    </w:p>
    <w:p w14:paraId="1C81441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Fifth, the paper measures state capacity primarily through inputs (fiscal infrastructure, buildings, officials). A natural extension would be to complement this with output-based measures of state effectiveness—for example, tax compliance rates, crime resolution rates, or educational outcomes. This would help distinguish between the presence of state institutions and their actual effectiveness.</w:t>
      </w:r>
    </w:p>
    <w:p w14:paraId="1CE521B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五，本文主要通过投入（财政基础设施、建筑、官员）来衡量国家能力。一个自然的拓展是用基于产出的国家有效性指标来补充——例如，税收遵从率、犯罪破案率或教育成果。这将有助于区分国家制度的存在与其实际有效性。</w:t>
      </w:r>
    </w:p>
    <w:p w14:paraId="5796261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Sixth, scholars could explore heterogeneous effects across different types of departments. For instance, do the dynamics differ between departments that were more versus less economically developed before the reform? Between departments closer to versus farther from Paris /pæˈriː/? Between departments that experienced more versus less political turmoil during the Revolution? These heterogeneity analyses could shed light on the conditions under which the coercion-to-growth pathway is most effective. This would connect to broader debates in the state formation literature about whether the </w:t>
      </w:r>
      <w:r>
        <w:rPr>
          <w:rFonts w:hint="default" w:ascii="Times New Roman Regular" w:hAnsi="Times New Roman Regular" w:cs="Times New Roman Regular"/>
          <w:lang w:val="en-US"/>
        </w:rPr>
        <w:t>“bellicist”</w:t>
      </w:r>
      <w:r>
        <w:rPr>
          <w:rFonts w:hint="default" w:ascii="Times New Roman Regular" w:hAnsi="Times New Roman Regular" w:cs="Times New Roman Regular" w:eastAsiaTheme="minorEastAsia"/>
        </w:rPr>
        <w:t xml:space="preserve"> pathway (Tilly /ˈtɪli/ 1990) or the </w:t>
      </w:r>
      <w:r>
        <w:rPr>
          <w:rFonts w:hint="default" w:ascii="Times New Roman Regular" w:hAnsi="Times New Roman Regular" w:cs="Times New Roman Regular"/>
          <w:lang w:val="en-US"/>
        </w:rPr>
        <w:t>“cooperative”</w:t>
      </w:r>
      <w:r>
        <w:rPr>
          <w:rFonts w:hint="default" w:ascii="Times New Roman Regular" w:hAnsi="Times New Roman Regular" w:cs="Times New Roman Regular" w:eastAsiaTheme="minorEastAsia"/>
        </w:rPr>
        <w:t xml:space="preserve"> pathway requires different background conditions.</w:t>
      </w:r>
    </w:p>
    <w:p w14:paraId="1E9531F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第六，学者可以探索不同类型省份之间的异质性效应。例如，改革前经济发展程度更高与更低的省份之间，动态是否不同？距巴黎（Paris /pæˈriː/）更近与更远的省份之间呢？大革命期间经历更多与更少政治动荡的省份之间呢？这些异质性分析可以揭示强制-增长路径在何种条件下最有效。这将与国家形成文献中关于</w:t>
      </w:r>
      <w:r>
        <w:rPr>
          <w:rFonts w:hint="default" w:ascii="Times New Roman Regular" w:hAnsi="Times New Roman Regular" w:cs="Times New Roman Regular"/>
          <w:lang w:val="en-US"/>
        </w:rPr>
        <w:t>“好战主义”</w:t>
      </w:r>
      <w:r>
        <w:rPr>
          <w:rFonts w:hint="default" w:ascii="Times New Roman Regular" w:hAnsi="Times New Roman Regular" w:cs="Times New Roman Regular" w:eastAsiaTheme="minorEastAsia"/>
        </w:rPr>
        <w:t>路径（蒂利Tilly /ˈtɪli/ 1990）或</w:t>
      </w:r>
      <w:r>
        <w:rPr>
          <w:rFonts w:hint="default" w:ascii="Times New Roman Regular" w:hAnsi="Times New Roman Regular" w:cs="Times New Roman Regular"/>
          <w:lang w:val="en-US"/>
        </w:rPr>
        <w:t>“合作”</w:t>
      </w:r>
      <w:r>
        <w:rPr>
          <w:rFonts w:hint="default" w:ascii="Times New Roman Regular" w:hAnsi="Times New Roman Regular" w:cs="Times New Roman Regular" w:eastAsiaTheme="minorEastAsia"/>
        </w:rPr>
        <w:t>路径是否需要不同背景条件的更广泛辩论相关。</w:t>
      </w:r>
    </w:p>
    <w:p w14:paraId="1A8827D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Seventh, given that we now have the theoretical framework and the historical evidence, a natural applied extension would be to examine contemporary state-building interventions in low-income countries through the same lens. Do investments in coercive capacity (e.g., police training, judicial infrastructure, tax administration) in newly created administrative units precede and enable productive investments? Or does the sequence differ in settings with weak central authority, as suggested by recent work on the Democratic Republic of Congo /ˈkɒŋɡoʊ/ (Sánchez de la Sierra /ˈsæntʃɛz de la siˈɛrə/ 2020, Weigel /ˈwaɪɡəl/ 2020)?</w:t>
      </w:r>
    </w:p>
    <w:p w14:paraId="75E047E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七，鉴于我们现在有了理论框架和历史证据，一个自然的应用拓展是通过同样的视角考察低收入国家的当代国家建设干预。在新设行政单位中的强制能力投资（如警察培训、司法基础设施、税收管理）是否先于并使生产性投资成为可能？或者，在中央权威薄弱的环境中序列是否不同，如最近关于刚果民主共和国（Democratic Republic of Congo /ˈkɒŋɡoʊ/）的研究（桑切斯·德·拉·塞拉Sánchez de la Sierra /ˈsæntʃɛz de la siˈɛrə/ 2020，韦格尔Weigel /ˈwaɪɡəl/ 2020）所建议的？</w:t>
      </w:r>
    </w:p>
    <w:p w14:paraId="300C974B">
      <w:pPr>
        <w:rPr>
          <w:rFonts w:hint="default" w:ascii="Times New Roman Regular" w:hAnsi="Times New Roman Regular" w:cs="Times New Roman Regular" w:eastAsiaTheme="minorEastAsia"/>
        </w:rPr>
      </w:pPr>
    </w:p>
    <w:p w14:paraId="3797419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Summary of the Formal Model / 形式模型梳理</w:t>
      </w:r>
    </w:p>
    <w:p w14:paraId="312C442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present a two-city, two-period spatial equilibrium model in Section 3 (pp. 3586–3590) to formalize the dynamic logic of state building. The model is not merely illustrative; it generates a precise proposition (Proposition 1) whose predictions are tested against the data.</w:t>
      </w:r>
    </w:p>
    <w:p w14:paraId="14AA282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Players and setup: There are two cities, c (capital) and r (rival candidate). There are two periods, t ∈ {1, 2}. At the start of Period 1, both cities are identical except that c receives an exogenous positive shock Δ in coercive capacity: C_{c,1} = C_{r,1} + Δ. There is a central government and a mass of mobile citizens N (total population is fixed).</w:t>
      </w:r>
    </w:p>
    <w:p w14:paraId="425AA11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Production: Private goods are produced linearly: Q_{j,t} = A_{j,t} × N_{j,t}, where productivity A_{j,t} = A × (G_{j,t})^{β₁} depends on local public goods G_{j,t}. The private sector is competitive, so wages equal marginal product: w_{j,t} = A_{j,t}.</w:t>
      </w:r>
    </w:p>
    <w:p w14:paraId="331B2FF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Fiscal technology: Collecting taxes requires coercive capacity. Tax revenue in city j at time t is T_{j,t} = C_{j,t} × τ_{j,t} × N_{j,t} × w_{j,t}, where τ is the tax rate. Without coercive capacity (C = 0), no taxes can be collected. The government allocates revenue three ways: share μ_{j,t} to local public goods (G_{j,t} = μ_{j,t} × T_{j,t}), share ν_{j,t} to global public goods (G̅_t produced by combining resources from both cities with a Cobb-Douglas technology, with the capital</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contribution being more efficient: α_c &gt; α_r), and share (1 − μ_{j,t} − ν_{j,t}) to investment in coercive capacity.</w:t>
      </w:r>
    </w:p>
    <w:p w14:paraId="1B443A0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Coercive capacity dynamics: Coercive capacity is a stock that grows with investment: C_{j,t} = C_{j,t-1} × (B_{j,t-1})^σ, where B_{j,t} = (1 − μ_{j,t} − ν_{j,t}) × T_{j,t} is the budget allocated to coercion. The parameter σ governs the returns to coercive investment.</w:t>
      </w:r>
    </w:p>
    <w:p w14:paraId="21D6DC3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Citizen preferences: Citizen i in city j maximizes utility: U_{j}^{t}(i) = (Q_{j}^{t})^{γ₁} × (G_{j}^{t})^{β₂} × (G̅^{t})^{β₃} × exp(ε_{j}^{t}(i)), where ε is an idiosyncratic taste shock (Type I Extreme Value distribution). Citizens are fully mobile each period but make location decisions based on current (not future) conditions.</w:t>
      </w:r>
    </w:p>
    <w:p w14:paraId="6C64644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Government objective: The government maximizes a discounted weighted sum of citizen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log indirect utilities: ξ × V_{c,1} + (1−ξ) × V_{r,1} + δ × [ξ × V_{c,2} + (1−ξ) × V_{r,2}], where ξ is the weight on the capital</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welfare and δ is the discount factor.</w:t>
      </w:r>
    </w:p>
    <w:p w14:paraId="364CEF3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result (Proposition 1): In equilibrium: (1a) In Period 1, taxes are strictly higher in c. (1b) If Δ &lt; Δ̄ (the shock is not too large), c has fewer local public goods, lower productivity, lower wages, and population flows out of c. (1c) In Period 2, the gap in coercive capacity has grown (because both cities allocate the same budget share to coercion, but c has a larger total budget, so absolute coercive investment is higher). (1d) In Period 2, more local public goods are provided in c (under a condition on β₃ not being too large), productivity and wages are higher, and population migrates to c. The economic intuition is: in the short run, the government exploits c</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coercive advantage to extract more resources and build up the coercive stock further, at the cost of lower local amenities. In the long run, the accumulated coercive advantage generates enough revenue to fund local public goods that attract workers and firms.</w:t>
      </w:r>
    </w:p>
    <w:p w14:paraId="118A0A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作者在第3节（第3586–3590页）呈现了一个两城市、两时期的空间均衡模型，以形式化国家建设的动态逻辑。该模型不仅是说明性的；它产生了一个精确的命题（命题1），其预测可以对照数据进行检验。</w:t>
      </w:r>
    </w:p>
    <w:p w14:paraId="7466CD0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参与者和设定：有两座城市，c（省会）和r（竞争候选城市）。有两个时期，t ∈ {1, 2}。在第1期开始时，两座城市完全相同，除了c获得外生正向强制能力冲击Δ：C_{c,1} = C_{r,1} + Δ。有一个中央政府和一群流动公民N（总人口固定）。</w:t>
      </w:r>
    </w:p>
    <w:p w14:paraId="5BE6B60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生产：私人物品线性生产：Q_{j,t} = A_{j,t} × N_{j,t}，其中生产率A_{j,t} = A × (G_{j,t})^{β₁}取决于地方公共物品G_{j,t}。私人部门是竞争性的，因此工资等于边际产出：w_{j,t} = A_{j,t}。</w:t>
      </w:r>
    </w:p>
    <w:p w14:paraId="5526507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财政技术：征税需要强制能力。城市j在时间t的税收收入为T_{j,t} = C_{j,t} × τ_{j,t} × N_{j,t} × w_{j,t}，其中τ是税率。没有强制能力（C = 0），就无法征税。政府以三种方式分配收入：份额μ_{j,t}用于地方公共物品（G_{j,t} = μ_{j,t} × T_{j,t}），份额ν_{j,t}用于全局公共物品（G̅_t由两座城市的资源通过柯布-道格拉斯技术组合生产，省会的贡献更有效率：α_c &gt; α_r），份额（1 − μ_{j,t} − ν_{j,t}）用于强制能力投资。</w:t>
      </w:r>
    </w:p>
    <w:p w14:paraId="3605B24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强制能力动态：强制能力是随投资增长的存量：C_{j,t} = C_{j,t-1} × (B_{j,t-1})^σ，其中B_{j,t} = (1 − μ_{j,t} − ν_{j,t}) × T_{j,t}是分配给强制的预算。参数σ控制强制投资的回报。</w:t>
      </w:r>
    </w:p>
    <w:p w14:paraId="231C6B7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公民偏好：城市j中的公民i最大化效用：U_{j}^{t}(i) = (Q_{j}^{t})^{γ₁} × (G_{j}^{t})^{β₂} × (G̅^{t})^{β₃} × exp(ε_{j}^{t}(i))，其中ε是个体偏好冲击（第一类极值分布）。公民每期完全流动，但基于当前（而非未来）条件做出选址决定。</w:t>
      </w:r>
    </w:p>
    <w:p w14:paraId="000DD18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政府目标：政府最大化公民对数间接效用的加权贴现和：ξ × V_{c,1} + (1−ξ) × V_{r,1} + δ × [ξ × V_{c,2} + (1−ξ) × V_{r,2}]，其中ξ是对省会福利的权重，δ是贴现因子。</w:t>
      </w:r>
    </w:p>
    <w:p w14:paraId="02149D1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关键结果（命题1）：在均衡中：（1a）在第1期，省会的税率严格更高。（1b）如果Δ &lt; Δ̄（冲击不太大），c的地方公共物品更少、生产率更低、工资更低，人口流出c。（1c）在第2期，强制能力差距扩大了（因为两座城市分配给强制的预算份额相同，但c的总预算更大，所以强制的绝对投资更高）。（1d）在第2期，c提供了更多地方公共物品（在β₃不太大的条件下），生产率和工资更高，人口向c迁移。经济直觉是：在短期内，政府利用c的强制优势榨取更多资源并进一步积累强制存量，代价是较低的地方便利。在长期，积累的强制优势产生足够的收入来资助吸引工人和企业的地方公共物品。</w:t>
      </w:r>
    </w:p>
    <w:p w14:paraId="259BA552">
      <w:pPr>
        <w:rPr>
          <w:rFonts w:hint="default" w:ascii="Times New Roman Regular" w:hAnsi="Times New Roman Regular" w:cs="Times New Roman Regular" w:eastAsiaTheme="minorEastAsia"/>
        </w:rPr>
      </w:pPr>
    </w:p>
    <w:p w14:paraId="25C85BEA">
      <w:p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br w:type="page"/>
      </w:r>
    </w:p>
    <w:p w14:paraId="1F15644A">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Lecture Notes: The Rise of Fiscal Capacity — Cantoni, Mohr, and Weigand (2024)</w:t>
      </w:r>
    </w:p>
    <w:p w14:paraId="45EC449A">
      <w:pPr>
        <w:rPr>
          <w:rFonts w:hint="default" w:ascii="Times New Roman Regular" w:hAnsi="Times New Roman Regular" w:cs="Times New Roman Regular" w:eastAsiaTheme="minorEastAsia"/>
        </w:rPr>
      </w:pPr>
    </w:p>
    <w:p w14:paraId="4DE3A8C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0AD26045">
      <w:pP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lang w:eastAsia="zh-CN"/>
        </w:rPr>
        <w:t>“The Rise of Fiscal Capacity: Administration and State Consolidation in the Holy Roman Empire”</w:t>
      </w:r>
    </w:p>
    <w:p w14:paraId="666798F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中文：《财政能力的兴起：神圣罗马帝国的行政管理与国家整合》</w:t>
      </w:r>
    </w:p>
    <w:p w14:paraId="23D7C459">
      <w:pPr>
        <w:rPr>
          <w:rFonts w:hint="default" w:ascii="Times New Roman Regular" w:hAnsi="Times New Roman Regular" w:cs="Times New Roman Regular" w:eastAsiaTheme="minorEastAsia"/>
        </w:rPr>
      </w:pPr>
    </w:p>
    <w:p w14:paraId="1FE1A80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5330346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Davide Cantoni /dɑːˈviːdeɪ kɑːnˈtoʊni/ (Ludwig-Maximilians-Universität München /ˈmʏnçən/), Cathrin Mohr /ˈkæθrɪn moːɐ/ (Universität Bonn /bɒn/), and Matthias Weigand /mɑˈtiːɑs ˈvaɪɡɑnt/ (Harvard University).</w:t>
      </w:r>
    </w:p>
    <w:p w14:paraId="13773B5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达维德·坎托尼 /dɑːˈviːdeɪ kɑːnˈtoʊni/（路德维希-马克西米利安慕尼黑大学 /ˈmʏnçən/）、卡特琳·莫尔 /ˈkæθrɪn moːɐ/（波恩大学 /bɒn/）和马蒂亚斯·魏甘德 /mɑˈtiːɑs ˈvaɪɡɑnt/（哈佛大学）。</w:t>
      </w:r>
    </w:p>
    <w:p w14:paraId="7E666E60">
      <w:pPr>
        <w:rPr>
          <w:rFonts w:hint="default" w:ascii="Times New Roman Regular" w:hAnsi="Times New Roman Regular" w:cs="Times New Roman Regular" w:eastAsiaTheme="minorEastAsia"/>
        </w:rPr>
      </w:pPr>
    </w:p>
    <w:p w14:paraId="380787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发表年份</w:t>
      </w:r>
    </w:p>
    <w:p w14:paraId="056DA32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2024, Econometrica, Vol. 92, No. 5, pp. 1439–1472.</w:t>
      </w:r>
    </w:p>
    <w:p w14:paraId="777C5A4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2024年，发表于《计量经济学》(Econometrica) 第92卷第5期，第1439–1472页。</w:t>
      </w:r>
    </w:p>
    <w:p w14:paraId="1768441D">
      <w:pPr>
        <w:rPr>
          <w:rFonts w:hint="default" w:ascii="Times New Roman Regular" w:hAnsi="Times New Roman Regular" w:cs="Times New Roman Regular" w:eastAsiaTheme="minorEastAsia"/>
        </w:rPr>
      </w:pPr>
    </w:p>
    <w:p w14:paraId="3BC894B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 / 因变量：主要因变量是什么？</w:t>
      </w:r>
    </w:p>
    <w:p w14:paraId="4DFBE56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examines three main dependent variables, all capturing different dimensions of state consolidation in the Holy Roman Empire /ˌhoʊli ˈroʊmən ˈɛmpaɪər/. First, territorial survival: whether a territory vanishes in a given year, coded as a binary indicator, disaggregated by cause — conflict/conquest, purchase, or dynastic extinction (p. 1451–1452). Second, territorial size: measured as the natural logarithm of the number of cities a territory rules, further decomposed into cities it rules alone (single ruler), uncontested cities, and total cities (p. 1454–1455). Third, territorial compactness: a measure of how cohesive and rounded a territory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shape is, defined as the ratio of internal borders (shared between cities under the same ruler) to total borders of all city polygons in a territory, measured at both the territory level and the city level (p. 1456). These three outcomes — survival, size, and compactness — together constitute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operationalization of the overarching concept of </w:t>
      </w:r>
      <w:r>
        <w:rPr>
          <w:rFonts w:hint="default" w:ascii="Times New Roman Regular" w:hAnsi="Times New Roman Regular" w:cs="Times New Roman Regular"/>
          <w:lang w:eastAsia="zh-CN"/>
        </w:rPr>
        <w:t>“state consolidation”</w:t>
      </w:r>
      <w:r>
        <w:rPr>
          <w:rFonts w:hint="default" w:ascii="Times New Roman Regular" w:hAnsi="Times New Roman Regular" w:cs="Times New Roman Regular" w:eastAsiaTheme="minorEastAsia"/>
        </w:rPr>
        <w:t xml:space="preserve"> in the early modern period.</w:t>
      </w:r>
    </w:p>
    <w:p w14:paraId="6A38FF4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本文考察了三个主要因变量，它们分别刻画了神圣罗马帝国 /ˌhoʊli ˈroʊmən ˈɛmpaɪər/ 中国家整合（state consolidation）的不同维度。第一，领地存续（territorial survival）：某一领地是否在特定年份消亡，编码为二元指标，并按原因分解为冲突/征服、购买和王朝绝嗣三类（第1451–1452页）。第二，领地规模（territorial size）：用领地所统治城市数量的自然对数衡量，进一步区分为独治城市、无争议城市和全部城市（第1454–1455页）。第三，领地紧凑度（territorial compactness）：衡量领地形状的连贯性和圆整度，定义为内部边界（同一领主所辖城市之间的共享边界）与领地内全部城市多边形边界总长的比值，分别在领地层面和城市层面进行度量（第1456页）。这三项结果——存续、规模和紧凑度——共同构成了作者对近代早期</w:t>
      </w:r>
      <w:r>
        <w:rPr>
          <w:rFonts w:hint="default" w:ascii="Times New Roman Regular" w:hAnsi="Times New Roman Regular" w:cs="Times New Roman Regular"/>
          <w:lang w:eastAsia="zh-CN"/>
        </w:rPr>
        <w:t>“国家整合”</w:t>
      </w:r>
      <w:r>
        <w:rPr>
          <w:rFonts w:hint="default" w:ascii="Times New Roman Regular" w:hAnsi="Times New Roman Regular" w:cs="Times New Roman Regular" w:eastAsiaTheme="minorEastAsia"/>
        </w:rPr>
        <w:t>这一上位概念的操作化衡量。</w:t>
      </w:r>
    </w:p>
    <w:p w14:paraId="6E2EE815">
      <w:pPr>
        <w:rPr>
          <w:rFonts w:hint="default" w:ascii="Times New Roman Regular" w:hAnsi="Times New Roman Regular" w:cs="Times New Roman Regular" w:eastAsiaTheme="minorEastAsia"/>
        </w:rPr>
      </w:pPr>
    </w:p>
    <w:p w14:paraId="16A43902">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 / 自变量：主要自变量是什么？</w:t>
      </w:r>
    </w:p>
    <w:p w14:paraId="0FC1D73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independent variable is fiscal centralization, operationalized as the introduction of a permanent, centralized fiscal administration—specifically, a Chamber (Hofkammer or Rentkammer)—within a territory. In the main panel regressions, this is coded as an absorbing binary indicator (Treated) that switches from 0 to 1 in the year a territory introduces such a Chamber and remains 1 thereafter. The authors document Chamber adoption for 39 territories between the sixteenth and eighteenth centuries and, in the main outcome specifications, interact Treated with Decades Since Treatment to capture the fact that the effects of fiscal centralization unfold gradually over time rather than appearing as a one-off shock.</w:t>
      </w:r>
    </w:p>
    <w:p w14:paraId="52CEEAC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 the paper’s instrumental-variables strategy, the relevant source of exogenous variation is not Chamber adoption itself but variation in the Imperial tax pressure faced by a territory. More precisely, the authors exploit the interaction between a territory’s fixed contribution share in the Imperial Register (Reichsmatrikel) of 1521 and the quasi-random timing and size of aggregate Imperial tax levies. Because Chamber adoption is an absorbing treatment, the IV is constructed as the maximum Imperial tax contribution a territory has faced up to year t, rather than simply the contemporaneous interaction term. This instrument is used to identify the causal effect of fiscal centralization on consolidation outcomes for the subset of territories whose adoption decisions were shifted by Imperial tax pressure.</w:t>
      </w:r>
    </w:p>
    <w:p w14:paraId="3C8CBBA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主要自变量是财政集权化（fiscal centralization），其操作化方式是一个领地是否建立了永久性的、集中化的财政管理机构——具体而言，即设立了 财政室（Hofkammer 或 Rentkammer）。在正文的主回归中，这一变量被编码为一个吸收态二元指标（Treated）：在领地建立财政室的年份从 0 变为 1，此后保持为 1。作者记录了 16 世纪到 18 世纪之间 39 个领地引入财政室的时间；在主要结果方程中，又将 Treated 与 Decades Since Treatment 交互，以刻画财政集权化的影响并非一次性冲击，而是会随时间逐步展开。</w:t>
      </w:r>
    </w:p>
    <w:p w14:paraId="2490BDB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在论文的工具变量识别策略中，真正提供外生变异的并不是财政室建立本身，而是一个领地所面临的帝国税压力。更准确地说，作者利用的是：领地在 1521 年帝国税册（Reichsmatrikel） 中的固定分摊份额，与帝国税总额在时间上和规模上的准随机波动之间的交互。由于财政室建立是一个吸收态处理，作者在 IV 中进一步将工具变量构造为：截至 t 年为止，该领地所面临过的最大帝国税贡献，而不是简单的当期交互项。这个 IV 用来识别财政集权化对国家整合结果的因果效应，但其识别对象是那些会被帝国税压力推动进入 reform 的领地。</w:t>
      </w:r>
    </w:p>
    <w:p w14:paraId="3B5300C5">
      <w:pPr>
        <w:rPr>
          <w:rFonts w:hint="default" w:ascii="Times New Roman Regular" w:hAnsi="Times New Roman Regular" w:cs="Times New Roman Regular" w:eastAsiaTheme="minorEastAsia"/>
        </w:rPr>
      </w:pPr>
    </w:p>
    <w:p w14:paraId="4D16765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default" w:ascii="Times New Roman Regular" w:hAnsi="Times New Roman Regular" w:cs="Times New Roman Regular"/>
          <w:highlight w:val="yellow"/>
          <w:lang w:eastAsia="zh-CN"/>
        </w:rPr>
        <w:t>“state”</w:t>
      </w:r>
      <w:r>
        <w:rPr>
          <w:rFonts w:hint="default" w:ascii="Times New Roman Regular" w:hAnsi="Times New Roman Regular" w:cs="Times New Roman Regular" w:eastAsiaTheme="minorEastAsia"/>
          <w:highlight w:val="yellow"/>
        </w:rPr>
        <w:t xml:space="preserve"> and/or </w:t>
      </w:r>
      <w:r>
        <w:rPr>
          <w:rFonts w:hint="default" w:ascii="Times New Roman Regular" w:hAnsi="Times New Roman Regular" w:cs="Times New Roman Regular"/>
          <w:highlight w:val="yellow"/>
          <w:lang w:eastAsia="zh-CN"/>
        </w:rPr>
        <w:t>“state building”</w:t>
      </w:r>
      <w:r>
        <w:rPr>
          <w:rFonts w:hint="default" w:ascii="Times New Roman Regular" w:hAnsi="Times New Roman Regular" w:cs="Times New Roman Regular" w:eastAsiaTheme="minorEastAsia"/>
          <w:highlight w:val="yellow"/>
        </w:rPr>
        <w:t xml:space="preserve"> conceptualized and measured? / </w:t>
      </w:r>
      <w:r>
        <w:rPr>
          <w:rFonts w:hint="default" w:ascii="Times New Roman Regular" w:hAnsi="Times New Roman Regular" w:cs="Times New Roman Regular"/>
          <w:highlight w:val="yellow"/>
          <w:lang w:eastAsia="zh-CN"/>
        </w:rPr>
        <w:t>“国家”</w:t>
      </w:r>
      <w:r>
        <w:rPr>
          <w:rFonts w:hint="default" w:ascii="Times New Roman Regular" w:hAnsi="Times New Roman Regular" w:cs="Times New Roman Regular" w:eastAsiaTheme="minorEastAsia"/>
          <w:highlight w:val="yellow"/>
        </w:rPr>
        <w:t>与</w:t>
      </w:r>
      <w:r>
        <w:rPr>
          <w:rFonts w:hint="default" w:ascii="Times New Roman Regular" w:hAnsi="Times New Roman Regular" w:cs="Times New Roman Regular"/>
          <w:highlight w:val="yellow"/>
          <w:lang w:eastAsia="zh-CN"/>
        </w:rPr>
        <w:t>“国家建设”</w:t>
      </w:r>
      <w:r>
        <w:rPr>
          <w:rFonts w:hint="default" w:ascii="Times New Roman Regular" w:hAnsi="Times New Roman Regular" w:cs="Times New Roman Regular" w:eastAsiaTheme="minorEastAsia"/>
          <w:highlight w:val="yellow"/>
        </w:rPr>
        <w:t>的概念化与度量</w:t>
      </w:r>
    </w:p>
    <w:p w14:paraId="1AB7A9A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does not study the rise of the modern nation-state in the full Weberian sense. Rather, it analyzes the territorial consolidation of princely polities within the Holy Roman Empire in the early modern period. The relevant political units are the Empire’s constituent territories, whose rulers increasingly exercised sovereignty over the administrative and fiscal organization of their lands. In this setting, “state building” is best understood as the transformation from more personalized, fragmented, and overlapping forms of rule toward more durable, territorially bounded, and bureaucratically organized rule. The paper therefore focuses on territorial state consolidation, not on the emergence of a fully modern centralized nation-state with standardized citizenship, uniform law, and direct administration over a national population.</w:t>
      </w:r>
    </w:p>
    <w:p w14:paraId="06FCEBA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这篇论文研究的并不是完整韦伯意义上的现代民族国家兴起，而是近代早期神圣罗马帝国内部亲王领地的 territorial consolidation。作者关注的政治单位是帝国的组成性领地；随着时间推移，这些领地的统治者越来越多地掌握其土地的行政与财政组织权。在这样的背景下，论文中的 “state building” 更适合理解为：从更具人格性、碎片化、管辖重叠的统治形式，转向更持久、更具领土边界性、也更官僚化的统治形式。因此，本文讨论的首先是领地性的国家整合，而不是一个已经具备统一公民身份、统一法制与直接国民治理能力的现代 nation-state 的形成。</w:t>
      </w:r>
    </w:p>
    <w:p w14:paraId="4A34023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Empirically, the authors capture this consolidation through three principal outcome dimensions: survival, size, and compactness. Survival refers to whether a territory continues to exist rather than vanishing through conflict/conquest, purchase, or dynastic extinction. Size is measured by the number of cities a territory controls, with distinctions between cities ruled alone, uncontested cities, and all cities. Compactness captures how territorially cohesive a polity becomes, that is, whether its holdings are increasingly contiguous rather than scattered across enclaves and exclaves. These are the paper’s main observable indicators of consolidation, and the authors explicitly motivate them as the major aspects of territorial “enlargement” and survival in the early modern imperial setting. </w:t>
      </w:r>
    </w:p>
    <w:p w14:paraId="251DEB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经验层面，作者主要通过三个结果维度来把握这种整合：存续、规模和紧凑度。存续指领地是否继续存在，而不是因冲突/征服、购买或王朝绝嗣而消失；规模指领地控制城市的数量，并区分独治城市、无争议城市和全部城市；紧凑度则刻画一个 polity 的领土是否越来越连片，而非散落成大量飞地和孤立据点。这三项并不是对 “state” 概念的穷尽性定义，而是论文用来观察 early modern imperial setting 中 territorial consolidation 的主要可观测指标；作者也明确将 survival 与 territorial “enlargement” 视为这一历史过程的关键面向。</w:t>
      </w:r>
    </w:p>
    <w:p w14:paraId="2420B05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Crucially, the paper treats fiscal capacity in a relatively narrow and historically specific sense. It is not defined as the ability to impose broad-based new taxation through representative bargaining. Instead, it refers primarily to the administrative capacity to collect, organize, monitor, and spend existing demesne-based revenues more efficiently. The Chamber is the operational marker of this capacity because it introduced centralized bookkeeping, systematic audits, and a specialized collegial office that concentrated fiscal knowledge. In theoretical terms, the paper draws less on a generic “war makes states” narrative than on an organizational account in which a new bureaucratic layer reduces fiscal complexity and improves the ruler’s ability to use preexisting revenue sources.</w:t>
      </w:r>
    </w:p>
    <w:p w14:paraId="0F6CB6C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关键在于，论文对财政能力的理解是狭义而历史特定的。它不是通过代议制协商来征收广泛新税的能力，而主要是对既有领地收入——即 demesne-based revenues——进行更有效率的征收、组织、监控与支出的行政能力。财政室之所以成为财政能力建设的操作性指标，正是因为它引入了集中化簿记、系统性审计，以及一个专门汇聚财政知识的合议制常设机构。就理论取向而言，本文并不只是复述一个一般性的 “war makes states” 故事，而是在组织理论意义上说明：新的官僚层级如何降低财政复杂性，并提高统治者利用既有收入来源的能力。</w:t>
      </w:r>
    </w:p>
    <w:p w14:paraId="6D0EFD1B">
      <w:pPr>
        <w:rPr>
          <w:rFonts w:hint="default" w:ascii="Times New Roman Regular" w:hAnsi="Times New Roman Regular" w:cs="Times New Roman Regular" w:eastAsiaTheme="minorEastAsia"/>
        </w:rPr>
      </w:pPr>
    </w:p>
    <w:p w14:paraId="238A7BB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 核心论点</w:t>
      </w:r>
    </w:p>
    <w:p w14:paraId="488B650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core argument is that the development of fiscal capacity through permanent, centralized administrations (Chambers) was a crucial institutional innovation that drove state consolidation in the Holy Roman Empire. The argument unfolds in two steps.</w:t>
      </w:r>
    </w:p>
    <w:p w14:paraId="512F6083">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核心论点是：通过永久性、集中化行政机构（财政室）发展起来的财政能力，是推动神圣罗马帝国国家整合的关键制度创新。论证分为两步展开。</w:t>
      </w:r>
    </w:p>
    <w:p w14:paraId="3386A72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First, regarding the origins of fiscal centralization: rulers faced a cost-benefit tradeoff when deciding whether to adopt a Chamber. The benefit was increased efficiency in extracting revenues from existing demesnes (not from new taxes); the cost was the fixed expense of establishing permanent offices and employing professional bureaucrats. The key exogenous driver that tipped this tradeoff was the imposition of Imperial taxes (Reichstürkenhilfe): at irregular intervals, the Imperial Diet required territorial rulers to process and remit war taxes (primarily to fund campaigns against the Ottoman /ˈɒtəmən/ Empire). While rulers could pass these taxes through to their subjects costlessly, having a sophisticated fiscal bureaucracy allowed them to retain a surplus from more efficient processing. The larger the Imperial tax request, the greater the incentive to adopt a Chamber. The quasi-random timing and size of these Imperial tax levies, combined with each territory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fixed share in the Imperial Register of 1521, provided an exogenous, territory-specific fiscal demand shock that predicted Chamber adoption (p. 1441, 1446, 1449–1451).</w:t>
      </w:r>
    </w:p>
    <w:p w14:paraId="6500866E">
      <w:pPr>
        <w:keepNext w:val="0"/>
        <w:keepLines w:val="0"/>
        <w:widowControl w:val="0"/>
        <w:suppressLineNumbers w:val="0"/>
        <w:spacing w:before="0" w:beforeAutospacing="0" w:after="0" w:afterAutospacing="0"/>
        <w:ind w:left="0" w:right="0"/>
        <w:jc w:val="both"/>
        <w:rPr>
          <w:rFonts w:hint="default" w:ascii="Times New Roman Regular" w:hAnsi="Times New Roman Regular" w:cs="Times New Roman Regular" w:eastAsiaTheme="minorEastAsia"/>
        </w:rPr>
      </w:pPr>
      <w:r>
        <w:rPr>
          <w:rFonts w:hint="eastAsia" w:ascii="宋体" w:hAnsi="宋体" w:eastAsia="宋体" w:cs="宋体"/>
          <w:kern w:val="2"/>
          <w:sz w:val="21"/>
          <w:szCs w:val="21"/>
          <w:lang w:val="en-US" w:eastAsia="zh-CN" w:bidi="ar"/>
        </w:rPr>
        <w:t>第一，关于财政集权化的起源：统治者在决定是否设立财政室时面临成本</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收益权衡。收益是提高对现有领地收入（而非新税）的征收效率；成本是建立常设机构和雇佣专业官僚的固定支出。使这一权衡发生倾斜的关键外生驱动因素是帝国税（</w:t>
      </w:r>
      <w:r>
        <w:rPr>
          <w:rFonts w:hint="default" w:ascii="Times New Roman Regular" w:hAnsi="Times New Roman Regular" w:eastAsia="Times New Roman Regular" w:cs="Times New Roman Regular"/>
          <w:kern w:val="2"/>
          <w:sz w:val="21"/>
          <w:szCs w:val="21"/>
          <w:lang w:val="en-US" w:eastAsia="zh-CN" w:bidi="ar"/>
        </w:rPr>
        <w:t>Reichstürkenhilfe</w:t>
      </w:r>
      <w:r>
        <w:rPr>
          <w:rFonts w:hint="eastAsia" w:ascii="宋体" w:hAnsi="宋体" w:eastAsia="宋体" w:cs="宋体"/>
          <w:kern w:val="2"/>
          <w:sz w:val="21"/>
          <w:szCs w:val="21"/>
          <w:lang w:val="en-US" w:eastAsia="zh-CN" w:bidi="ar"/>
        </w:rPr>
        <w:t xml:space="preserve">）的征收：帝国议会不定期地要求各领地统治者处理和上缴战争税款（主要用于资助对抗奥斯曼帝国 </w:t>
      </w:r>
      <w:r>
        <w:rPr>
          <w:rFonts w:hint="default" w:ascii="Times New Roman Regular" w:hAnsi="Times New Roman Regular" w:eastAsia="Times New Roman Regular" w:cs="Times New Roman Regular"/>
          <w:kern w:val="2"/>
          <w:sz w:val="21"/>
          <w:szCs w:val="21"/>
          <w:lang w:val="en-US" w:eastAsia="zh-CN" w:bidi="ar"/>
        </w:rPr>
        <w:t xml:space="preserve">/ˈɒtəmən/ </w:t>
      </w:r>
      <w:r>
        <w:rPr>
          <w:rFonts w:hint="eastAsia" w:ascii="宋体" w:hAnsi="宋体" w:eastAsia="宋体" w:cs="宋体"/>
          <w:kern w:val="2"/>
          <w:sz w:val="21"/>
          <w:szCs w:val="21"/>
          <w:lang w:val="en-US" w:eastAsia="zh-CN" w:bidi="ar"/>
        </w:rPr>
        <w:t>的战役）。虽然统治者可以将这些税赋无成本地转嫁给臣民，但拥有精密的财政官僚机构使他们能够从更高效的税赋处理中截留盈余。帝国税请求越大，设立财政室的激励就越强。帝国税征收的准随机时间和规模，结合各领地在</w:t>
      </w:r>
      <w:r>
        <w:rPr>
          <w:rFonts w:hint="default" w:ascii="Times New Roman Regular" w:hAnsi="Times New Roman Regular" w:eastAsia="Times New Roman Regular" w:cs="Times New Roman Regular"/>
          <w:kern w:val="2"/>
          <w:sz w:val="21"/>
          <w:szCs w:val="21"/>
          <w:lang w:val="en-US" w:eastAsia="zh-CN" w:bidi="ar"/>
        </w:rPr>
        <w:t>1521</w:t>
      </w:r>
      <w:r>
        <w:rPr>
          <w:rFonts w:hint="eastAsia" w:ascii="宋体" w:hAnsi="宋体" w:eastAsia="宋体" w:cs="宋体"/>
          <w:kern w:val="2"/>
          <w:sz w:val="21"/>
          <w:szCs w:val="21"/>
          <w:lang w:val="en-US" w:eastAsia="zh-CN" w:bidi="ar"/>
        </w:rPr>
        <w:t>年帝国税册中的固定份额，为财政室的设立提供了一个外生的、因领地而异的财政需求冲击，有效预测了财政室的建立（第</w:t>
      </w:r>
      <w:r>
        <w:rPr>
          <w:rFonts w:hint="default" w:ascii="Times New Roman Regular" w:hAnsi="Times New Roman Regular" w:eastAsia="Times New Roman Regular" w:cs="Times New Roman Regular"/>
          <w:kern w:val="2"/>
          <w:sz w:val="21"/>
          <w:szCs w:val="21"/>
          <w:lang w:val="en-US" w:eastAsia="zh-CN" w:bidi="ar"/>
        </w:rPr>
        <w:t>1441</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1446</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1449–1451</w:t>
      </w:r>
      <w:r>
        <w:rPr>
          <w:rFonts w:hint="eastAsia" w:ascii="宋体" w:hAnsi="宋体" w:eastAsia="宋体" w:cs="宋体"/>
          <w:kern w:val="2"/>
          <w:sz w:val="21"/>
          <w:szCs w:val="21"/>
          <w:lang w:val="en-US" w:eastAsia="zh-CN" w:bidi="ar"/>
        </w:rPr>
        <w:t>页）。</w:t>
      </w:r>
    </w:p>
    <w:p w14:paraId="1CF574F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regarding the consequences: once a Chamber was established, territories experienced three interrelated consolidation outcomes. They were more likely to survive (specifically, less likely to vanish through conflict or purchase, though not through dynastic extinction, which is treated as exogenous). They grew larger, controlling more cities over time. And they became more compact, achieving more cohesive territorial shapes. These effects unfolded gradually over decades rather than appearing as an immediate, one-off shock (p. 1440, 1451–1456).</w:t>
      </w:r>
    </w:p>
    <w:p w14:paraId="788B7A1D">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第二，关于后果：财政室一旦建立，领地就经历了三个相互关联的整合结果。它们更有可能存续（具体而言，因冲突或购买而消亡的概率显著下降，但因王朝绝嗣而消亡的概率不受影响</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后者被视为外生的）。它们的规模随时间逐步扩大，控制更多的城市。它们的形状也变得更加紧凑，实现了更连片的领土版图。这些效应是在数十年的过程中逐渐展开的，而非作为一次性冲击即时显现（第</w:t>
      </w:r>
      <w:r>
        <w:rPr>
          <w:rFonts w:hint="default" w:ascii="Times New Roman Regular" w:hAnsi="Times New Roman Regular" w:eastAsia="Times New Roman Regular" w:cs="Times New Roman Regular"/>
          <w:kern w:val="2"/>
          <w:sz w:val="21"/>
          <w:szCs w:val="21"/>
          <w:lang w:val="en-US" w:eastAsia="zh-CN" w:bidi="ar"/>
        </w:rPr>
        <w:t>1440</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1451–1456</w:t>
      </w:r>
      <w:r>
        <w:rPr>
          <w:rFonts w:hint="eastAsia" w:ascii="宋体" w:hAnsi="宋体" w:eastAsia="宋体" w:cs="宋体"/>
          <w:kern w:val="2"/>
          <w:sz w:val="21"/>
          <w:szCs w:val="21"/>
          <w:lang w:val="en-US" w:eastAsia="zh-CN" w:bidi="ar"/>
        </w:rPr>
        <w:t>页）。</w:t>
      </w:r>
    </w:p>
    <w:p w14:paraId="4C517C8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are careful to note that this is not a story about taxation and representation. In the Holy Roman Empire, the taxation-representation nexus was resolved in favor of rulers and absolutism, not parliamentarism. Chambers operated entirely within the sovereign</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private finances, separate from and independent of the Estates (territorial parliaments). Over time, Chambers grew to become the dominant administrative institution, progressively absorbing fiscal tasks that had been associated with the Estates, thereby tilting the consolidating states toward bureaucratic-absolutist governance (p. 1442, 1458, 1468–1469).</w:t>
      </w:r>
    </w:p>
    <w:p w14:paraId="65EB4CF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审慎地指出，这并非一个关于征税与代议制关系的故事。在神圣罗马帝国，征税—代议制的关系是以有利于统治者和专制主义的方式解决的，而非议会主义。财政室完全在领主的私人财政范围内运作，独立于等级会议（领地议会）。随着时间推移，财政室成长为最主要的行政机构，逐步吸收了原本与等级会议相关联的财政职能，从而将正在整合中的国家推向官僚—专制主义治理（第1442、1458、1468–1469页）。</w:t>
      </w:r>
    </w:p>
    <w:p w14:paraId="4CA9CE03">
      <w:pPr>
        <w:rPr>
          <w:rFonts w:hint="default" w:ascii="Times New Roman Regular" w:hAnsi="Times New Roman Regular" w:cs="Times New Roman Regular" w:eastAsiaTheme="minorEastAsia"/>
        </w:rPr>
      </w:pPr>
    </w:p>
    <w:p w14:paraId="6A745B0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 机制</w:t>
      </w:r>
    </w:p>
    <w:p w14:paraId="3DB3287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identify four concrete mechanisms through which fiscal centralization translated into improved consolidation outcomes.</w:t>
      </w:r>
    </w:p>
    <w:p w14:paraId="2823863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Increased revenues (p. 1460–1461). Historical revenue data for Hesse /hɛsə/ and Albertine Saxony /ˈælbɜːtiːn ˈsæksəni/ show that revenues increased substantially following the introduction of a Chamber. In Hesse, revenues jumped by over 36,000 guilders in the decade after centralization. In Albertine Saxony, drink excise tax revenues rose from an average of 21,000 guilders to approximately 26,000 guilders per year after the 1524 reform. Crucially, these increases came from more efficient exploitation of existing revenue sources (demesnes), not from new taxes, consistent with the Chamber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mandate to improve administrative efficiency rather than expand the tax base.</w:t>
      </w:r>
    </w:p>
    <w:p w14:paraId="7B4A1F3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收入增加（第1460–1461页）。 黑森 /hɛsə/ 和阿尔贝廷萨克森 /ˈælbɜːtiːn ˈsæksəni/ 的历史收入数据显示，财政室设立后收入大幅增长。在黑森，集权化后十年内收入增加了超过36,000基尔登。在阿尔贝廷萨克森，饮品消费税收入从平均每年21,000基尔登上升至1524年改革后的约26,000基尔登。关键在于，这些增长来自对现有收入来源（领地产业）更有效率的开发，而非新税种，这与财政室旨在提高行政效率而非扩大税基的使命相一致。</w:t>
      </w:r>
    </w:p>
    <w:p w14:paraId="69E19D8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Reduced reliance on pawning (p. 1461–1462). Before Chambers, rulers frequently pawned cities and land holdings to local nobles in exchange for short-term cash — an inefficient and self-defeating practice that eroded the revenue base. After fiscal centralization, the probability of a city being pawned dropped sharply and immediately (as shown in event-study graphs), indicating that improved fiscal administration allowed rulers to generate revenue through regular channels rather than selling off assets. In Hesse, the Chamber redeemed 28 local offices and spent 100,000 guilders redeeming pawns within a decade; in Albertine Saxony, the largest post-reform expenditure (46,190 guilders) went to pawn redemption.</w:t>
      </w:r>
    </w:p>
    <w:p w14:paraId="051C6B0B">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default" w:ascii="Times New Roman Regular" w:hAnsi="Times New Roman Regular" w:eastAsia="宋体" w:cs="Times New Roman Regular"/>
          <w:kern w:val="2"/>
          <w:sz w:val="21"/>
          <w:szCs w:val="21"/>
          <w:lang w:val="en-US" w:eastAsia="zh-CN" w:bidi="ar"/>
        </w:rPr>
        <w:t xml:space="preserve">2. </w:t>
      </w:r>
      <w:r>
        <w:rPr>
          <w:rFonts w:hint="eastAsia" w:ascii="宋体" w:hAnsi="宋体" w:eastAsia="宋体" w:cs="宋体"/>
          <w:kern w:val="2"/>
          <w:sz w:val="21"/>
          <w:szCs w:val="21"/>
          <w:lang w:val="en-US" w:eastAsia="zh-CN" w:bidi="ar"/>
        </w:rPr>
        <w:t>减少对城市质押的依赖（第</w:t>
      </w:r>
      <w:r>
        <w:rPr>
          <w:rFonts w:hint="default" w:ascii="Times New Roman Regular" w:hAnsi="Times New Roman Regular" w:eastAsia="Times New Roman Regular" w:cs="Times New Roman Regular"/>
          <w:kern w:val="2"/>
          <w:sz w:val="21"/>
          <w:szCs w:val="21"/>
          <w:lang w:val="en-US" w:eastAsia="zh-CN" w:bidi="ar"/>
        </w:rPr>
        <w:t>1461–1462</w:t>
      </w:r>
      <w:r>
        <w:rPr>
          <w:rFonts w:hint="eastAsia" w:ascii="宋体" w:hAnsi="宋体" w:eastAsia="宋体" w:cs="宋体"/>
          <w:kern w:val="2"/>
          <w:sz w:val="21"/>
          <w:szCs w:val="21"/>
          <w:lang w:val="en-US" w:eastAsia="zh-CN" w:bidi="ar"/>
        </w:rPr>
        <w:t>页）。 在财政室建立之前，统治者经常将城市和土地质押给地方贵族以换取短期现金</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这是一种低效且自我削弱的做法，会侵蚀收入基础。财政集权化之后，城市被质押的概率急剧且立即下降（如事件研究图所示），表明改进的财政管理使统治者能够通过常规渠道获取收入，而不必出售资产。在黑森，财政室在十年内赎回了</w:t>
      </w:r>
      <w:r>
        <w:rPr>
          <w:rFonts w:hint="default" w:ascii="Times New Roman Regular" w:hAnsi="Times New Roman Regular" w:eastAsia="Times New Roman Regular" w:cs="Times New Roman Regular"/>
          <w:kern w:val="2"/>
          <w:sz w:val="21"/>
          <w:szCs w:val="21"/>
          <w:lang w:val="en-US" w:eastAsia="zh-CN" w:bidi="ar"/>
        </w:rPr>
        <w:t>28</w:t>
      </w:r>
      <w:r>
        <w:rPr>
          <w:rFonts w:hint="eastAsia" w:ascii="宋体" w:hAnsi="宋体" w:eastAsia="宋体" w:cs="宋体"/>
          <w:kern w:val="2"/>
          <w:sz w:val="21"/>
          <w:szCs w:val="21"/>
          <w:lang w:val="en-US" w:eastAsia="zh-CN" w:bidi="ar"/>
        </w:rPr>
        <w:t>个地方机构，并花费</w:t>
      </w:r>
      <w:r>
        <w:rPr>
          <w:rFonts w:hint="default" w:ascii="Times New Roman Regular" w:hAnsi="Times New Roman Regular" w:eastAsia="Times New Roman Regular" w:cs="Times New Roman Regular"/>
          <w:kern w:val="2"/>
          <w:sz w:val="21"/>
          <w:szCs w:val="21"/>
          <w:lang w:val="en-US" w:eastAsia="zh-CN" w:bidi="ar"/>
        </w:rPr>
        <w:t>100,000</w:t>
      </w:r>
      <w:r>
        <w:rPr>
          <w:rFonts w:hint="eastAsia" w:ascii="宋体" w:hAnsi="宋体" w:eastAsia="宋体" w:cs="宋体"/>
          <w:kern w:val="2"/>
          <w:sz w:val="21"/>
          <w:szCs w:val="21"/>
          <w:lang w:val="en-US" w:eastAsia="zh-CN" w:bidi="ar"/>
        </w:rPr>
        <w:t>基尔登赎回质押；在阿尔贝廷萨克森，改革后最大的一笔支出（</w:t>
      </w:r>
      <w:r>
        <w:rPr>
          <w:rFonts w:hint="default" w:ascii="Times New Roman Regular" w:hAnsi="Times New Roman Regular" w:eastAsia="Times New Roman Regular" w:cs="Times New Roman Regular"/>
          <w:kern w:val="2"/>
          <w:sz w:val="21"/>
          <w:szCs w:val="21"/>
          <w:lang w:val="en-US" w:eastAsia="zh-CN" w:bidi="ar"/>
        </w:rPr>
        <w:t>46,190</w:t>
      </w:r>
      <w:r>
        <w:rPr>
          <w:rFonts w:hint="eastAsia" w:ascii="宋体" w:hAnsi="宋体" w:eastAsia="宋体" w:cs="宋体"/>
          <w:kern w:val="2"/>
          <w:sz w:val="21"/>
          <w:szCs w:val="21"/>
          <w:lang w:val="en-US" w:eastAsia="zh-CN" w:bidi="ar"/>
        </w:rPr>
        <w:t>基尔登）用于赎回质押。</w:t>
      </w:r>
    </w:p>
    <w:p w14:paraId="7161859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Military investment and defensive success (p. 1463–1464). Following fiscal centralization, cities in treated territories experienced a significant increase in military construction (castles, arsenals, fortifications) — about 0.04 additional buildings per century, against a baseline of 0.051 per century. This near-doubling of military infrastructure investment was not driven by increased attacks or changes in the external threat environment. Importantly, when cities in centralized territories were attacked, the probability of losing the city to another ruler was reduced to nearly zero (the interaction of Attack × Treated almost exactly offsets the main effect of Attack on rule changes due to violence), while there was no such defensive advantage for rule changes due to purchase or extinction. This confirms that military investment following fiscal centralization substantially increased defensive capabilities.</w:t>
      </w:r>
    </w:p>
    <w:p w14:paraId="2C677B0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军事投资与防御成功（第1463–1464页）。 财政集权化后，实验组领地中的城市在军事建筑（城堡、军械库、防御工事）方面出现了显著增长——每世纪约增加0.04座建筑，而基线水平为每世纪0.051座。这种几近翻倍的军事基础设施投资并非由攻击增多或外部威胁环境变化所驱动。重要的是，当集权化领地的城市确实遭到攻击时，城市被夺走的概率几乎降至零（Attack × Treated的交互效应几乎完全抵消了Attack对因暴力导致统治者变更的主效应），而对于因购买或绝嗣导致的统治者变更则无此防御优势。这证实了财政集权化后的军事投资大幅提高了防御能力。</w:t>
      </w:r>
    </w:p>
    <w:p w14:paraId="4471A72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Strategic marriage success (p. 1464–1466). Marriages were a primary tool of territorial expansion through inheritance claims. They were also expensive: dowries and wedding ceremonies required large sums from the ruler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treasury, which Chambers helped finance. The authors measure marriage success by the change in a daughter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dynastic network connectedness resulting from her marriage — specifically, the number of territorial rulers and ruled cities within three degrees of family separation. After fiscal centralization,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daughters gained 29% more connected rulers and 70% more connected land holdings through their marriages, reflecting substantially improved outcomes of marriage diplomacy.</w:t>
      </w:r>
    </w:p>
    <w:p w14:paraId="1AC684F2">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default" w:ascii="Times New Roman Regular" w:hAnsi="Times New Roman Regular" w:eastAsia="宋体" w:cs="Times New Roman Regular"/>
          <w:kern w:val="2"/>
          <w:sz w:val="21"/>
          <w:szCs w:val="21"/>
          <w:lang w:val="en-US" w:eastAsia="zh-CN" w:bidi="ar"/>
        </w:rPr>
        <w:t xml:space="preserve">4. </w:t>
      </w:r>
      <w:r>
        <w:rPr>
          <w:rFonts w:hint="eastAsia" w:ascii="宋体" w:hAnsi="宋体" w:eastAsia="宋体" w:cs="宋体"/>
          <w:kern w:val="2"/>
          <w:sz w:val="21"/>
          <w:szCs w:val="21"/>
          <w:lang w:val="en-US" w:eastAsia="zh-CN" w:bidi="ar"/>
        </w:rPr>
        <w:t>战略婚姻成功（第</w:t>
      </w:r>
      <w:r>
        <w:rPr>
          <w:rFonts w:hint="default" w:ascii="Times New Roman Regular" w:hAnsi="Times New Roman Regular" w:eastAsia="Times New Roman Regular" w:cs="Times New Roman Regular"/>
          <w:kern w:val="2"/>
          <w:sz w:val="21"/>
          <w:szCs w:val="21"/>
          <w:lang w:val="en-US" w:eastAsia="zh-CN" w:bidi="ar"/>
        </w:rPr>
        <w:t>1464–1466</w:t>
      </w:r>
      <w:r>
        <w:rPr>
          <w:rFonts w:hint="eastAsia" w:ascii="宋体" w:hAnsi="宋体" w:eastAsia="宋体" w:cs="宋体"/>
          <w:kern w:val="2"/>
          <w:sz w:val="21"/>
          <w:szCs w:val="21"/>
          <w:lang w:val="en-US" w:eastAsia="zh-CN" w:bidi="ar"/>
        </w:rPr>
        <w:t>页）。 婚姻是通过继承权主张进行领土扩张的主要工具。婚姻也是昂贵的：嫁妆和婚礼仪式需要从统治者的国库中支出大笔资金，而财政室有助于为此提供资金。作者通过一位女儿的婚姻所带来的王朝网络联通性变化来度量婚姻成功</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具体而言，即婚后三度家族分隔范围内的领地统治者数量和被统治城市数量。财政集权化后，统治者的女儿通过婚姻增加了</w:t>
      </w:r>
      <w:r>
        <w:rPr>
          <w:rFonts w:hint="default" w:ascii="Times New Roman Regular" w:hAnsi="Times New Roman Regular" w:eastAsia="Times New Roman Regular" w:cs="Times New Roman Regular"/>
          <w:kern w:val="2"/>
          <w:sz w:val="21"/>
          <w:szCs w:val="21"/>
          <w:lang w:val="en-US" w:eastAsia="zh-CN" w:bidi="ar"/>
        </w:rPr>
        <w:t>29%</w:t>
      </w:r>
      <w:r>
        <w:rPr>
          <w:rFonts w:hint="eastAsia" w:ascii="宋体" w:hAnsi="宋体" w:eastAsia="宋体" w:cs="宋体"/>
          <w:kern w:val="2"/>
          <w:sz w:val="21"/>
          <w:szCs w:val="21"/>
          <w:lang w:val="en-US" w:eastAsia="zh-CN" w:bidi="ar"/>
        </w:rPr>
        <w:t>的关联统治者和</w:t>
      </w:r>
      <w:r>
        <w:rPr>
          <w:rFonts w:hint="default" w:ascii="Times New Roman Regular" w:hAnsi="Times New Roman Regular" w:eastAsia="Times New Roman Regular" w:cs="Times New Roman Regular"/>
          <w:kern w:val="2"/>
          <w:sz w:val="21"/>
          <w:szCs w:val="21"/>
          <w:lang w:val="en-US" w:eastAsia="zh-CN" w:bidi="ar"/>
        </w:rPr>
        <w:t>70%</w:t>
      </w:r>
      <w:r>
        <w:rPr>
          <w:rFonts w:hint="eastAsia" w:ascii="宋体" w:hAnsi="宋体" w:eastAsia="宋体" w:cs="宋体"/>
          <w:kern w:val="2"/>
          <w:sz w:val="21"/>
          <w:szCs w:val="21"/>
          <w:lang w:val="en-US" w:eastAsia="zh-CN" w:bidi="ar"/>
        </w:rPr>
        <w:t>的关联领地，反映出婚姻外交成果的大幅改善。</w:t>
      </w:r>
    </w:p>
    <w:p w14:paraId="3106462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further conduct a mediation analysis (p. 1466–1468) in which they interact the treatment with features that amplify specific mechanisms. Territories whose Chamber ordinance explicitly included a construction mandate showed larger effects on size and compactness. Territories where the ruler had marriageable daughters showed additional consolidation gains. While statistical power is limited (given the small number of territories with these features), the interaction coefficients point in the expected directions and are quantitatively meaningful.</w:t>
      </w:r>
    </w:p>
    <w:p w14:paraId="1EF9C44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还进行了中介分析（第1466–1468页），将处理变量与放大特定机制的特征进行交互。那些财政室条例中明确包含建筑任务的领地，在规模和紧凑度上表现出更大的效应。统治者拥有适婚女儿的领地表现出额外的整合收益。虽然统计检验力有限（因为具有这些特征的领地数量较少），但交互系数的方向符合预期，且在数量上具有实质意义。</w:t>
      </w:r>
    </w:p>
    <w:p w14:paraId="24DE5E0D">
      <w:pPr>
        <w:rPr>
          <w:rFonts w:hint="default" w:ascii="Times New Roman Regular" w:hAnsi="Times New Roman Regular" w:cs="Times New Roman Regular" w:eastAsiaTheme="minorEastAsia"/>
        </w:rPr>
      </w:pPr>
    </w:p>
    <w:p w14:paraId="49385249">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 数据</w:t>
      </w:r>
    </w:p>
    <w:p w14:paraId="39E69D2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is built around a major, novel data collection effort, the scale of which is itself a significant contribution.</w:t>
      </w:r>
    </w:p>
    <w:p w14:paraId="211BA0A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Core dataset — cities and territories (p. 1440, 1446–1447). The authors construct a panel linking each of the 2,382 cities in the Deutsches Städtebuch /ˈdɔʏtʃəs ˈʃtɛːtəbuːx/ (Keyser et al., 1939–2003), a comprehensive encyclopedia of cities in Central Europe, to one or multiple ruling dynasties for every year between 1400 and 1789. For each city-year, they record the kind of rule, the hierarchy of rulers (if multiple), and reasons for any rule changes. From this, they aggregate to the territory level, identifying 636 distinct territorial entities, 102,825 territory-year observations, and 15,568 rule transitions. Some analyses are conducted at the city-year level (826,408 observations) (p. 1440, 1447).</w:t>
      </w:r>
    </w:p>
    <w:p w14:paraId="1FDB0B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Fiscal centralization data (p. 1448). They construct a novel dataset on the dates of Chamber introduction for 39 territories by supplementing and cross-verifying the comprehensive administrative history handbook by Jeserich /ˈjeːzərɪç/, Pohl /poːl/, and von Unruh /fɔn ˈʊnruː/ (1983) with a large number of publications on fiscal and regional history. There is considerable variation in adoption timing: Württemberg /ˈvʏrtəmbɛrk/ and Albertine Saxony were first (early 16th century), while Schaumburg-Lippe /ˈʃaʊmbʊrk ˈlɪpə/, Paderborn /ˈpɑːdɐbɔrn/, and Reuß-Greiz /rɔʏs ɡraɪts/ did not adopt until the 18th century.</w:t>
      </w:r>
    </w:p>
    <w:p w14:paraId="0F8C3B3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Dynastic network data (p. 1447). The authors identify 2,799 rulers of secular territories in an extensive kinship and marriage network of over 133,000 members of noble families sourced from Marek /ˈmɑːrɛk/ (2018). For each individual, dates of birth, death, and marriage, as well as full offspring and marriage links, are known. This allows the calculation of network-based measures of dynastic connectedness.</w:t>
      </w:r>
    </w:p>
    <w:p w14:paraId="6AFB6D8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Spatial data (p. 1447). Lacking detailed year-by-year border maps, the authors approximate territorial shape by drawing Thiessen /ˈtiːsən/ (Voronoi /vɒrɒˈnɔɪ/) polygons around city center-points and aggregating polygons belonging to the same ruler in a given year. This enables the computation of compactness measures. They also construct modified polygons accounting for terrain ruggedness and river velocity as robustness checks.</w:t>
      </w:r>
    </w:p>
    <w:p w14:paraId="122D661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Imperial tax data (p. 1448). Territories are mapped to the Imperial Register (Reichsmatrikel) of 1521, which assigned a fixed share of the Imperial tax burden to each territory. The timing and total size of Imperial tax levies — raised 30 times between 1522 and 1740 — are collected from historical sources.</w:t>
      </w:r>
    </w:p>
    <w:p w14:paraId="3B1169F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Additional covariates (p. 1448–1449). The dataset is enriched with geographic variables (terrain ruggedness, distance to navigable water, agricultural suitability, mining activity), economic indicators (construction events, market grants from the Deutsches Städtebuch), conflict data (attacks to cities), institutional data (advisory councils, Estates/territorial diets), and neighborhood characteristics (military construction in foreign neighboring cities, share of fiscally centralized neighbors).</w:t>
      </w:r>
    </w:p>
    <w:p w14:paraId="65956F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Geographic and temporal coverage: The analysis covers all territories and cities within the Holy Roman Empire (approximating the borders of Germany in 1937), from 1400 to 1789, excluding territories outside the Empire or largely outside the area of analysis (such as Bohemia /boʊˈhiːmiə/ and the Further Austrian territories of the Habsburgs /ˈhæpsbɜːrɡ/) (p. 1447).</w:t>
      </w:r>
    </w:p>
    <w:p w14:paraId="0BB3D69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本文建立在一项大规模的、原创性的数据采集工作之上，其数据规模本身即为重要贡献。</w:t>
      </w:r>
    </w:p>
    <w:p w14:paraId="7F01D9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核心数据集——城市与领地（第1440、1446–1447页）。 作者构建了一个面板数据集，将《德国城市志》（Deutsches Städtebuch /ˈdɔʏtʃəs ˈʃtɛːtəbuːx/，Keyser等人，1939–2003）中全部2,382座中欧城市逐一链接到1400年至1789年间每一年度的一个或多个统治王朝。对每个城市-年度观测值，记录统治类型、统治者层级（如有多个统治者）以及任何统治者变更的原因。从中汇总到领地层面，识别出636个不同的领地实体、102,825个领地-年度观测值和15,568次统治者交接。部分分析在城市-年度层面进行（826,408个观测值）（第1440、1447页）。</w:t>
      </w:r>
    </w:p>
    <w:p w14:paraId="631EC5E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财政集权化数据（第1448页）。 作者通过补充和交叉核验耶泽里希 /ˈjeːzərɪç/、波尔 /poːl/ 和冯·温鲁 /fɔn ˈʊnruː/（1983）的综合行政史手册以及大量财政史和地方史文献，构建了一个关于39个领地引入财政室日期的原创数据集。采纳时间差异很大：符腾堡 /ˈvʏrtəmbɛrk/ 和阿尔贝廷萨克森最早（16世纪初），而绍姆堡-利珀 /ˈʃaʊmbʊrk ˈlɪpə/、帕德博恩 /ˈpɑːdɐbɔrn/ 和罗伊斯-格赖茨 /rɔʏs ɡraɪts/ 直到18世纪才采纳。</w:t>
      </w:r>
    </w:p>
    <w:p w14:paraId="4BF58F8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王朝网络数据（第1447页）。 作者从马雷克 /ˈmɑːrɛk/（2018）的数据中识别出2,799名世俗领地的统治者，这些统治者位于一个包含超过133,000名贵族成员的广泛亲属和婚姻网络中。对每个个体，已知出生、死亡和婚姻日期，以及完整的后代和婚姻关系。这使得计算基于网络的王朝联通性度量成为可能。</w:t>
      </w:r>
    </w:p>
    <w:p w14:paraId="4A0669C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空间数据（第1447页）。 由于缺乏详细的逐年边界地图，作者通过在城市中心点周围绘制泰森 /ˈtiːsən/（沃罗诺伊 /vɒrɒˈnɔɪ/）多边形，并将同一统治者在给定年份的多边形汇总，来近似领地形状。这使紧凑度度量的计算成为可能。作为稳健性检验，他们还构建了考虑地形崎岖度和河流流速的修正多边形。</w:t>
      </w:r>
    </w:p>
    <w:p w14:paraId="6432836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帝国税数据（第1448页）。 领地被映射至1521年帝国税册（Reichsmatrikel），该税册为每个领地分配了固定的帝国税负担份额。帝国税征收的时间和总额——在1522年至1740年间共征收了30次——从历史文献中采集。</w:t>
      </w:r>
    </w:p>
    <w:p w14:paraId="4066315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其他控制变量（第1448–1449页）。 数据集还纳入了地理变量（地形崎岖度、距通航水道距离、农业适宜性、采矿活动）、经济指标（建筑事件、来自《德国城市志》的市场特许权）、冲突数据（城市遭受攻击）、制度数据（顾问委员会、等级会议/领地议会）以及邻域特征（外国邻近城市的军事建设、财政集权化邻域的比例）。</w:t>
      </w:r>
    </w:p>
    <w:p w14:paraId="062293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地理和时间覆盖范围： 分析涵盖神圣罗马帝国内（大致对应1937年德国边界内）的全部领地和城市，时间跨度为1400年至1789年，排除了帝国之外或主要位于分析区域之外的领地（如波西米亚 /boʊˈhiːmiə/ 和哈布斯堡王朝 /ˈhæpsbɜːrɡ/ 的远奥地利领地）（第1447页）。</w:t>
      </w:r>
    </w:p>
    <w:p w14:paraId="3017904D">
      <w:pPr>
        <w:rPr>
          <w:rFonts w:hint="default" w:ascii="Times New Roman Regular" w:hAnsi="Times New Roman Regular" w:cs="Times New Roman Regular" w:eastAsiaTheme="minorEastAsia"/>
        </w:rPr>
      </w:pPr>
    </w:p>
    <w:p w14:paraId="6064030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 方法</w:t>
      </w:r>
    </w:p>
    <w:p w14:paraId="4BC3796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employs a range of econometric methods, all built around a staggered difference-in-differences design with a rich panel dataset.</w:t>
      </w:r>
    </w:p>
    <w:p w14:paraId="2559EE9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Predicting Chamber adoption — hazard model (Section 4, p. 1449–1451). The authors estimate a linear probability model at the territory-decade level to identify predictors of fiscal centralization. The dependent variable is a binary indicator for Chamber adoption in a given decade; once a territory adopts, it exits the sample (reflecting the absorbing state). The regression includes territory and decade fixed effects. Covariates are grouped into geographic, internal composition, commercial/economic, external military pressure, and Imperial tax contribution variables. The key finding is that the interaction of the territory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fixed contribution share with the logged total Imperial tax levy (Roman Months) is the only consistently significant predictor across all specifications, including Cox hazard rate regressions.</w:t>
      </w:r>
    </w:p>
    <w:p w14:paraId="675FDE7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预测财政室建立——风险模型（第4节，第1449–1451页）。 作者在领地-十年层面估计了一个线性概率模型，以识别财政集权化的预测因素。因变量为给定十年内是否建立财政室的二元指标；一旦领地采纳，即退出样本（反映吸收态特征）。回归包含领地和十年固定效应。协变量分为地理、内部构成、商业/经济、外部军事压力和帝国税贡献五组。核心发现是：领地固定贡献份额与帝国税总额（罗马月）对数的交互项是所有设定（包括Cox比例风险回归）中唯一始终显著的预测因素。</w:t>
      </w:r>
    </w:p>
    <w:p w14:paraId="5AB9D13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Main effects — two-way fixed effects (TWFE) regressions (Section 5, p. 1451–1457). For each of the three consolidation outcomes (vanishing, size, compactness), the authors estimate panel regressions at the territory-year or city-year level with territory (and/or city) and year fixed effects. The treatment variable Treated is interacted with Decades Since Treatment to capture the gradually unfolding effect. Standard errors are clustered at the territory level throughout.</w:t>
      </w:r>
    </w:p>
    <w:p w14:paraId="49891FD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主效应——双向固定效应（TWFE）回归（第5节，第1451–1457页）。 对于三个整合结果（消亡、规模、紧凑度）中的每一个，作者在领地-年度或城市-年度层面进行面板回归，包含领地（和/或城市）和年份固定效应。处理变量Treated与Decades Since Treatment交互，以捕捉效应逐步展开的特征。全文均在领地层面进行标准误聚类。</w:t>
      </w:r>
    </w:p>
    <w:p w14:paraId="218DE2C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Event studies (p. 1453, 1455–1457). The authors estimate event-study specifications that interact the treatment indicator with relative decade dummies (for decades before and after treatment). These serve two purposes: demonstrating the absence of immediate pre-trends (supporting the parallel trends assumption) and visualizing the dynamic trajectory of treatment effects. For the vanishing outcome, pre-treatment coefficients cannot be estimated because sample inclusion is conditional on survival to the treatment date.</w:t>
      </w:r>
    </w:p>
    <w:p w14:paraId="0230437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事件研究（第1453、1455–1457页）。 作者估计了事件研究设定，将处理指标与相对十年虚拟变量（处理前后的各十年）交互。这有两个目的：证明不存在即时的处理前趋势（支持平行趋势假设），以及可视化处理效应的动态轨迹。对于消亡结果，由于样本的纳入以存续到处理年份为条件，处理前系数无法估计。</w:t>
      </w:r>
    </w:p>
    <w:p w14:paraId="4F6846D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Robustness — confounders (p. 1457–1458). The authors control for a range of time-varying, territory-specific potential confounders: the external military threat environment, concurrent institutional changes (advisory councils), and the role of Estates/parliaments. They show that Chamber ordinances were issued separately from council ordinances and that accounting for Estates does not alter results. They emphasize that in the Holy Roman Empire, unlike England or France, the taxation-representation nexus was resolved in favor of absolutism.</w:t>
      </w:r>
    </w:p>
    <w:p w14:paraId="7DF3D85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稳健性——混淆因素（第1457–1458页）。 作者控制了一系列随时间变化的、领地特定的潜在混淆因素：外部军事威胁环境、同期的制度变革（顾问委员会）以及等级会议/议会的角色。他们表明财政室条例是独立于委员会条例发布的，且控制等级会议不影响结果。他们强调，与英格兰或法国不同，在神圣罗马帝国中，征税—代议制的关系是以有利于专制主义的方式解决的。</w:t>
      </w:r>
    </w:p>
    <w:p w14:paraId="541288C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Robustness — matching (p. 1459). The authors implement nearest neighbor matching, full matching, and restrict to territories in the 90th percentile of adoption probability (predicted from a cross-section Probit on 1500 characteristics). They repeat these matching strategies for territory size in 1500 and for the Imperial Register contribution share. Results are robust across all approaches.</w:t>
      </w:r>
    </w:p>
    <w:p w14:paraId="1234311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稳健性——匹配（第1459页）。 作者实施了最近邻匹配、完全匹配，并限制在采纳概率第90百分位以上的领地（基于1500年特征的截面Probit模型预测）。他们还对1500年的领地规模和帝国税册贡献份额重复了这些匹配策略。所有方法下结果均稳健。</w:t>
      </w:r>
    </w:p>
    <w:p w14:paraId="3FADABA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Robustness — intensive margin (p. 1459). Restricting to only the 39 territories that eventually adopt a Chamber yields qualitatively and quantitatively similar results, addressing concerns about comparisons between fundamentally different types of territories and potential SUTVA violations/spillovers.</w:t>
      </w:r>
    </w:p>
    <w:p w14:paraId="08BB6A4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稳健性——密集边际（第1459页）。 仅限于最终采纳财政室的39个领地进行分析，结果在定性和定量上相似，回应了关于根本不同类型领地之间比较以及潜在SUTVA违反/溢出效应的关切。</w:t>
      </w:r>
    </w:p>
    <w:p w14:paraId="4019F97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7. Instrumental variables (p. 1459–1460). The authors construct a shift-share IV: the instrument is the maximum cumulative Imperial tax contribution a territory has faced up to year t (the interaction of the fixed Reichsmatrikel share and the quasi-randomly varying total tax levy). Following Borusyak /bɒˈruːʃæk/, Hull /hʌl/, and Jaravel /ˈʒɑːrɑːvɛl/ (2022), the identifying assumption is that the temporal shocks to the overall tax level are orthogonal, even if the territory-specific share may be endogenously determined. The IV estimates are qualitatively similar to OLS but larger in magnitude, consistent with higher returns to Chamber adoption for compliers. The authors note two limitations: the IV only recovers a LATE (for compliers induced by Imperial tax pressure), and because treatment is binary/absorbing while the IV is continuous, the IV cannot estimate the dynamic time-since-treatment effects or event studies.</w:t>
      </w:r>
    </w:p>
    <w:p w14:paraId="5550E22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7. 工具变量（第1459–1460页）。 作者构建了一个份额-冲击（shift-share）工具变量：工具变量为一个领地截至t年所面临的最大累计帝国税贡献（帝国税册固定份额与准随机变化的税收总额的交互项）。依据博鲁沙克 /bɒˈruːʃæk/、赫尔 /hʌl/ 和贾拉韦尔 /ˈʒɑːrɑːvɛl/（2022），识别假设为：对总税额的时间冲击是正交的，即使领地特定份额可能是内生决定的。IV估计值在方向上与OLS一致，但幅度更大，与对遵从者（compliers）而言财政室采纳回报更高相一致。作者指出两个局限：IV仅恢复局部平均处理效应（LATE，针对受帝国税压力驱动进入处理的遵从者）；由于处理是二元/吸收态而IV是连续的，IV无法估计动态的处理后时间效应或事件研究。</w:t>
      </w:r>
    </w:p>
    <w:p w14:paraId="73ED42C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8. Robustness — heterogeneous treatment effects (p. 1460). The authors address concerns from the recent econometrics literature (Sun and Abraham 2021; De Chaisemartin and d'Haultfœuille 2020) about bias in TWFE with staggered adoption. They show robustness to excluding individual territories (ruling out that results are driven by outliers like Prussia /ˈprʌʃə/) and employ the De Chaisemartin and d'Haultfœuille (2024) estimator.</w:t>
      </w:r>
    </w:p>
    <w:p w14:paraId="453FFBA2">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default" w:ascii="Times New Roman Regular" w:hAnsi="Times New Roman Regular" w:eastAsia="宋体" w:cs="Times New Roman Regular"/>
          <w:kern w:val="2"/>
          <w:sz w:val="21"/>
          <w:szCs w:val="21"/>
          <w:lang w:val="en-US" w:eastAsia="zh-CN" w:bidi="ar"/>
        </w:rPr>
        <w:t xml:space="preserve">8. </w:t>
      </w:r>
      <w:r>
        <w:rPr>
          <w:rFonts w:hint="eastAsia" w:ascii="宋体" w:hAnsi="宋体" w:eastAsia="宋体" w:cs="宋体"/>
          <w:kern w:val="2"/>
          <w:sz w:val="21"/>
          <w:szCs w:val="21"/>
          <w:lang w:val="en-US" w:eastAsia="zh-CN" w:bidi="ar"/>
        </w:rPr>
        <w:t>稳健性</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异质性处理效应（第</w:t>
      </w:r>
      <w:r>
        <w:rPr>
          <w:rFonts w:hint="default" w:ascii="Times New Roman Regular" w:hAnsi="Times New Roman Regular" w:eastAsia="Times New Roman Regular" w:cs="Times New Roman Regular"/>
          <w:kern w:val="2"/>
          <w:sz w:val="21"/>
          <w:szCs w:val="21"/>
          <w:lang w:val="en-US" w:eastAsia="zh-CN" w:bidi="ar"/>
        </w:rPr>
        <w:t>1460</w:t>
      </w:r>
      <w:r>
        <w:rPr>
          <w:rFonts w:hint="eastAsia" w:ascii="宋体" w:hAnsi="宋体" w:eastAsia="宋体" w:cs="宋体"/>
          <w:kern w:val="2"/>
          <w:sz w:val="21"/>
          <w:szCs w:val="21"/>
          <w:lang w:val="en-US" w:eastAsia="zh-CN" w:bidi="ar"/>
        </w:rPr>
        <w:t>页）。 作者回应了近期计量经济学文献（</w:t>
      </w:r>
      <w:r>
        <w:rPr>
          <w:rFonts w:hint="default" w:ascii="Times New Roman Regular" w:hAnsi="Times New Roman Regular" w:eastAsia="Times New Roman Regular" w:cs="Times New Roman Regular"/>
          <w:kern w:val="2"/>
          <w:sz w:val="21"/>
          <w:szCs w:val="21"/>
          <w:lang w:val="en-US" w:eastAsia="zh-CN" w:bidi="ar"/>
        </w:rPr>
        <w:t>Sun</w:t>
      </w:r>
      <w:r>
        <w:rPr>
          <w:rFonts w:hint="eastAsia" w:ascii="宋体" w:hAnsi="宋体" w:eastAsia="宋体" w:cs="宋体"/>
          <w:kern w:val="2"/>
          <w:sz w:val="21"/>
          <w:szCs w:val="21"/>
          <w:lang w:val="en-US" w:eastAsia="zh-CN" w:bidi="ar"/>
        </w:rPr>
        <w:t>和</w:t>
      </w:r>
      <w:r>
        <w:rPr>
          <w:rFonts w:hint="default" w:ascii="Times New Roman Regular" w:hAnsi="Times New Roman Regular" w:eastAsia="Times New Roman Regular" w:cs="Times New Roman Regular"/>
          <w:kern w:val="2"/>
          <w:sz w:val="21"/>
          <w:szCs w:val="21"/>
          <w:lang w:val="en-US" w:eastAsia="zh-CN" w:bidi="ar"/>
        </w:rPr>
        <w:t>Abraham 2021</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De Chaisemartin</w:t>
      </w:r>
      <w:r>
        <w:rPr>
          <w:rFonts w:hint="eastAsia" w:ascii="宋体" w:hAnsi="宋体" w:eastAsia="宋体" w:cs="宋体"/>
          <w:kern w:val="2"/>
          <w:sz w:val="21"/>
          <w:szCs w:val="21"/>
          <w:lang w:val="en-US" w:eastAsia="zh-CN" w:bidi="ar"/>
        </w:rPr>
        <w:t>和</w:t>
      </w:r>
      <w:r>
        <w:rPr>
          <w:rFonts w:hint="default" w:ascii="Times New Roman Regular" w:hAnsi="Times New Roman Regular" w:eastAsia="Times New Roman Regular" w:cs="Times New Roman Regular"/>
          <w:kern w:val="2"/>
          <w:sz w:val="21"/>
          <w:szCs w:val="21"/>
          <w:lang w:val="en-US" w:eastAsia="zh-CN" w:bidi="ar"/>
        </w:rPr>
        <w:t>d'Haultfœuille 2020</w:t>
      </w:r>
      <w:r>
        <w:rPr>
          <w:rFonts w:hint="eastAsia" w:ascii="宋体" w:hAnsi="宋体" w:eastAsia="宋体" w:cs="宋体"/>
          <w:kern w:val="2"/>
          <w:sz w:val="21"/>
          <w:szCs w:val="21"/>
          <w:lang w:val="en-US" w:eastAsia="zh-CN" w:bidi="ar"/>
        </w:rPr>
        <w:t>）关于交错采纳设计中</w:t>
      </w:r>
      <w:r>
        <w:rPr>
          <w:rFonts w:hint="default" w:ascii="Times New Roman Regular" w:hAnsi="Times New Roman Regular" w:eastAsia="Times New Roman Regular" w:cs="Times New Roman Regular"/>
          <w:kern w:val="2"/>
          <w:sz w:val="21"/>
          <w:szCs w:val="21"/>
          <w:lang w:val="en-US" w:eastAsia="zh-CN" w:bidi="ar"/>
        </w:rPr>
        <w:t>TWFE</w:t>
      </w:r>
      <w:r>
        <w:rPr>
          <w:rFonts w:hint="eastAsia" w:ascii="宋体" w:hAnsi="宋体" w:eastAsia="宋体" w:cs="宋体"/>
          <w:kern w:val="2"/>
          <w:sz w:val="21"/>
          <w:szCs w:val="21"/>
          <w:lang w:val="en-US" w:eastAsia="zh-CN" w:bidi="ar"/>
        </w:rPr>
        <w:t xml:space="preserve">偏误的关切。他们证明了排除单个领地后结果的稳健性（排除了普鲁士 </w:t>
      </w:r>
      <w:r>
        <w:rPr>
          <w:rFonts w:hint="default" w:ascii="Times New Roman Regular" w:hAnsi="Times New Roman Regular" w:eastAsia="Times New Roman Regular" w:cs="Times New Roman Regular"/>
          <w:kern w:val="2"/>
          <w:sz w:val="21"/>
          <w:szCs w:val="21"/>
          <w:lang w:val="en-US" w:eastAsia="zh-CN" w:bidi="ar"/>
        </w:rPr>
        <w:t xml:space="preserve">/ˈprʌʃə/ </w:t>
      </w:r>
      <w:r>
        <w:rPr>
          <w:rFonts w:hint="eastAsia" w:ascii="宋体" w:hAnsi="宋体" w:eastAsia="宋体" w:cs="宋体"/>
          <w:kern w:val="2"/>
          <w:sz w:val="21"/>
          <w:szCs w:val="21"/>
          <w:lang w:val="en-US" w:eastAsia="zh-CN" w:bidi="ar"/>
        </w:rPr>
        <w:t>等异常值驱动结果的可能），并使用了</w:t>
      </w:r>
      <w:r>
        <w:rPr>
          <w:rFonts w:hint="default" w:ascii="Times New Roman Regular" w:hAnsi="Times New Roman Regular" w:eastAsia="Times New Roman Regular" w:cs="Times New Roman Regular"/>
          <w:kern w:val="2"/>
          <w:sz w:val="21"/>
          <w:szCs w:val="21"/>
          <w:lang w:val="en-US" w:eastAsia="zh-CN" w:bidi="ar"/>
        </w:rPr>
        <w:t>De Chaisemartin</w:t>
      </w:r>
      <w:r>
        <w:rPr>
          <w:rFonts w:hint="eastAsia" w:ascii="宋体" w:hAnsi="宋体" w:eastAsia="宋体" w:cs="宋体"/>
          <w:kern w:val="2"/>
          <w:sz w:val="21"/>
          <w:szCs w:val="21"/>
          <w:lang w:val="en-US" w:eastAsia="zh-CN" w:bidi="ar"/>
        </w:rPr>
        <w:t>和</w:t>
      </w:r>
      <w:r>
        <w:rPr>
          <w:rFonts w:hint="default" w:ascii="Times New Roman Regular" w:hAnsi="Times New Roman Regular" w:eastAsia="Times New Roman Regular" w:cs="Times New Roman Regular"/>
          <w:kern w:val="2"/>
          <w:sz w:val="21"/>
          <w:szCs w:val="21"/>
          <w:lang w:val="en-US" w:eastAsia="zh-CN" w:bidi="ar"/>
        </w:rPr>
        <w:t>d'Haultfœuille</w:t>
      </w:r>
      <w:r>
        <w:rPr>
          <w:rFonts w:hint="eastAsia" w:ascii="宋体" w:hAnsi="宋体" w:eastAsia="宋体" w:cs="宋体"/>
          <w:kern w:val="2"/>
          <w:sz w:val="21"/>
          <w:szCs w:val="21"/>
          <w:lang w:val="en-US" w:eastAsia="zh-CN" w:bidi="ar"/>
        </w:rPr>
        <w:t>（</w:t>
      </w:r>
      <w:r>
        <w:rPr>
          <w:rFonts w:hint="default" w:ascii="Times New Roman Regular" w:hAnsi="Times New Roman Regular" w:eastAsia="Times New Roman Regular" w:cs="Times New Roman Regular"/>
          <w:kern w:val="2"/>
          <w:sz w:val="21"/>
          <w:szCs w:val="21"/>
          <w:lang w:val="en-US" w:eastAsia="zh-CN" w:bidi="ar"/>
        </w:rPr>
        <w:t>2024</w:t>
      </w:r>
      <w:r>
        <w:rPr>
          <w:rFonts w:hint="eastAsia" w:ascii="宋体" w:hAnsi="宋体" w:eastAsia="宋体" w:cs="宋体"/>
          <w:kern w:val="2"/>
          <w:sz w:val="21"/>
          <w:szCs w:val="21"/>
          <w:lang w:val="en-US" w:eastAsia="zh-CN" w:bidi="ar"/>
        </w:rPr>
        <w:t>）的估计量。</w:t>
      </w:r>
    </w:p>
    <w:p w14:paraId="6C37A2F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identifying assumptions: (a) Conditional on territory and year fixed effects, there are no unobserved, time-varying, territory-specific confounders that coincide with Chamber adoption and independently drive consolidation. (b) The parallel trends assumption: absent treatment, treated and control territories would have followed similar trajectories. The event studies support this by showing no immediate pre-trends, though the authors acknowledge that some results are not robust to the inclusion of linear territory trends. (c) For the IV: the exclusion restriction requires that Imperial tax levies affect consolidation outcomes only through their effect on Chamber adoption (i.e., not through direct war exposure, which the authors argue is satisfied since no territory in their analysis was directly affected by Ottoman campaigns, p. 1441). (d) Monotonicity: higher Imperial tax contributions weakly increase the probability of Chamber adoption. (e) SUTVA: the treatment effect for one territory does not depend on the treatment status of other territories, which is partially addressed by the intensive-margin analysis.</w:t>
      </w:r>
    </w:p>
    <w:p w14:paraId="7828DC5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键识别假设：（a）在控制领地和年份固定效应的条件下，不存在与财政室建立同时发生且独立驱动整合的、未观测到的、随时间变化的领地特定混淆因素。（b）平行趋势假设：在没有处理的情况下，处理组和对照组领地将遵循相似的轨迹。事件研究通过显示不存在即时处理前趋势来支持这一点，但作者承认某些结果对加入领地线性趋势不稳健。（c）对于IV：排他性约束要求帝国税征收仅通过其对财政室建立的影响来影响整合结果（即不通过直接的战争暴露，作者论证这一条件得到满足，因为其分析中没有领地直接受到奥斯曼战役的影响，第1441页）。（d）单调性：更高的帝国税贡献弱增加财政室建立的概率。（e）SUTVA：一个领地的处理效应不取决于其他领地的处理状态，这在一定程度上通过密集边际分析得到处理。</w:t>
      </w:r>
    </w:p>
    <w:p w14:paraId="101A0EB8">
      <w:pPr>
        <w:rPr>
          <w:rFonts w:hint="default" w:ascii="Times New Roman Regular" w:hAnsi="Times New Roman Regular" w:cs="Times New Roman Regular" w:eastAsiaTheme="minorEastAsia"/>
        </w:rPr>
      </w:pPr>
    </w:p>
    <w:p w14:paraId="2CEF212D">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Conceptual Framework / 概念框架</w:t>
      </w:r>
    </w:p>
    <w:p w14:paraId="1F50459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Although the authors do not present a fully formalized mathematical model in the main text (a formal treatment is in Supplemental Appendix, Section C, p. 1449), they describe a clear stylized framework for the adoption decision. The key elements are:</w:t>
      </w:r>
    </w:p>
    <w:p w14:paraId="039CF474">
      <w:pPr>
        <w:rPr>
          <w:rFonts w:hint="default" w:ascii="Times New Roman Regular" w:hAnsi="Times New Roman Regular" w:cs="Times New Roman Regular" w:eastAsiaTheme="minorEastAsia"/>
        </w:rPr>
      </w:pPr>
    </w:p>
    <w:p w14:paraId="6547833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 territory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ruler faces fiscal demands that vary over time. These demands come from two sources: internal needs (court expenses, feuds, military costs) and external shocks (Imperial tax levies).</w:t>
      </w:r>
    </w:p>
    <w:p w14:paraId="7AB466D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Without a Chamber, complex fiscal tasks cannot be handled efficiently even by the prince and his advisors. This creates an efficiency loss in raising and spending revenues from demesnes. The size of this efficiency loss depends on the complexity of the fiscal environment, proxied by geographic features (terrain ruggedness, dispersed land holdings) and the composition of demesne types.</w:t>
      </w:r>
    </w:p>
    <w:p w14:paraId="7F5185E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Introducing a Chamber adds a specialized administrative layer to the territorial hierarchy (following Garicano 2000</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knowledge hierarchy model). This layer concentrates fiscal expertise, enabling the systematic auditing of local offices, centralized bookkeeping, and the tracking of revenue flows. For a given level of fiscal demands and demesne size, this narrows the efficiency gap and benefits princely finances.</w:t>
      </w:r>
    </w:p>
    <w:p w14:paraId="79721AC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Against these benefits stand the fixed costs of establishing the Chamber: setting up permanent offices and paying professional bureaucrats.</w:t>
      </w:r>
    </w:p>
    <w:p w14:paraId="201C9F7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key time-varying shock to fiscal demands comes from Imperial taxes: when the Imperial Diet requests a large tax, a territory with a Chamber can process it more efficiently and retain a surplus proportional to the size of the request. This surplus-retention incentive scales with both the territory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fixed share in the Imperial Register and the total tax requested.</w:t>
      </w:r>
    </w:p>
    <w:p w14:paraId="5DB21B2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In each period, the ruler compares the static efficiency gains from a Chamber against its fixed costs. When a sufficiently large Imperial tax request pushes the benefits above the fixed cost threshold, the ruler adopts a Chamber. This explains why Chamber adoption clusters around Imperial Diet sessions that approved large tax levies (p. 1449–1451).</w:t>
      </w:r>
    </w:p>
    <w:p w14:paraId="54328DF3">
      <w:pPr>
        <w:rPr>
          <w:rFonts w:hint="default" w:ascii="Times New Roman Regular" w:hAnsi="Times New Roman Regular" w:cs="Times New Roman Regular" w:eastAsiaTheme="minorEastAsia"/>
        </w:rPr>
      </w:pPr>
    </w:p>
    <w:p w14:paraId="2F53B04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虽然作者在正文中没有提出一个完全形式化的数学模型（正式处理见补充附录C节，第1449页），但他们描述了一个清晰的程式化框架来解释采纳决策。关键要素如下：</w:t>
      </w:r>
    </w:p>
    <w:p w14:paraId="2376F560">
      <w:pPr>
        <w:rPr>
          <w:rFonts w:hint="default" w:ascii="Times New Roman Regular" w:hAnsi="Times New Roman Regular" w:cs="Times New Roman Regular" w:eastAsiaTheme="minorEastAsia"/>
        </w:rPr>
      </w:pPr>
    </w:p>
    <w:p w14:paraId="189A2E7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领地统治者面临随时间变化的财政需求。这些需求来自两个来源：内部需要（宫廷开支、封建争斗、军事费用）和外部冲击（帝国税征收）。</w:t>
      </w:r>
    </w:p>
    <w:p w14:paraId="4554D09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没有财政室的情况下，即使是亲王和他的顾问也无法有效处理复杂的财政任务。这导致了从领地产业中征收和支出收入时的效率损失。效率损失的大小取决于财政环境的复杂程度，以地理特征（地形崎岖度、分散的土地持有）和领地产业类型的构成为代理。</w:t>
      </w:r>
    </w:p>
    <w:p w14:paraId="030D03A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引入财政室为领地层级增添了一个专业化行政层（遵循Garicano 2000的知识层级模型）。该层级集中了财政专业知识，使地方办公室的系统化审计、集中化簿记和收入流跟踪成为可能。在给定的财政需求和领地规模下，这缩小了效率差距并有益于亲王的财政。</w:t>
      </w:r>
    </w:p>
    <w:p w14:paraId="236553C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与这些收益相对的是建立财政室的固定成本：设立常设机构和支付专业官僚的费用。</w:t>
      </w:r>
    </w:p>
    <w:p w14:paraId="0BF2B32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财政需求的关键时变冲击来自帝国税：当帝国议会要求征收大额税款时，拥有财政室的领地能够更高效地处理税款并截留一个与请求规模成正比的盈余。这一盈余截留激励随领地在帝国税册中的固定份额和请求的税额总量而增大。</w:t>
      </w:r>
    </w:p>
    <w:p w14:paraId="1F13C17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每个时期，统治者比较财政室带来的静态效率收益与其固定成本。当一次足够大的帝国税请求使收益超过固定成本门槛时，统治者就采纳财政室。这解释了为何财政室的建立集中在批准大额税收的帝国议会会议前后（第1449–1451页）。</w:t>
      </w:r>
    </w:p>
    <w:p w14:paraId="6E6503B9">
      <w:pPr>
        <w:rPr>
          <w:rFonts w:hint="default" w:ascii="Times New Roman Regular" w:hAnsi="Times New Roman Regular" w:cs="Times New Roman Regular" w:eastAsiaTheme="minorEastAsia"/>
        </w:rPr>
      </w:pPr>
    </w:p>
    <w:p w14:paraId="33DE197C">
      <w:pPr>
        <w:rPr>
          <w:rFonts w:hint="default" w:ascii="Times New Roman Regular" w:hAnsi="Times New Roman Regular" w:cs="Times New Roman Regular" w:eastAsiaTheme="minorEastAsia"/>
        </w:rPr>
      </w:pPr>
    </w:p>
    <w:p w14:paraId="673550D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What is the paper</w:t>
      </w:r>
      <w:r>
        <w:rPr>
          <w:rFonts w:hint="default" w:ascii="Times New Roman Regular" w:hAnsi="Times New Roman Regular" w:cs="Times New Roman Regular"/>
          <w:highlight w:val="yellow"/>
          <w:lang w:eastAsia="zh-CN"/>
        </w:rPr>
        <w:t>’s</w:t>
      </w:r>
      <w:r>
        <w:rPr>
          <w:rFonts w:hint="default" w:ascii="Times New Roman Regular" w:hAnsi="Times New Roman Regular" w:cs="Times New Roman Regular" w:eastAsiaTheme="minorEastAsia"/>
          <w:highlight w:val="yellow"/>
        </w:rPr>
        <w:t xml:space="preserve"> main contribution? / 主要贡献</w:t>
      </w:r>
    </w:p>
    <w:p w14:paraId="2A5B2E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makes several significant contributions that explain its publication in Econometrica, the field</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most prestigious journal.</w:t>
      </w:r>
    </w:p>
    <w:p w14:paraId="5B0DC39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Original, large-scale historical data (p. 1440, 1446–1448). The construction of a panel dataset linking 2,382 cities to their rulers for every year over nearly four centuries (1400–1789), encompassing 636 territories, 102,825 territory-year observations, and a kinship/marriage network of 133,000+ nobles, represents a data collection effort of exceptional scope. This enables the observation of all territories — not just ex post successful ones like Prussia or England — thereby overcoming the survivorship bias that Tilly (1975) identified as a fundamental problem in the study of European state formation.</w:t>
      </w:r>
    </w:p>
    <w:p w14:paraId="06BB853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原创性的大规模历史数据（第1440、1446–1448页）。 构建了一个将2,382座城市与其统治者在近四个世纪（1400–1789）中每一年进行链接的面板数据集，涵盖636个领地、102,825个领地-年度观测值以及超过133,000名贵族的亲属/婚姻网络，代表了一项范围非凡的数据采集工作。这使得对所有领地——而非仅仅事后成功的如普鲁士或英格兰——的观测成为可能，从而克服了蒂利（1975）所指出的欧洲国家形成研究中的根本性生存者偏差问题。</w:t>
      </w:r>
    </w:p>
    <w:p w14:paraId="7661524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Credibly establishing the causal effect of fiscal institutions on state consolidation (p. 1440–1441, 1457–1460). The paper provides the most rigorous quantitative evidence to date for the long-theorized but never well-documented link between fiscal capacity and state survival/growth. It does so through a battery of identification strategies: TWFE with event studies showing no pre-trends, extensive controls for time-varying confounders, multiple matching strategies, intensive-margin analysis, a shift-share IV exploiting the quasi-random Imperial tax shocks, and robust estimators for heterogeneous treatment effects in staggered designs.</w:t>
      </w:r>
    </w:p>
    <w:p w14:paraId="1F774F7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可信地建立了财政制度对国家整合的因果效应（第1440–1441、1457–1460页）。 本文为长期以来在理论上被假设但从未得到充分记录的财政能力与国家存续/增长之间的联系，提供了迄今为止最严格的定量证据。这通过一系列识别策略来实现：具有事件研究（显示无处理前趋势）的TWFE、对时变混淆因素的广泛控制、多种匹配策略、密集边际分析、利用准随机帝国税冲击的份额-冲击工具变量，以及针对交错设计中异质性处理效应的稳健估计量。</w:t>
      </w:r>
    </w:p>
    <w:p w14:paraId="165F9EC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Identifying mechanisms through which fiscal institutions drive consolidation (p. 1460–1468). The paper goes beyond a reduced-form finding by documenting four specific channels: revenues, pawn reduction, military investment, and marriage diplomacy. This granular mechanism analysis connects the institutional innovation to its ultimate effects through observable, intermediate outcomes.</w:t>
      </w:r>
    </w:p>
    <w:p w14:paraId="36D0247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识别财政制度驱动整合的机制（第1460–1468页）。 本文超越了简约式发现，记录了四个具体渠道：收入增加、质押减少、军事投资和婚姻外交。这种精细的机制分析将制度创新与其最终效应通过可观测的中间结果联系起来。</w:t>
      </w:r>
    </w:p>
    <w:p w14:paraId="0AF2CDA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4. Enriching the theory of the </w:t>
      </w:r>
      <w:r>
        <w:rPr>
          <w:rFonts w:hint="default" w:ascii="Times New Roman Regular" w:hAnsi="Times New Roman Regular" w:cs="Times New Roman Regular"/>
          <w:lang w:eastAsia="zh-CN"/>
        </w:rPr>
        <w:t>“bifurcation”</w:t>
      </w:r>
      <w:r>
        <w:rPr>
          <w:rFonts w:hint="default" w:ascii="Times New Roman Regular" w:hAnsi="Times New Roman Regular" w:cs="Times New Roman Regular" w:eastAsiaTheme="minorEastAsia"/>
        </w:rPr>
        <w:t xml:space="preserve"> between absolutism and parliamentarism (p. 1442, 1468–1469). By showing that in the Holy Roman Empire, fiscal capacity building occurred outside and at the expense of representative institutions (Estates), the paper adds an important dimension to the literature on the divergent paths of European state development — complementing the well-studied cases of England (parliamentary control) and France/Spain (Estates sidelined). The finding that Chambers, as fiscal bureaucracies, tilted states toward absolutism offers a concrete institutional mechanism for this divergence.</w:t>
      </w:r>
    </w:p>
    <w:p w14:paraId="4C3A95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丰富了专制主义与议会主义之间</w:t>
      </w:r>
      <w:r>
        <w:rPr>
          <w:rFonts w:hint="default" w:ascii="Times New Roman Regular" w:hAnsi="Times New Roman Regular" w:cs="Times New Roman Regular"/>
          <w:lang w:eastAsia="zh-CN"/>
        </w:rPr>
        <w:t>“分岔”</w:t>
      </w:r>
      <w:r>
        <w:rPr>
          <w:rFonts w:hint="default" w:ascii="Times New Roman Regular" w:hAnsi="Times New Roman Regular" w:cs="Times New Roman Regular" w:eastAsiaTheme="minorEastAsia"/>
        </w:rPr>
        <w:t>的理论（第1442、1468–1469页）。 通过表明在神圣罗马帝国中，财政能力建设发生在代议制度（等级会议）之外且以其为代价，本文为欧洲国家发展分化路径的文献增添了一个重要维度——补充了已被充分研究的英格兰案例（议会控制）和法国/西班牙案例（等级会议被边缘化）。财政室作为财政官僚机构推动国家走向专制主义这一发现，为这种分化提供了一个具体的制度机制。</w:t>
      </w:r>
    </w:p>
    <w:p w14:paraId="4799EE7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Bridging historical and contemporary research on fiscal capacity (p. 1442). The paper explicitly connects the early modern European experience to contemporary developing economies that feature similar information gaps and low fiscal capacity, making its findings relevant to a broader audience studying state building in fragile states.</w:t>
      </w:r>
    </w:p>
    <w:p w14:paraId="201E309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连接历史与当代财政能力研究（第1442页）。 本文明确将近代早期欧洲的经验与当代发展中经济体——这些经济体具有类似的信息差距和低财政能力——联系起来，使其发现对研究脆弱国家国家建设的更广泛受众具有相关性。</w:t>
      </w:r>
    </w:p>
    <w:p w14:paraId="79118269">
      <w:pPr>
        <w:rPr>
          <w:rFonts w:hint="default" w:ascii="Times New Roman Regular" w:hAnsi="Times New Roman Regular" w:cs="Times New Roman Regular" w:eastAsiaTheme="minorEastAsia"/>
        </w:rPr>
      </w:pPr>
    </w:p>
    <w:p w14:paraId="67D55D8D">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What are limitations and how to address them? / 局限性与改进建议</w:t>
      </w:r>
    </w:p>
    <w:p w14:paraId="407EFFB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Professional scholars and researchers would likely identify the following limitations:</w:t>
      </w:r>
    </w:p>
    <w:p w14:paraId="3E6C749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1. The causal identification challenge of a slowly unfolding treatment. The authors themselves acknowledge (p. 1458) that because the effect of Chambers takes hold gradually over decades, it is difficult to disentangle the treatment effect from pre-existing differences in long-term trends. Indeed, they note that some results are not robust to the inclusion of linear territory-specific trends. This is a fundamental tension: the gradual nature of the effect is historically plausible and theoretically expected, but it weakens the canonical difference-in-differences identification strategy. A potential improvement might involve more aggressively exploiting the timing variation in Chamber adoption — for instance, through regression discontinuity designs around specific Imperial Diet sessions, or by developing more refined measures of the </w:t>
      </w:r>
      <w:r>
        <w:rPr>
          <w:rFonts w:hint="default" w:ascii="Times New Roman Regular" w:hAnsi="Times New Roman Regular" w:cs="Times New Roman Regular"/>
          <w:lang w:eastAsia="zh-CN"/>
        </w:rPr>
        <w:t>“dosage”</w:t>
      </w:r>
      <w:r>
        <w:rPr>
          <w:rFonts w:hint="default" w:ascii="Times New Roman Regular" w:hAnsi="Times New Roman Regular" w:cs="Times New Roman Regular" w:eastAsiaTheme="minorEastAsia"/>
        </w:rPr>
        <w:t xml:space="preserve"> of fiscal centralization rather than treating it as a binary, absorbing state.</w:t>
      </w:r>
    </w:p>
    <w:p w14:paraId="6B0A00B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缓慢展开的处理效应带来的因果识别挑战。 作者自己承认（第1458页），由于财政室的效应在数十年间逐步展开，难以将处理效应与长期趋势的既有差异区分开来。事实上，他们指出某些结果在加入领地特定的线性趋势后不再稳健。这是一个根本性的张力：效应的渐进性在历史上是合理的且在理论上是预期的，但它削弱了经典双重差分识别策略的效力。潜在改进可能包括更积极地利用财政室建立的时间变异——例如，围绕特定帝国议会会议进行断点回归设计，或者开发更精细的财政集权化</w:t>
      </w:r>
      <w:r>
        <w:rPr>
          <w:rFonts w:hint="default" w:ascii="Times New Roman Regular" w:hAnsi="Times New Roman Regular" w:cs="Times New Roman Regular"/>
          <w:lang w:eastAsia="zh-CN"/>
        </w:rPr>
        <w:t>“剂量”</w:t>
      </w:r>
      <w:r>
        <w:rPr>
          <w:rFonts w:hint="default" w:ascii="Times New Roman Regular" w:hAnsi="Times New Roman Regular" w:cs="Times New Roman Regular" w:eastAsiaTheme="minorEastAsia"/>
        </w:rPr>
        <w:t>度量，而非将其视为二元吸收态。</w:t>
      </w:r>
    </w:p>
    <w:p w14:paraId="15E2627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Measurement of fiscal centralization as a binary variable. The Chamber adoption indicator is a coarse measure. Chambers varied in size, mandate, professionalization, and effectiveness across territories and over time. Treating all Chambers as identical likely masks substantial heterogeneity. Future research could attempt to code the </w:t>
      </w:r>
      <w:r>
        <w:rPr>
          <w:rFonts w:hint="default" w:ascii="Times New Roman Regular" w:hAnsi="Times New Roman Regular" w:cs="Times New Roman Regular"/>
          <w:lang w:eastAsia="zh-CN"/>
        </w:rPr>
        <w:t>“intensity”</w:t>
      </w:r>
      <w:r>
        <w:rPr>
          <w:rFonts w:hint="default" w:ascii="Times New Roman Regular" w:hAnsi="Times New Roman Regular" w:cs="Times New Roman Regular" w:eastAsiaTheme="minorEastAsia"/>
        </w:rPr>
        <w:t xml:space="preserve"> of fiscal centralization — for example, the number of officials, the scope of the mandate, or the frequency of audits — to capture variation in the quality of the institutional reform rather than just its presence.</w:t>
      </w:r>
    </w:p>
    <w:p w14:paraId="70FC88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财政集权化作为二元变量的度量。 财政室建立指标是一个粗糙的度量。不同领地和不同时期的财政室在规模、职权范围、专业化程度和有效性上存在差异。将所有财政室视为相同可能掩盖了实质性的异质性。未来研究可以尝试编码财政集权化的</w:t>
      </w:r>
      <w:r>
        <w:rPr>
          <w:rFonts w:hint="default" w:ascii="Times New Roman Regular" w:hAnsi="Times New Roman Regular" w:cs="Times New Roman Regular"/>
          <w:lang w:eastAsia="zh-CN"/>
        </w:rPr>
        <w:t>“强度”</w:t>
      </w:r>
      <w:r>
        <w:rPr>
          <w:rFonts w:hint="default" w:ascii="Times New Roman Regular" w:hAnsi="Times New Roman Regular" w:cs="Times New Roman Regular" w:eastAsiaTheme="minorEastAsia"/>
        </w:rPr>
        <w:t>——例如，官员数量、职权范围或审计频率——以捕捉制度改革质量的变异，而非仅仅其存在与否。</w:t>
      </w:r>
    </w:p>
    <w:p w14:paraId="5624BEE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Limited direct evidence on revenues. The revenue mechanism is supported by data from only two territories (Hesse and Albertine Saxony) (p. 1460–1461). While the pawning evidence provides a clever indirect test for the broader sample, the direct link between Chamber adoption and increased revenues remains descriptive and based on a very small number of cases. This is partly a data constraint, since systematic recordkeeping was itself a consequence of the Chamber. Scholars might recommend systematic archival efforts to gather revenue data for additional territories.</w:t>
      </w:r>
    </w:p>
    <w:p w14:paraId="1E830B4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收入方面直接证据有限。 收入机制仅有来自两个领地（黑森和阿尔贝廷萨克森）的数据支持（第1460–1461页）。虽然质押证据为更广泛样本提供了巧妙的间接检验，但财政室建立与收入增加之间的直接联系仍然是描述性的，且基于极少数案例。这部分是数据约束，因为系统化的记录保存本身就是财政室的产物。学者可能建议对更多领地进行系统性的档案收集以获取收入数据。</w:t>
      </w:r>
    </w:p>
    <w:p w14:paraId="3904F59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Potential reverse causality and selection. While the authors control for many confounders and employ an IV, the possibility remains that territories on an upward trajectory (due to unobserved ruler quality, geopolitical luck, or cultural factors) were both more likely to adopt a Chamber and to consolidate. The IV addresses this for compliers, but the LATE may not generalize to always-takers or never-takers. The larger IV estimates compared to OLS could reflect either higher returns for compliers or remaining endogeneity in the OLS specification.</w:t>
      </w:r>
    </w:p>
    <w:p w14:paraId="11D163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潜在的逆向因果与选择偏差。 尽管作者控制了许多混淆因素并使用了IV，仍然存在这样的可能性：处于上升轨道的领地（由于不可观测的统治者素质、地缘政治运气或文化因素）既更可能建立财政室，也更可能实现整合。IV针对遵从者处理了这一问题，但LATE可能无法推广至始终处理者或从不处理者。IV估计值大于OLS可能反映的是遵从者的更高回报，也可能是OLS设定中残留的内生性。</w:t>
      </w:r>
    </w:p>
    <w:p w14:paraId="39DA00F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The SUTVA concern. State consolidation in the Holy Roman Empire was inherently a competitive, zero-sum process: one territory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gain in cities was another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loss. The treatment effect of one territory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Chamber adoption therefore likely depends on the treatment status of its neighbors and competitors. While the intensive-margin analysis (restricting to the 39 eventually-treated territories) partially addresses this, a full account of strategic interaction and spillovers would require a game-theoretic or spatial econometric framework.</w:t>
      </w:r>
    </w:p>
    <w:p w14:paraId="6D42EFF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SUTVA问题。 神圣罗马帝国中的国家整合在本质上是一个竞争性的零和过程：一个领地城市的增加就是另一个领地的损失。因此，一个领地建立财政室的处理效应很可能取决于其邻居和竞争者的处理状态。虽然密集边际分析（限制在39个最终被处理的领地）部分地处理了这一问题，但对战略互动和溢出效应的完整解释将需要博弈论或空间计量经济学框架。</w:t>
      </w:r>
    </w:p>
    <w:p w14:paraId="47954F3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Generalizability. The Holy Roman Empire is a unique institutional setting — a loose confederation of largely sovereign states with overlapping jurisdictions, elected emperors, and a particular legal/constitutional framework. Whether the findings generalize to state formation in other parts of Europe (France, England, Iberia), let alone to state building in contemporary developing countries, is not self-evident and would require careful comparative analysis.</w:t>
      </w:r>
    </w:p>
    <w:p w14:paraId="0768780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可推广性。 神圣罗马帝国是一个独特的制度环境——一个由大量基本上拥有主权的国家组成的松散邦联，具有重叠的管辖权、选举制皇帝和特定的法律/宪制框架。这些发现是否可以推广至欧洲其他地区（法国、英格兰、伊比利亚）的国家形成，更不用说推广至当代发展中国家的国家建设，并非不言而喻，需要谨慎的比较分析。</w:t>
      </w:r>
    </w:p>
    <w:p w14:paraId="5EB0FDBF">
      <w:pPr>
        <w:rPr>
          <w:rFonts w:hint="default" w:ascii="Times New Roman Regular" w:hAnsi="Times New Roman Regular" w:cs="Times New Roman Regular" w:eastAsiaTheme="minorEastAsia"/>
        </w:rPr>
      </w:pPr>
    </w:p>
    <w:p w14:paraId="78AB22B5">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Extensions: What extensions or new research questions does this paper inspire? / 拓展与新研究问题</w:t>
      </w:r>
    </w:p>
    <w:p w14:paraId="76B51E8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Strategic Interaction and the Spatial Dynamics of State Consolidation</w:t>
      </w:r>
    </w:p>
    <w:p w14:paraId="010319F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战略互动与国家整合的空间动态</w:t>
      </w:r>
    </w:p>
    <w:p w14:paraId="5A7347A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controls for several neighbor-level characteristics — military construction in foreign neighboring cities, exposure to warfare, and the share of fiscally centralized neighbors — and acknowledges that spillovers and SUTVA violations are genuine concerns. The intensive-margin analysis, which restricts the sample to the 39 eventually-treated territories, partially addresses this. But the fundamental issue remains: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outcomes are not independently generated across territories. One territory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gain in cities is, by definition, another territory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loss. A territory that becomes better defended through Chamber-funded military investment simultaneously alters the strategic environment — and hence the optimal strategies — of its neighbors. State consolidation in the Holy Roman Empire /ˌhoʊli ˈroʊmən ˈɛmpaɪər/ was a competitive, interactive process, not a collection of parallel, independent trajectories.</w:t>
      </w:r>
    </w:p>
    <w:p w14:paraId="3F6C0F7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控制了若干邻域层面的特征——外国邻近城市的军事建设、战争暴露以及财政集权化邻域的比例——并承认溢出效应和SUTVA违反是真实存在的问题。将样本限制在最终被处理的39个领地的密集边际分析部分回应了这一关切。但根本问题依然存在：本文的结果变量并非在各领地之间独立生成的。一个领地城市数量的增加，在定义上就是另一个领地的损失。一个通过财政室资助的军事投资而变得更易防守的领地，同时改变了其邻居的战略环境——从而也改变了邻居的最优策略。神圣罗马帝国 /ˌhoʊli ˈroʊmən ˈɛmpaɪər/ 的国家整合是一个竞争性的、互动的过程，而非一系列平行的、独立的轨迹。</w:t>
      </w:r>
    </w:p>
    <w:p w14:paraId="577A43C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most natural extension, therefore, is to move from treating neighbor-level variables as confounders to be controlled away, to modeling them as core components of an interactive structure. The same variable — </w:t>
      </w:r>
      <w:r>
        <w:rPr>
          <w:rFonts w:hint="default" w:ascii="Times New Roman Regular" w:hAnsi="Times New Roman Regular" w:cs="Times New Roman Regular"/>
          <w:lang w:eastAsia="zh-CN"/>
        </w:rPr>
        <w:t>“share of fiscally centralized neighbors”</w:t>
      </w:r>
      <w:r>
        <w:rPr>
          <w:rFonts w:hint="default" w:ascii="Times New Roman Regular" w:hAnsi="Times New Roman Regular" w:cs="Times New Roman Regular" w:eastAsiaTheme="minorEastAsia"/>
        </w:rPr>
        <w:t xml:space="preserve"> — plays a fundamentally different role depending on the theoretical framework. In the original paper, it is a nuisance variable that might bias the treatment effect estimate if left uncontrolled. In an interactive framework, it becomes a key explanatory variable: does a neighbor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centralization raise or lower the returns to one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centralization? This is not merely a technical upgrade but a shift in theoretical perspective.</w:t>
      </w:r>
    </w:p>
    <w:p w14:paraId="6512DA5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因此，最自然的拓展方向是：不再把邻域层面的变量当作需要控制掉的混淆因素，而是将它们建模为互动结构的核心组成部分。同一个变量——</w:t>
      </w:r>
      <w:r>
        <w:rPr>
          <w:rFonts w:hint="default" w:ascii="Times New Roman Regular" w:hAnsi="Times New Roman Regular" w:cs="Times New Roman Regular"/>
          <w:lang w:eastAsia="zh-CN"/>
        </w:rPr>
        <w:t>“财政集权化邻域的比例”</w:t>
      </w:r>
      <w:r>
        <w:rPr>
          <w:rFonts w:hint="default" w:ascii="Times New Roman Regular" w:hAnsi="Times New Roman Regular" w:cs="Times New Roman Regular" w:eastAsiaTheme="minorEastAsia"/>
        </w:rPr>
        <w:t>——在不同的理论框架下扮演着根本不同的角色。在原文中，它是一个如不控制就可能导致处理效应估计偏误的干扰变量。在互动框架中，它变成了一个核心解释变量：邻居的集权化是提高还是降低了本领地集权化的回报？这不仅仅是技术升级，而是理论视角的转换。</w:t>
      </w:r>
    </w:p>
    <w:p w14:paraId="0E5E18A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Such a framework could refine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causal interpretation in three specific ways. First, it could decompose the estimated treatment effect into the direct effect of a territory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Chamber adoption and the indirect effects operating through changes in the strategic environment — whether neighbor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centralization creates threat effects (competitive pressure to also centralize), demonstration effects (learning about the benefits of centralization), or both. Second, it could sharpen the mechanism analysis.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military mechanism currently runs from centralization to increased military construction to better defense. But an interactive model would ask: does military construction increase because the territory is richer (a direct fiscal capacity effect), or because neighbor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centralization has raised the external threat level, compelling a defensive response regardless of one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fiscal institutions? Disentangling these two channels would separate the </w:t>
      </w:r>
      <w:r>
        <w:rPr>
          <w:rFonts w:hint="default" w:ascii="Times New Roman Regular" w:hAnsi="Times New Roman Regular" w:cs="Times New Roman Regular"/>
          <w:lang w:eastAsia="zh-CN"/>
        </w:rPr>
        <w:t>“fiscal capacity”</w:t>
      </w:r>
      <w:r>
        <w:rPr>
          <w:rFonts w:hint="default" w:ascii="Times New Roman Regular" w:hAnsi="Times New Roman Regular" w:cs="Times New Roman Regular" w:eastAsiaTheme="minorEastAsia"/>
        </w:rPr>
        <w:t xml:space="preserve"> story from the </w:t>
      </w:r>
      <w:r>
        <w:rPr>
          <w:rFonts w:hint="default" w:ascii="Times New Roman Regular" w:hAnsi="Times New Roman Regular" w:cs="Times New Roman Regular"/>
          <w:lang w:eastAsia="zh-CN"/>
        </w:rPr>
        <w:t>“strategic environment”</w:t>
      </w:r>
      <w:r>
        <w:rPr>
          <w:rFonts w:hint="default" w:ascii="Times New Roman Regular" w:hAnsi="Times New Roman Regular" w:cs="Times New Roman Regular" w:eastAsiaTheme="minorEastAsia"/>
        </w:rPr>
        <w:t xml:space="preserve"> story. Third, it could clarify whether Chamber adoption across territories exhibits strategic complementarity (each territory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adoption raises the returns to neighbor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adoption, generating cascading centralization) or strategic substitutability (one territory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adoption reduces neighbor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incentives by making competition less winnable). This distinction matters for understanding the aggregate dynamics of state consolidation: complementarity would predict clustering and tipping points, while substitutability would predict stable asymmetries.</w:t>
      </w:r>
    </w:p>
    <w:p w14:paraId="4F3DE8E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样一个框架可以在三个具体方面精炼本文的因果解释。第一，它可以将估计的处理效应分解为领地自身建立财政室的直接效应和通过战略环境变化运作的间接效应——即邻居的集权化究竟产生了威胁效应（迫使本领地也集权化的竞争压力）、示范效应（关于集权化收益的学习），还是两者兼有。第二，它可以锐化机制分析。本文的军事机制目前是从集权化到更多军事建设到更好防御的链条。但互动模型会追问：军事建设的增加，是因为领地本身更富有（直接的财政能力效应），还是因为邻居的集权化提高了外部威胁水平，迫使本领地无论自身财政制度如何都必须加大防御投入？将这两个渠道拆分开来，就能把</w:t>
      </w:r>
      <w:r>
        <w:rPr>
          <w:rFonts w:hint="default" w:ascii="Times New Roman Regular" w:hAnsi="Times New Roman Regular" w:cs="Times New Roman Regular"/>
          <w:lang w:eastAsia="zh-CN"/>
        </w:rPr>
        <w:t>“财政能力”</w:t>
      </w:r>
      <w:r>
        <w:rPr>
          <w:rFonts w:hint="default" w:ascii="Times New Roman Regular" w:hAnsi="Times New Roman Regular" w:cs="Times New Roman Regular" w:eastAsiaTheme="minorEastAsia"/>
        </w:rPr>
        <w:t>的故事与</w:t>
      </w:r>
      <w:r>
        <w:rPr>
          <w:rFonts w:hint="default" w:ascii="Times New Roman Regular" w:hAnsi="Times New Roman Regular" w:cs="Times New Roman Regular"/>
          <w:lang w:eastAsia="zh-CN"/>
        </w:rPr>
        <w:t>“战略环境变化”</w:t>
      </w:r>
      <w:r>
        <w:rPr>
          <w:rFonts w:hint="default" w:ascii="Times New Roman Regular" w:hAnsi="Times New Roman Regular" w:cs="Times New Roman Regular" w:eastAsiaTheme="minorEastAsia"/>
        </w:rPr>
        <w:t>的故事区别开。第三，它可以澄清各领地的财政室建立之间呈现的是战略互补性（每个领地的建立提高了邻居建立的回报，产生级联式集权化）还是战略替代性（一个领地的建立降低了邻居的激励，因为竞争变得更难取胜）。这一区分对于理解国家整合的宏观动态至关重要：互补性预测的是集群化和临界点效应，而替代性预测的是稳定的不对称格局。</w:t>
      </w:r>
    </w:p>
    <w:p w14:paraId="71461411">
      <w:pP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The data infrastructure for this extension already exists within the original paper. The authors have constructed annual territory-city control changes, neighbor identification for each city, foreign border information, neighbor military construction, and the share of fiscally centralized neighbors. What is needed is not a new data collection effort, but a reinterpretation of existing variables within an explicitly interactive theoretical and econometric framework — upgrading </w:t>
      </w:r>
      <w:r>
        <w:rPr>
          <w:rFonts w:hint="default" w:ascii="Times New Roman Regular" w:hAnsi="Times New Roman Regular" w:cs="Times New Roman Regular"/>
          <w:lang w:eastAsia="zh-CN"/>
        </w:rPr>
        <w:t>“controls”</w:t>
      </w:r>
      <w:r>
        <w:rPr>
          <w:rFonts w:hint="default" w:ascii="Times New Roman Regular" w:hAnsi="Times New Roman Regular" w:cs="Times New Roman Regular" w:eastAsiaTheme="minorEastAsia"/>
        </w:rPr>
        <w:t xml:space="preserve"> into </w:t>
      </w:r>
      <w:r>
        <w:rPr>
          <w:rFonts w:hint="default" w:ascii="Times New Roman Regular" w:hAnsi="Times New Roman Regular" w:cs="Times New Roman Regular"/>
          <w:lang w:eastAsia="zh-CN"/>
        </w:rPr>
        <w:t>“interaction structure.”</w:t>
      </w:r>
    </w:p>
    <w:p w14:paraId="0529DEE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拓展所需的数据基础设施已经存在于原文之中。作者已经构建了年度领地-城市控制变更、每座城市的邻居识别、外国边界信息、邻居军事建设以及财政集权化邻域比例等变量。所需要的不是新的数据采集工作，而是在一个明确的互动理论和计量经济学框架中重新解读现有变量——将</w:t>
      </w:r>
      <w:r>
        <w:rPr>
          <w:rFonts w:hint="default" w:ascii="Times New Roman Regular" w:hAnsi="Times New Roman Regular" w:cs="Times New Roman Regular"/>
          <w:lang w:eastAsia="zh-CN"/>
        </w:rPr>
        <w:t>“控制变量”</w:t>
      </w:r>
      <w:r>
        <w:rPr>
          <w:rFonts w:hint="default" w:ascii="Times New Roman Regular" w:hAnsi="Times New Roman Regular" w:cs="Times New Roman Regular" w:eastAsiaTheme="minorEastAsia"/>
        </w:rPr>
        <w:t>升级为</w:t>
      </w:r>
      <w:r>
        <w:rPr>
          <w:rFonts w:hint="default" w:ascii="Times New Roman Regular" w:hAnsi="Times New Roman Regular" w:cs="Times New Roman Regular"/>
          <w:lang w:eastAsia="zh-CN"/>
        </w:rPr>
        <w:t>“互动结构”</w:t>
      </w:r>
      <w:r>
        <w:rPr>
          <w:rFonts w:hint="default" w:ascii="Times New Roman Regular" w:hAnsi="Times New Roman Regular" w:cs="Times New Roman Regular" w:eastAsiaTheme="minorEastAsia"/>
        </w:rPr>
        <w:t>。</w:t>
      </w:r>
    </w:p>
    <w:p w14:paraId="02DBA9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The Role of Human Capital and Bureaucratic Professionalization</w:t>
      </w:r>
    </w:p>
    <w:p w14:paraId="7D52FCA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人力资本与官僚专业化的角色</w:t>
      </w:r>
    </w:p>
    <w:p w14:paraId="5E10B92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theoretical core is not simply that rulers created a new organization, but more specifically that the Chamber functioned as a knowledge-concentrating, collegially organized, specialized administrative layer that reduced the efficiency loss arising from the princely administration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inability to handle fiscal complexity. This argument is explicitly grounded in Garicano /ɡɑːriˈtʃɑːnoʊ/ (2000)</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theory of knowledge hierarchies and Snowberg /ˈsnoʊbɜːrɡ/ and Ting /tɪŋ/ (2022)</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adaptation of that framework to state capacity. The key prediction of the Garicano model, however, is not merely that adding an organizational layer improves efficiency, but that the gains from hierarchical specialization depend critically on the problem-solving capacity of the agents staffing each layer. If Chamber officials were simply existing personnel reassigned under a new institutional label, the efficiency gains predicted by the knowledge hierarchy framework would not materialize. The implicit assumption in the paper — that the Chamber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organizational form was sufficient to generate efficiency gains — therefore rests on an unstated premise: that personnel with the requisite skills in bookkeeping, auditing, document management, local-office monitoring, and centralized revenue coordination were available to staff these institutions.</w:t>
      </w:r>
    </w:p>
    <w:p w14:paraId="63685B6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的理论核心不仅仅是统治者创建了一个新组织，更具体地说，是财政室作为一个知识汇聚型的、合议制的、专业化的行政层级，降低了亲王行政机构无力处理财政复杂性所导致的效率损失。这一论证明确建立在加里卡诺 /ɡɑːriˈtʃɑːnoʊ/（2000）的知识层级理论以及斯诺伯格 /ˈsnoʊbɜːrɡ/ 和丁 /tɪŋ/（2022）将该框架应用于国家能力的工作之上。然而，加里卡诺模型的核心预测并非简单地</w:t>
      </w:r>
      <w:r>
        <w:rPr>
          <w:rFonts w:hint="default" w:ascii="Times New Roman Regular" w:hAnsi="Times New Roman Regular" w:cs="Times New Roman Regular"/>
          <w:lang w:eastAsia="zh-CN"/>
        </w:rPr>
        <w:t>“增加一个组织层级就能提高效率”</w:t>
      </w:r>
      <w:r>
        <w:rPr>
          <w:rFonts w:hint="default" w:ascii="Times New Roman Regular" w:hAnsi="Times New Roman Regular" w:cs="Times New Roman Regular" w:eastAsiaTheme="minorEastAsia"/>
        </w:rPr>
        <w:t>，而是层级专业化的收益关键取决于充任该层级的行为主体的问题解决能力。如果财政室的官员不过是在新制度标签下被重新安排的原有人员，那么知识层级框架所预测的效率收益就不会实现。因此，本文的隐含假设——财政室的组织形式足以产生效率收益——实际上依赖于一个未被明确陈述的前提：具备簿记、审计、文档管理、地方办公室监督和集中化收入协调等必要技能的人员是可以获得的。</w:t>
      </w:r>
    </w:p>
    <w:p w14:paraId="28E01F6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opens a precise research question: was Chamber adoption constrained not only by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incentive structures (as the paper models), but also by the supply of trained personnel capable of operating a knowledge hierarchy? In other words, did the organizational form matter, or did it matter only conditional on human capital availability? This question connects to a broader literature on state capacity that increasingly emphasizes bureaucratic quality and problem-solving ability, not just formal institutional authority. It also connects to the specifically European historical context in which universities, legal training, notarial traditions, and scribal expertise formed a critical infrastructure for administrative capacity — an infrastructure that varied across territories and over time.</w:t>
      </w:r>
    </w:p>
    <w:p w14:paraId="341554C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就提出了一个精确的研究问题：财政室的建立是否不仅受到统治者激励结构的约束（如本文所建模的），还受到能够运作知识层级的受训人员供给的约束？换言之，组织形式本身是否重要，还是只有在人力资本可获得的条件下才重要？这个问题关联到一个更广泛的国家能力文献，该文献日益强调官僚质量和问题解决能力，而不仅仅是正式的制度权威。它还关联到一个具有欧洲历史特殊性的背景：大学、法学训练、公证人传统和书记官专业技能构成了行政能力形成的关键基础设施——而这一基础设施在不同领地之间和不同时期存在差异。</w:t>
      </w:r>
    </w:p>
    <w:p w14:paraId="553C8F6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principal difficulty with this extension is empirical.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data advantages lie in adoption timing, territorial outcomes, marriage networks, and city-level spatial changes — none of which directly capture the human capital dimension. Pursuing this direction would require assembling Chamber personnel rosters, university matriculation records, legal training data, or office-holding biographies — a substantial archival undertaking that goes well beyond the original data collection. The theoretical motivation is strong and follows directly from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Garicano /ɡɑːriˈtʃɑːnoʊ/ framing, but the feasibility barrier is real. This is an extension where the question is clearly posed by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logic, but the empirical execution would constitute a largely independent research project.</w:t>
      </w:r>
    </w:p>
    <w:p w14:paraId="2A174ED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拓展方向的主要困难在于经验层面。本文的数据优势在于财政室建立时间、领地结果变量、婚姻网络和城市层面的空间变化——这些都不直接捕捉人力资本维度。推进这一方向需要收集财政室人员名册、大学注册记录、法学训练数据或职务履历——这是一项远超原文数据采集范围的大型档案工程。理论动机是强有力的，并直接源于本文自身的加里卡诺 /ɡɑːriˈtʃɑːnoʊ/ 框架，但可行性障碍是真实的。这是一个问题由本文自身的逻辑清晰提出、但经验实施将构成一个基本独立的研究项目的拓展方向。</w:t>
      </w:r>
    </w:p>
    <w:p w14:paraId="4C3842B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Comparing Fiscal Centralization in Secular and Ecclesiastical Territories</w:t>
      </w:r>
    </w:p>
    <w:p w14:paraId="48124D9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比较世俗领地与教会领地的财政集权化</w:t>
      </w:r>
    </w:p>
    <w:p w14:paraId="0EFAC70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Of the three extensions considered here, this one offers the most direct leverage for refining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core mechanism identification. The reason is that several of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key mechanisms and data structures are specific to secular territories in ways that are analytically consequential. The dynastic marriage network covers only secular rulers. The marriage success mechanism is inherently a hereditary-dynastic logic: daughters are married to build inheritance claims, which pay off when a lineage goes extinct. The </w:t>
      </w:r>
      <w:r>
        <w:rPr>
          <w:rFonts w:hint="default" w:ascii="Times New Roman Regular" w:hAnsi="Times New Roman Regular" w:cs="Times New Roman Regular"/>
          <w:lang w:eastAsia="zh-CN"/>
        </w:rPr>
        <w:t>“vanishing by dynastic extinction”</w:t>
      </w:r>
      <w:r>
        <w:rPr>
          <w:rFonts w:hint="default" w:ascii="Times New Roman Regular" w:hAnsi="Times New Roman Regular" w:cs="Times New Roman Regular" w:eastAsiaTheme="minorEastAsia"/>
        </w:rPr>
        <w:t xml:space="preserve"> outcome — treated as the exogenous, uncontrollable component of territorial survival — is also conceptualized around secular hereditary succession.</w:t>
      </w:r>
    </w:p>
    <w:p w14:paraId="44769BE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在此处考虑的三个拓展方向中，这一个为精炼本文的核心机制识别提供了最直接的杠杆。原因在于，本文的若干关键机制和数据结构在分析上具有重要影响的方式上是特定于世俗领地的。王朝婚姻网络仅覆盖世俗统治者。婚姻成功机制在本质上是一种世袭-王朝逻辑：女儿通过婚姻建立继承权主张，当某一世系绝嗣时这些主张就会兑现。</w:t>
      </w:r>
      <w:r>
        <w:rPr>
          <w:rFonts w:hint="default" w:ascii="Times New Roman Regular" w:hAnsi="Times New Roman Regular" w:cs="Times New Roman Regular"/>
          <w:lang w:eastAsia="zh-CN"/>
        </w:rPr>
        <w:t>“因王朝绝嗣而消亡”</w:t>
      </w:r>
      <w:r>
        <w:rPr>
          <w:rFonts w:hint="default" w:ascii="Times New Roman Regular" w:hAnsi="Times New Roman Regular" w:cs="Times New Roman Regular" w:eastAsiaTheme="minorEastAsia"/>
        </w:rPr>
        <w:t>这一结果变量——被视为领地存续中外生的、不可控的组成部分——同样是围绕世俗世袭继承来概念化的。</w:t>
      </w:r>
    </w:p>
    <w:p w14:paraId="54C1B6E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Ecclesiastical territories operated under fundamentally different institutional constraints. Their rulers — prince-bishops, prince-abbots — were elected, not hereditary. They could not form dynastic marriage alliances or transmit inheritance claims through offspring. This means that the dynastic-political mechanism channel identified in the paper — strategic marriages funded by Chamber revenues leading to inheritance claims leading to territorial expansion — was institutionally shut off in ecclesiastical territories. Ecclesiastical territories thus provide a setting in which the dynastic-political mechanism is closed by institutional design, while the administrative mechanism — better bookkeeping, more efficient revenue collection, improved auditing, pawn redemption, and military investment — can still operate. This approximates the logic of a natural experiment.</w:t>
      </w:r>
    </w:p>
    <w:p w14:paraId="6F0B119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教会领地在根本不同的制度约束下运作。其统治者——亲王主教、亲王修道院长——是选举产生的，而非世袭的。他们不能结成王朝婚姻联盟，也不能通过后代传递继承权主张。这意味着本文所识别的王朝-政治机制渠道——由财政室收入资助的战略婚姻带来继承权主张进而导致领土扩张——在教会领地中被制度性地关闭了。教会领地因此提供了一个王朝-政治机制被制度设计所封闭、而行政机制——更好的簿记、更高效的收入征集、改进的审计、质押赎回和军事投资——仍然可以运作的场景。这近似于自然实验的逻辑。</w:t>
      </w:r>
    </w:p>
    <w:p w14:paraId="655189C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creates an analytically powerful comparison. If both secular and ecclesiastical territories that adopted Chambers experienced improved survival, increased size, and greater compactness, the result would more strongly support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core interpretation: that the effect operates through pure fiscal-administrative centralization. These channels should function regardless of whether the ruler is a hereditary prince or an elected bishop. But if the consolidation effects are concentrated in secular territories, particularly through marriage-linked channels, then part of what the paper identifies as the </w:t>
      </w:r>
      <w:r>
        <w:rPr>
          <w:rFonts w:hint="default" w:ascii="Times New Roman Regular" w:hAnsi="Times New Roman Regular" w:cs="Times New Roman Regular"/>
          <w:lang w:eastAsia="zh-CN"/>
        </w:rPr>
        <w:t>“effect of fiscal centralization”</w:t>
      </w:r>
      <w:r>
        <w:rPr>
          <w:rFonts w:hint="default" w:ascii="Times New Roman Regular" w:hAnsi="Times New Roman Regular" w:cs="Times New Roman Regular" w:eastAsiaTheme="minorEastAsia"/>
        </w:rPr>
        <w:t xml:space="preserve"> is actually bundled with dynastic opportunity structures specific to hereditary rule. The treatment effect would then be partly a fiscal-administrative effect and partly a dynastic-political effect, and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current design cannot separate the two.</w:t>
      </w:r>
    </w:p>
    <w:p w14:paraId="62C48DF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就创造了一个分析上有力的比较。如果建立了财政室的世俗领地和教会领地都经历了存续率提高、规模增大和紧凑度提升，那么该结果将更有力地支持本文的核心解释：效应通过纯粹的财政-行政集权化来运作。这些渠道无论统治者是世袭亲王还是选举产生的主教都应当发挥作用。但如果整合效应集中在世俗领地——特别是通过与婚姻相关的渠道——那么本文所识别的</w:t>
      </w:r>
      <w:r>
        <w:rPr>
          <w:rFonts w:hint="default" w:ascii="Times New Roman Regular" w:hAnsi="Times New Roman Regular" w:cs="Times New Roman Regular"/>
          <w:lang w:eastAsia="zh-CN"/>
        </w:rPr>
        <w:t>“财政集权化的效应”</w:t>
      </w:r>
      <w:r>
        <w:rPr>
          <w:rFonts w:hint="default" w:ascii="Times New Roman Regular" w:hAnsi="Times New Roman Regular" w:cs="Times New Roman Regular" w:eastAsiaTheme="minorEastAsia"/>
        </w:rPr>
        <w:t>中就有一部分实际上是与世袭统治特有的王朝机会结构捆绑在一起的。处理效应将部分是财政-行政效应、部分是王朝-政治效应，而本文目前的研究设计无法将两者分离。</w:t>
      </w:r>
    </w:p>
    <w:p w14:paraId="3471C4A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secular-ecclesiastical comparison thus functions as a natural unbundling device. It allows the analyst to decompose the treatment effect into two layers: an administrative mechanism (bookkeeping, auditing, revenue coordination, pawn redemption, military funding) that should operate in both types of territories, and a dynastic-political mechanism (inheritance claims, marriage diplomacy, lineage continuity) that should operate only in secular territories. The paper already demonstrates that marriage is a mechanism, but it cannot tell us how much of the overall treatment effect flows through the marriage channel versus the purely administrative channel. The ecclesiastical territories provide a setting in which the marriage channel is institutionally closed, offering a cleaner estimate of the administrative component alone.</w:t>
      </w:r>
    </w:p>
    <w:p w14:paraId="08653D1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因此，世俗-教会比较发挥着一种自然的</w:t>
      </w:r>
      <w:r>
        <w:rPr>
          <w:rFonts w:hint="default" w:ascii="Times New Roman Regular" w:hAnsi="Times New Roman Regular" w:cs="Times New Roman Regular"/>
          <w:lang w:eastAsia="zh-CN"/>
        </w:rPr>
        <w:t>“解捆绑”</w:t>
      </w:r>
      <w:r>
        <w:rPr>
          <w:rFonts w:hint="default" w:ascii="Times New Roman Regular" w:hAnsi="Times New Roman Regular" w:cs="Times New Roman Regular" w:eastAsiaTheme="minorEastAsia"/>
        </w:rPr>
        <w:t>（unbundling）功能。它使分析者能够将处理效应分解为两个层次：一个是行政机制（簿记、审计、收入协调、质押赎回、军事资助），它应当在两类领地中都发挥作用；另一个是王朝-政治机制（继承权主张、婚姻外交、世系延续），它应当仅在世俗领地中发挥作用。本文已经证明婚姻是一个机制，但它无法告诉我们整体处理效应中有多少通过婚姻渠道流动、有多少通过纯行政渠道流动。教会领地提供了一个婚姻渠道被制度性关闭的场景，从而能够更干净地估计仅行政机制的效应。</w:t>
      </w:r>
    </w:p>
    <w:p w14:paraId="2837D8E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feasibility of this extension is intermediate. On the outcome side, territorial survival, size, and compactness are not inherently limited to secular entities — ecclesiastical territories were territorial polities within the Holy Roman Empire and can be tracked using the same city-level data. The main difficulty lies on the mechanism side: the marriage network data and certain ruler-level codings were constructed specifically for secular rulers, so extending the analysis to ecclesiastical territories would require supplementary institutional coding. But a reduced-form comparison of consolidation outcomes — asking whether the Chamber effect differs between secular and ecclesiastical territories — is feasible without fully reconstructing the mechanism variables, and would already deliver substantial theoretical value.</w:t>
      </w:r>
    </w:p>
    <w:p w14:paraId="0152E4E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拓展方向的可行性处于中等水平。在结果变量方面，领地存续、规模和紧凑度在本质上并不限于世俗实体——教会领地是神圣罗马帝国内的领土政治实体，可以使用同样的城市层面数据进行追踪。主要困难在于机制变量方面：婚姻网络数据和某些统治者层面的编码是专门为世俗统治者构建的，因此将分析拓展到教会领地需要补充性的制度编码。但一个简约式的整合结果比较——考察财政室效应在世俗领地和教会领地之间是否存在差异——在不完全重建机制变量的情况下是可行的，且已经能够提供实质性的理论价值。</w:t>
      </w:r>
    </w:p>
    <w:p w14:paraId="41CDED5D">
      <w:pPr>
        <w:rPr>
          <w:rFonts w:hint="default" w:ascii="Times New Roman Regular" w:hAnsi="Times New Roman Regular" w:cs="Times New Roman Regular" w:eastAsiaTheme="minorEastAsia"/>
        </w:rPr>
      </w:pPr>
    </w:p>
    <w:p w14:paraId="6678BBB5">
      <w:pPr>
        <w:rPr>
          <w:rFonts w:hint="default" w:ascii="Times New Roman Regular" w:hAnsi="Times New Roman Regular" w:cs="Times New Roman Regular" w:eastAsiaTheme="minorEastAsia"/>
        </w:rPr>
      </w:pPr>
    </w:p>
    <w:p w14:paraId="11BB9D0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br w:type="page"/>
      </w:r>
    </w:p>
    <w:p w14:paraId="25CE3258">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Lecture Notes: State-Building and Rebellion in the Run-Up to the French Revolution</w:t>
      </w:r>
    </w:p>
    <w:p w14:paraId="774D9354">
      <w:pPr>
        <w:rPr>
          <w:rFonts w:hint="default" w:ascii="Times New Roman Regular" w:hAnsi="Times New Roman Regular" w:cs="Times New Roman Regular" w:eastAsiaTheme="minorEastAsia"/>
          <w:b/>
          <w:bCs/>
          <w:color w:val="0000FF"/>
          <w:kern w:val="44"/>
          <w:sz w:val="48"/>
          <w:szCs w:val="48"/>
          <w:lang w:val="en-US" w:eastAsia="zh-CN" w:bidi="ar"/>
        </w:rPr>
      </w:pPr>
      <w:r>
        <w:rPr>
          <w:rFonts w:hint="default" w:ascii="Times New Roman Regular" w:hAnsi="Times New Roman Regular" w:cs="Times New Roman Regular" w:eastAsiaTheme="minorEastAsia"/>
          <w:b/>
          <w:bCs/>
          <w:color w:val="0000FF"/>
          <w:kern w:val="44"/>
          <w:sz w:val="48"/>
          <w:szCs w:val="48"/>
          <w:lang w:val="en-US" w:eastAsia="zh-CN" w:bidi="ar"/>
        </w:rPr>
        <w:t>讲义：法国大革命前夕的国家建设与叛乱</w:t>
      </w:r>
    </w:p>
    <w:p w14:paraId="06C4F1F1">
      <w:pPr>
        <w:rPr>
          <w:rFonts w:hint="default" w:ascii="Times New Roman Regular" w:hAnsi="Times New Roman Regular" w:cs="Times New Roman Regular" w:eastAsiaTheme="minorEastAsia"/>
        </w:rPr>
      </w:pPr>
    </w:p>
    <w:p w14:paraId="5A46B75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39622520">
      <w:pP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English Title: </w:t>
      </w:r>
      <w:r>
        <w:rPr>
          <w:rFonts w:hint="default" w:ascii="Times New Roman Regular" w:hAnsi="Times New Roman Regular" w:cs="Times New Roman Regular"/>
          <w:lang w:eastAsia="zh-CN"/>
        </w:rPr>
        <w:t>“State-Building and Rebellion in the Run-Up to the French Revolution”</w:t>
      </w:r>
    </w:p>
    <w:p w14:paraId="2C2D71C4">
      <w:pP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中文标题： </w:t>
      </w:r>
      <w:r>
        <w:rPr>
          <w:rFonts w:hint="default" w:ascii="Times New Roman Regular" w:hAnsi="Times New Roman Regular" w:cs="Times New Roman Regular"/>
          <w:lang w:eastAsia="zh-CN"/>
        </w:rPr>
        <w:t>“法国大革命前夕的国家建设与叛乱”</w:t>
      </w:r>
    </w:p>
    <w:p w14:paraId="13B6D19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article examines how the expansion of the French monarchy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horse-post relay network (poste aux chevaux) during the eighteenth century triggered localized rebellions across the French territory in the decades leading up to the Revolution of 1789. The paper uses original parish-level data and a staggered difference-in-differences design to establish a causal link between state communication infrastructure and popular unrest (p. 1).</w:t>
      </w:r>
    </w:p>
    <w:p w14:paraId="41D865B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本文考察了十八世纪法国君主制的驿站网络（poste aux chevaux）的扩张如何在1789年大革命前夕的数十年间在法国全境引发了地方性叛乱。文章使用了原始的教区级数据和交错双重差分设计，以建立国家通信基础设施与民众骚乱之间的因果联系（第1页）。</w:t>
      </w:r>
    </w:p>
    <w:p w14:paraId="3FA5A405">
      <w:pPr>
        <w:rPr>
          <w:rFonts w:hint="default" w:ascii="Times New Roman Regular" w:hAnsi="Times New Roman Regular" w:cs="Times New Roman Regular" w:eastAsiaTheme="minorEastAsia"/>
        </w:rPr>
      </w:pPr>
    </w:p>
    <w:p w14:paraId="35FC896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560E2D0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Michael Albertus /ˈmaɪkəl ælˈbɜːrtəs/, Professor, Department of Political Science, University of Chicago /ʃɪˈkɑːɡoʊ/, United States.</w:t>
      </w:r>
    </w:p>
    <w:p w14:paraId="73A4DB4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Victor Gay /ˈvɪktər ɡeɪ/, Assistant Professor of Economics, Department of Social and Behavioral Sciences, Toulouse /tuːˈluːz/ School of Economics, France.</w:t>
      </w:r>
    </w:p>
    <w:p w14:paraId="544610A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Albertus is known for his work on authoritarianism, land reform, and property rights. Gay is an economic historian specializing in French historical data and quantitative methods. Their collaboration brings together political science and economic history to examine a canonical case of state formation.</w:t>
      </w:r>
    </w:p>
    <w:p w14:paraId="0D6F10D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Albertus以其在威权主义、土地改革和产权方面的研究著称。Gay是一位专门研究法国历史数据和定量方法的经济史学家。他们的合作将政治学与经济史结合在一起，考察了一个国家形成的经典案例。</w:t>
      </w:r>
    </w:p>
    <w:p w14:paraId="14E7B2A3">
      <w:pPr>
        <w:rPr>
          <w:rFonts w:hint="default" w:ascii="Times New Roman Regular" w:hAnsi="Times New Roman Regular" w:cs="Times New Roman Regular" w:eastAsiaTheme="minorEastAsia"/>
        </w:rPr>
      </w:pPr>
    </w:p>
    <w:p w14:paraId="352ADAD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发表年份</w:t>
      </w:r>
    </w:p>
    <w:p w14:paraId="61BF6A6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article is forthcoming in the American Political Science Review (APSR), 2025. It was received on October 24, 2024, revised on February 21, 2025, and accepted on November 12, 2025 (p. 1).</w:t>
      </w:r>
    </w:p>
    <w:p w14:paraId="7648C18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本文即将发表于《美国政治学评论》（APSR），2025年。稿件于2024年10月24日收到，2025年2月21日修订，2025年11月12日接受（第1页）。</w:t>
      </w:r>
    </w:p>
    <w:p w14:paraId="7A2EDEEC">
      <w:pPr>
        <w:rPr>
          <w:rFonts w:hint="default" w:ascii="Times New Roman Regular" w:hAnsi="Times New Roman Regular" w:cs="Times New Roman Regular" w:eastAsiaTheme="minorEastAsia"/>
        </w:rPr>
      </w:pPr>
    </w:p>
    <w:p w14:paraId="6B360E53">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 / 因变量：主要因变量是什么？</w:t>
      </w:r>
    </w:p>
    <w:p w14:paraId="2EE8863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dependent variable is the number of rebellions per parish per decade in eighteenth-century France. The data come from the Jean Nicolas /ʒɑ̃ nikɔˈla/ survey (Nicolas 1985; 2002), which documents 8,516 rebellions across France between 1661 and 1789. The authors focus on the 6,000 rebellions that occurred in 3,172 parishes within the kingdom</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boundaries between 1714 and 1789 (pp. 9–10). The survey sets a low threshold for inclusion: any uprising that lasted only a few hours or involved as few as four individuals qualifies. This makes the survey an unusually comprehensive </w:t>
      </w:r>
      <w:r>
        <w:rPr>
          <w:rFonts w:hint="default" w:ascii="Times New Roman Regular" w:hAnsi="Times New Roman Regular" w:cs="Times New Roman Regular"/>
          <w:lang w:eastAsia="zh-CN"/>
        </w:rPr>
        <w:t>“thermometer”</w:t>
      </w:r>
      <w:r>
        <w:rPr>
          <w:rFonts w:hint="default" w:ascii="Times New Roman Regular" w:hAnsi="Times New Roman Regular" w:cs="Times New Roman Regular" w:eastAsiaTheme="minorEastAsia"/>
        </w:rPr>
        <w:t xml:space="preserve"> of popular discontent (p. 10). In robustness checks, the authors also use an indicator variable for whether any rebellion occurred in a parish-decade, and they disaggregate by rebellion intensity (weak: 4–10 participants; moderate: 11–50; strong: 50+), by targets of rebellion (state authorities vs. non-state authorities, taxation vs. military vs. judiciary), and by the social identity of protagonists (notables, laborers, craftsmen, etc.) (pp. 9–10, Table 1).</w:t>
      </w:r>
    </w:p>
    <w:p w14:paraId="405573A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主要因变量是十八世纪法国每个教区每十年的叛乱次数。数据来源于让·尼古拉 /ʒɑ̃ nikɔˈla/ 的调查（Nicolas 1985; 2002），该调查记录了1661年至1789年间法国全境8,516次叛乱。作者聚焦于1714年至1789年间王国境内3,172个教区中发生的6,000次叛乱（第9–10页）。调查设定了较低的纳入门槛：任何仅持续数小时或涉及少至四人的起义均符合条件。这使得该调查成为衡量民众不满的异常全面的</w:t>
      </w:r>
      <w:r>
        <w:rPr>
          <w:rFonts w:hint="default" w:ascii="Times New Roman Regular" w:hAnsi="Times New Roman Regular" w:cs="Times New Roman Regular"/>
          <w:lang w:eastAsia="zh-CN"/>
        </w:rPr>
        <w:t>“温度计”</w:t>
      </w:r>
      <w:r>
        <w:rPr>
          <w:rFonts w:hint="default" w:ascii="Times New Roman Regular" w:hAnsi="Times New Roman Regular" w:cs="Times New Roman Regular" w:eastAsiaTheme="minorEastAsia"/>
        </w:rPr>
        <w:t>（第10页）。在稳健性检验中，作者还使用了教区-十年中是否发生过任何叛乱的指示变量，并按叛乱强度（弱：4–10人；中等：11–50人；强：50人以上）、叛乱对象（国家当局vs.非国家当局，税收vs.军事vs.司法）以及参与者社会身份（地方显贵、劳工、工匠等）进行分类（第9–10页，表1）。</w:t>
      </w:r>
    </w:p>
    <w:p w14:paraId="19E8188F">
      <w:pPr>
        <w:rPr>
          <w:rFonts w:hint="default" w:ascii="Times New Roman Regular" w:hAnsi="Times New Roman Regular" w:cs="Times New Roman Regular" w:eastAsiaTheme="minorEastAsia"/>
        </w:rPr>
      </w:pPr>
    </w:p>
    <w:p w14:paraId="5DF3D93E">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 / 自变量：主要自变量是什么？</w:t>
      </w:r>
    </w:p>
    <w:p w14:paraId="4CA871F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main independent variable is the presence of a horse-post relay in a parish in a given decade. This is a binary, non-absorbing treatment: a parish can gain a relay, lose it, regain it, etc. The authors construct an original historical GIS of the horse-post relay network based on administrative sources — specifically, the Liste générale des postes de France, an official publication printed annually from 1708 onward that listed all relays and distances between them. The authors digitized one edition per decade from the 1710s through the 1790s. The network grew from 841 relays spanning 11,000 km of postal roads in 1714 to 1,403 relays covering 24,000 km in 1790 — essentially doubling in size over the period (pp. 7–8, Figure 3). The expansion was not linear: it involved the creation of 1,001 relays and the retirement of 439 (p. 9). Over the eighteenth century, the network shifted from a center-periphery configuration driven by geopolitical and military concerns toward an internal densification aimed at projecting monarchic authority into the kingdom</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interior (pp. 7–8).</w:t>
      </w:r>
    </w:p>
    <w:p w14:paraId="7A3586F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主要自变量是某教区在某个十年期内是否存在驿站。这是一个二元的、非吸收性的处理变量：一个教区可以获得一个驿站，也可以失去它，然后再次获得，等等。作者基于行政来源——具体而言是1708年起每年印刷的官方出版物《法国驿站总表》（Liste générale des postes de France）——构建了驿站网络的原始历史GIS。作者将1710年代至1790年代每十年的一个版本进行了数字化。网络从1714年的841个驿站、11,000公里邮路增长到1790年的1,403个驿站、24,000公里邮路——在此期间基本上翻了一番（第7–8页，图3）。扩张并非线性的：共涉及1,001个驿站的新建和439个驿站的撤销（第9页）。在十八世纪期间，网络从由地缘政治和军事考量驱动的中心-外围格局，转向以将君主权威投射到王国内陆为目标的内部加密（第7–8页）。</w:t>
      </w:r>
    </w:p>
    <w:p w14:paraId="67B7A4F1">
      <w:pPr>
        <w:rPr>
          <w:rFonts w:hint="default" w:ascii="Times New Roman Regular" w:hAnsi="Times New Roman Regular" w:cs="Times New Roman Regular" w:eastAsiaTheme="minorEastAsia"/>
        </w:rPr>
      </w:pPr>
    </w:p>
    <w:p w14:paraId="41898BDE">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default" w:ascii="Times New Roman Regular" w:hAnsi="Times New Roman Regular" w:cs="Times New Roman Regular"/>
          <w:highlight w:val="yellow"/>
          <w:lang w:eastAsia="zh-CN"/>
        </w:rPr>
        <w:t>“state”</w:t>
      </w:r>
      <w:r>
        <w:rPr>
          <w:rFonts w:hint="default" w:ascii="Times New Roman Regular" w:hAnsi="Times New Roman Regular" w:cs="Times New Roman Regular" w:eastAsiaTheme="minorEastAsia"/>
          <w:highlight w:val="yellow"/>
        </w:rPr>
        <w:t xml:space="preserve"> and/or </w:t>
      </w:r>
      <w:r>
        <w:rPr>
          <w:rFonts w:hint="default" w:ascii="Times New Roman Regular" w:hAnsi="Times New Roman Regular" w:cs="Times New Roman Regular"/>
          <w:highlight w:val="yellow"/>
          <w:lang w:eastAsia="zh-CN"/>
        </w:rPr>
        <w:t>“state building”</w:t>
      </w:r>
      <w:r>
        <w:rPr>
          <w:rFonts w:hint="default" w:ascii="Times New Roman Regular" w:hAnsi="Times New Roman Regular" w:cs="Times New Roman Regular" w:eastAsiaTheme="minorEastAsia"/>
          <w:highlight w:val="yellow"/>
        </w:rPr>
        <w:t xml:space="preserve"> conceptualized and measured? / 国家性：如何概念化和衡量</w:t>
      </w:r>
      <w:r>
        <w:rPr>
          <w:rFonts w:hint="default" w:ascii="Times New Roman Regular" w:hAnsi="Times New Roman Regular" w:cs="Times New Roman Regular"/>
          <w:highlight w:val="yellow"/>
          <w:lang w:eastAsia="zh-CN"/>
        </w:rPr>
        <w:t>“国家”</w:t>
      </w:r>
      <w:r>
        <w:rPr>
          <w:rFonts w:hint="default" w:ascii="Times New Roman Regular" w:hAnsi="Times New Roman Regular" w:cs="Times New Roman Regular" w:eastAsiaTheme="minorEastAsia"/>
          <w:highlight w:val="yellow"/>
        </w:rPr>
        <w:t>和/或</w:t>
      </w:r>
      <w:r>
        <w:rPr>
          <w:rFonts w:hint="default" w:ascii="Times New Roman Regular" w:hAnsi="Times New Roman Regular" w:cs="Times New Roman Regular"/>
          <w:highlight w:val="yellow"/>
          <w:lang w:eastAsia="zh-CN"/>
        </w:rPr>
        <w:t>“国家建设”</w:t>
      </w:r>
      <w:r>
        <w:rPr>
          <w:rFonts w:hint="default" w:ascii="Times New Roman Regular" w:hAnsi="Times New Roman Regular" w:cs="Times New Roman Regular" w:eastAsiaTheme="minorEastAsia"/>
          <w:highlight w:val="yellow"/>
        </w:rPr>
        <w:t>？</w:t>
      </w:r>
    </w:p>
    <w:p w14:paraId="2E07A9D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draws on a rich body of state formation theory. The state is conceptualized in Weberian terms as an entity seeking a monopoly over violence and the centralized administration of territory (Weber 1968), but the emphasis throughout the paper is on the process of achieving that monopoly — that is, on state-building rather than state strength. The authors engage directly with Michael Mann</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/maɪkəl mæn/ (1984) concept of infrastructural power — the capacity of the central state to penetrate its territories and logistically implement its decisions — as distinct from despotic power, the ability to impose mandates over society without negotiation. The horse-post relay network is treated as a concrete manifestation of the state</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attempt to build infrastructural power: it enhanced the monarchy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informational capacity, allowed coordination among tax collectors, intendants, and military officials, and extended the state</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administrative reach into remote provinces (pp. 2–3). The authors also draw on Charles Tilly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/tʃɑːrlz ˈtɪli/ (1990) bellicist framework, noting that the initial configuration of the horse-post network reflected strategic military concerns vis-à-vis neighboring powers (Spain, England, the Holy Roman Empire), while eighteenth-century expansion was driven by internal consolidation (pp. 7–8). The state is further conceptualized through Norbert Elias</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/ˈnɔːrbɛrt ˈeɪliəs/ ([1939] 1994) account of state centralization as a long, centuries-spanning process of absorbing feudal capacities and creating </w:t>
      </w:r>
      <w:r>
        <w:rPr>
          <w:rFonts w:hint="default" w:ascii="Times New Roman Regular" w:hAnsi="Times New Roman Regular" w:cs="Times New Roman Regular"/>
          <w:lang w:eastAsia="zh-CN"/>
        </w:rPr>
        <w:t>“civilizing”</w:t>
      </w:r>
      <w:r>
        <w:rPr>
          <w:rFonts w:hint="default" w:ascii="Times New Roman Regular" w:hAnsi="Times New Roman Regular" w:cs="Times New Roman Regular" w:eastAsiaTheme="minorEastAsia"/>
        </w:rPr>
        <w:t xml:space="preserve"> norms of state control over violence (p. 2). Crucially, the paper insists on distinguishing the process of state-building from the outcome of state strength: while greater state capacity may ultimately support political stability and order, the process of building that capacity can be disruptive, contested, and generative of popular resistance (pp. 2–3, 25). This distinction — between the long-run equilibrium effect of state capacity and its transitional, destabilizing dynamics — is the paper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key conceptual contribution to state formation theory. The measurement of stateness is thus operationalized through a concrete, observable indicator of state penetration: the physical presence of a horse-post relay in a parish, which represented an attended building with stables and lodging quarters, staffed by uniformed postillons and managed by a state-appointed postmaster who served as both a relay operator and an intelligence agent for the monarchy (pp. 4–5).</w:t>
      </w:r>
    </w:p>
    <w:p w14:paraId="6CA966D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本文借鉴了丰富的国家形成理论体系。国家按韦伯式的定义被概念化为一个寻求在其领土内垄断暴力并集中管理领土的实体（Weber 1968），但全文的重点在于实现这一垄断的过程——即国家建设而非国家实力。作者直接运用了迈克尔·曼 /maɪkəl mæn/（1984）的基础性权力概念——中央国家渗透其领土并在后勤上执行其决策的能力——以区别于专制权力，即无需谈判即可将命令强加于社会的能力。驿站网络被视为国家试图建设基础性权力的具体体现：它增强了君主制的信息能力，允许税收官员、省督（intendants）和军事官员之间的协调，并将国家的行政触角延伸到偏远省份（第2–3页）。作者还借鉴了查尔斯·蒂利 /tʃɑːrlz ˈtɪli/（1990）的战争主义框架，指出驿站网络的初始配置反映了相对于邻国（西班牙、英格兰、神圣罗马帝国）的战略军事考量，而十八世纪的扩张则由内部整合所驱动（第7–8页）。国家还通过诺贝特·埃利亚斯 /ˈnɔːrbɛrt ˈeɪliəs/（[1939] 1994）的叙述被进一步概念化，他将国家集中化视为一个长达数世纪的吸收封建能力并创造国家暴力控制</w:t>
      </w:r>
      <w:r>
        <w:rPr>
          <w:rFonts w:hint="default" w:ascii="Times New Roman Regular" w:hAnsi="Times New Roman Regular" w:cs="Times New Roman Regular"/>
          <w:lang w:eastAsia="zh-CN"/>
        </w:rPr>
        <w:t>“文明化”</w:t>
      </w:r>
      <w:r>
        <w:rPr>
          <w:rFonts w:hint="default" w:ascii="Times New Roman Regular" w:hAnsi="Times New Roman Regular" w:cs="Times New Roman Regular" w:eastAsiaTheme="minorEastAsia"/>
        </w:rPr>
        <w:t>规范的过程（第2页）。至关重要的是，本文坚持区分国家建设的过程与国家实力的结果：虽然更大的国家能力最终可能支持政治稳定和秩序，但建设这种能力的过程可能是破坏性的、充满争议的，并会引发民众抵抗（第2–3页，第25页）。这一区分——长期均衡效应与过渡性、不稳定动态之间的区分——是本文对国家形成理论的关键概念贡献。因此，国家性通过一个具体的、可观察的国家渗透指标来操作化：教区中驿站的物理存在，这代表着一座有人值守的建筑物，配有马厩和住宿区，由穿制服的驿卒运营，并由国家任命的驿站长管理，驿站长同时充当驿站运营者和为君主服务的情报人员（第4–5页）。</w:t>
      </w:r>
    </w:p>
    <w:p w14:paraId="7EC1A6D8">
      <w:pPr>
        <w:rPr>
          <w:rFonts w:hint="default" w:ascii="Times New Roman Regular" w:hAnsi="Times New Roman Regular" w:cs="Times New Roman Regular" w:eastAsiaTheme="minorEastAsia"/>
        </w:rPr>
      </w:pPr>
    </w:p>
    <w:p w14:paraId="0779BA62">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 核心论点</w:t>
      </w:r>
    </w:p>
    <w:p w14:paraId="78EF7E2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core argument is that the expansion of the state</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communication infrastructure — specifically, the horse-post relay network — increased local rebellion in eighteenth-century France. This finding is attributed primarily to the material consequences of state centralization: the establishment of new horse-post relays brought increased state presence that disrupted local social equilibria in several concrete ways. The state agents who followed or were facilitated by the horse post — tax collectors, military recruiters, judicial officials, and police (maréchaussée /maʁeʃoˈse/) — became targets of popular ire for their coercive activities: forced conscription, tax enforcement, monopolization of postal roads, and inflexible enforcement of royal laws perceived as unfair (pp. 1–2, 5–6). The paper thus presents an argument about the contested nature of state-building itself: while greater state capacity may ultimately support stability, the process of building it generates backlash, especially when the state has enough power to intrude into local life but not enough coercive capacity or legitimacy to deter resistance (p. 3). The argument further proposes that this backlash varied across the territory in accordance with pre-existing levels of state and administrative fragmentation: areas near fiscal boundaries (gabelles /ɡaˈbɛl/ frontiers) and regions historically more remote from direct monarchic control (pays d'États and pays d'Imposition vs. pays d'Élection) showed disproportionately stronger responses (pp. 20–21, Table 5). This finding connects the paper to Joel Migdal</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/dʒoʊˈɛl ˈmɪɡdæl/ (1988) argument about strong societies and weak states: pre-existing regional divisions and competing authorities conditioned the state</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ability to penetrate and order society in a consistent fashion (p. 3).</w:t>
      </w:r>
    </w:p>
    <w:p w14:paraId="0546665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核心论点是国家通信基础设施的扩张——具体而言是驿站网络——增加了十八世纪法国的地方叛乱。这一发现主要归因于国家集中化的物质后果：新驿站的建立带来了更多的国家存在，以多种具体方式打破了地方社会均衡。跟随或受驿站便利的国家代理人——税收官员、军事征兵官、司法官员和宪兵（maréchaussée /maʁeʃoˈse/）——因其强制性活动而成为民众愤怒的对象：强制征兵、税收执法、邮政道路的垄断，以及被认为不公正的王室法律的僵硬执行（第1–2、5–6页）。因此，本文提出了一个关于国家建设本身的争议性质的论点：虽然更大的国家能力最终可能支持稳定，但建设它的过程会引发反弹，尤其是当国家有足够的权力侵入地方生活但没有足够的强制能力或合法性来威慑抵抗时（第3页）。论点还进一步提出，这种反弹在全境内随着先前存在的国家和行政碎片化程度而变化：靠近财政边界（盐税区 /ɡaˈbɛl/ 边境）的地区以及历史上更远离直接君主控制的地区（三级会议省和税征省vs.选举省）表现出不成比例的更强烈反应（第20–21页，表5）。这一发现将本文与乔尔·米格达尔 /dʒoʊˈɛl ˈmɪɡdæl/（1988）关于强社会与弱国家的论点联系起来：先前存在的地区分裂和竞争性权威影响了国家以一致方式渗透和管理社会的能力（第3页）。</w:t>
      </w:r>
    </w:p>
    <w:p w14:paraId="261A6199">
      <w:pPr>
        <w:rPr>
          <w:rFonts w:hint="default" w:ascii="Times New Roman Regular" w:hAnsi="Times New Roman Regular" w:cs="Times New Roman Regular" w:eastAsiaTheme="minorEastAsia"/>
        </w:rPr>
      </w:pPr>
    </w:p>
    <w:p w14:paraId="4F4D157F">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 机制：提出了什么机制？</w:t>
      </w:r>
    </w:p>
    <w:p w14:paraId="32849F2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propose that the link between new horse-post relays and rebellion operates primarily through the material consequences of state penetration, rather than through information diffusion or collective action facilitation. They identify several specific channels:</w:t>
      </w:r>
    </w:p>
    <w:p w14:paraId="3AC2915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1: Tax enforcement. Improved speed and reliability of state communication facilitated stricter tax enforcement, crystallizing popular ire against state tax obligations. The horse-post network allowed central officials, tax farmers (fermiers généraux), and provincial intendants to coordinate swiftly on tax collection and enforcement, including efforts to suppress salt smuggling (faux-saunage) across the kingdom</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disparate salt-tax zones (gabelles) (p. 5). Rebellions against taxation account for about one-fourth of the total effect (p. 19, Table 4, column 3).</w:t>
      </w:r>
    </w:p>
    <w:p w14:paraId="3488F50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Mechanism 2: Military conscription. The network facilitated the transmission of military recruitment orders and enabled information gathering on draft-eligible men. The authors provide a vivid example from 1781 in Mirande /miˈʁɑ̃d/, in the southwestern généralité of Auch /oʃ/, where draft-eligible peasants confronted military officials at a conscription draw, shouting </w:t>
      </w:r>
      <w:r>
        <w:rPr>
          <w:rFonts w:hint="default" w:ascii="Times New Roman Regular" w:hAnsi="Times New Roman Regular" w:cs="Times New Roman Regular"/>
          <w:lang w:eastAsia="zh-CN"/>
        </w:rPr>
        <w:t>“They should all be killed!”</w:t>
      </w:r>
      <w:r>
        <w:rPr>
          <w:rFonts w:hint="default" w:ascii="Times New Roman Regular" w:hAnsi="Times New Roman Regular" w:cs="Times New Roman Regular" w:eastAsiaTheme="minorEastAsia"/>
        </w:rPr>
        <w:t xml:space="preserve"> (p. 6). Rebellions against the military account for about one-fifth of the total effect (p. 20, Table 4, column 4).</w:t>
      </w:r>
    </w:p>
    <w:p w14:paraId="326D96E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3: Judicial enforcement. Stricter enforcement of royal laws and court orders — facilitated by faster communication — disrupted local social balance and generated grievances. Rebellions against the judiciary account for about one-fourth of the total effect (p. 20, Table 4, column 5).</w:t>
      </w:r>
    </w:p>
    <w:p w14:paraId="4427A61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4: Crowding out of private interests. The monopolies associated with the horse post — monopoly on horse rentals along postal roads, monopoly on galloping at night, priority access to hay and animal fodder — disrupted competing private businesses and generated resentment among local notables, horse renters, farmers, and innkeepers situated off postal roads (pp. 5–6). Rebellions led by notables account for about one-fifth of the total effect (p. 20, Table 4, column 6). The authors provide an example from 1775 in Chauny /ʃoˈni/, Picardy /ˈpɪkərdi/, where a crowd attacked and ransacked a horse-post relay on rumors that the postmaster had stockpiled wheat during a local shortage (pp. 6–7).</w:t>
      </w:r>
    </w:p>
    <w:p w14:paraId="528F027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Mechanism 5: Gathering effects. The visible new state presence — large buildings with stables, uniformed postillons, and royal-marked horses — may have drawn people from surrounding parishes to express grievances at these new symbols of state authority. The authors find evidence of a </w:t>
      </w:r>
      <w:r>
        <w:rPr>
          <w:rFonts w:hint="default" w:ascii="Times New Roman Regular" w:hAnsi="Times New Roman Regular" w:cs="Times New Roman Regular"/>
          <w:lang w:eastAsia="zh-CN"/>
        </w:rPr>
        <w:t>“gathering effect”</w:t>
      </w:r>
      <w:r>
        <w:rPr>
          <w:rFonts w:hint="default" w:ascii="Times New Roman Regular" w:hAnsi="Times New Roman Regular" w:cs="Times New Roman Regular" w:eastAsiaTheme="minorEastAsia"/>
        </w:rPr>
        <w:t>: rebellions decreased in parishes within 5–10 km of a new relay, while increasing in the host parish itself. However, the net effect remains positive and is about twice the magnitude of the cumulated spillover effects (pp. 21–22, Figure 8).</w:t>
      </w:r>
    </w:p>
    <w:p w14:paraId="7FEBDE2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6: Pre-existing fragmentation as a moderator. The authors find that the rebellion response to new relays was disproportionately stronger in areas of pre-existing fiscal and administrative fragmentation: near gabelles frontiers and in pays d'États/d'Imposition relative to pays d'Élection (pp. 20–21, Table 5).</w:t>
      </w:r>
    </w:p>
    <w:p w14:paraId="29F2008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authors explicitly test and reject several alternative mechanisms: (i) disruption of traditional social hierarchies — they find no effect on rebellions against the Church, nobility, or seigneurial authorities (p. 22); (ii) war zones and wartime — the effect is robust to excluding border regions and wartime rebellions (pp. 22–23); (iii) information diffusion via the contemporaneous letter-post system — controlling for letter-post offices yields virtually identical estimates (p. 23); (iv) transit infrastructure — the horse post was built atop existing roads and the road network was managed independently by the Bridges and Roads (Ponts et Chaussées) administration (pp. 23–24); (v) policing by maréchaussée brigades — the spatial development of brigades followed a different logic, and controlling for brigade presence does not change the results (pp. 24–25).</w:t>
      </w:r>
    </w:p>
    <w:p w14:paraId="2EAF9A4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作者提出，新驿站与叛乱之间的联系主要通过国家渗透的物质后果运作，而非通过信息传播或集体行动的促进。他们识别了几个具体渠道：</w:t>
      </w:r>
    </w:p>
    <w:p w14:paraId="742F08D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机制一：税收执法。 国家通信速度和可靠性的提高促进了更严格的税收执法，使民众对国家税收义务的愤怒具体化。驿站网络使中央官员、包税商（fermiers généraux）和省督能够迅速协调税收征管和执法，包括打击全国分散盐税区（gabelles）之间的走私活动（faux-saunage）（第5页）。针对税收的叛乱约占总效应的四分之一（第19页，表4，第3列）。</w:t>
      </w:r>
    </w:p>
    <w:p w14:paraId="3F8C007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机制二：军事征兵。 网络促进了军事征兵令的传达，并使收集适龄男性信息成为可能。作者提供了一个来自1781年西南部Auch /oʃ/ 总督区Mirande /miˈʁɑ̃d/ 的生动案例，在那里适龄农民在征兵抽签现场面对军官，高喊</w:t>
      </w:r>
      <w:r>
        <w:rPr>
          <w:rFonts w:hint="default" w:ascii="Times New Roman Regular" w:hAnsi="Times New Roman Regular" w:cs="Times New Roman Regular"/>
          <w:lang w:eastAsia="zh-CN"/>
        </w:rPr>
        <w:t>“应该把他们全部杀掉！”</w:t>
      </w:r>
      <w:r>
        <w:rPr>
          <w:rFonts w:hint="default" w:ascii="Times New Roman Regular" w:hAnsi="Times New Roman Regular" w:cs="Times New Roman Regular" w:eastAsiaTheme="minorEastAsia"/>
        </w:rPr>
        <w:t>（第6页）。针对军事的叛乱约占总效应的五分之一（第20页，表4，第4列）。</w:t>
      </w:r>
    </w:p>
    <w:p w14:paraId="0B06550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机制三：司法执法。 更快的通信促进了对王室法律和法院裁决的更严格执行，打破了地方社会平衡并产生了不满。针对司法的叛乱约占总效应的四分之一（第20页，表4，第5列）。</w:t>
      </w:r>
    </w:p>
    <w:p w14:paraId="3011C96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机制四：排挤私人利益。 与驿站相关的垄断——邮政道路上的马匹租赁垄断、夜间疾驰的垄断、优先获取干草和饲料——扰乱了竞争性的私人企业，在地方显贵、马匹租赁商、农民和不在邮路上的旅店主中产生了怨恨（第5–6页）。由显贵领导的叛乱约占总效应的五分之一（第20页，表4，第6列）。作者提供了一个来自1775年皮卡第 /ˈpɪkərdi/ 的Chauny /ʃoˈni/ 的案例，一群人在传闻驿站长在当地粮食短缺期间囤积小麦后袭击并洗劫了当地驿站（第6–7页）。</w:t>
      </w:r>
    </w:p>
    <w:p w14:paraId="0A3425F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机制五：聚集效应。 可见的新国家存在——大型建筑物、穿制服的驿卒、带有王室标记的马匹——可能吸引了周围教区的人们到这些新的国家权威象征处表达不满。作者发现了</w:t>
      </w:r>
      <w:r>
        <w:rPr>
          <w:rFonts w:hint="default" w:ascii="Times New Roman Regular" w:hAnsi="Times New Roman Regular" w:cs="Times New Roman Regular"/>
          <w:lang w:eastAsia="zh-CN"/>
        </w:rPr>
        <w:t>“聚集效应”</w:t>
      </w:r>
      <w:r>
        <w:rPr>
          <w:rFonts w:hint="default" w:ascii="Times New Roman Regular" w:hAnsi="Times New Roman Regular" w:cs="Times New Roman Regular" w:eastAsiaTheme="minorEastAsia"/>
        </w:rPr>
        <w:t>的证据：在距新驿站5–10公里范围内的教区叛乱减少了，而在驿站所在教区本身则增加了。然而，净效应仍为正值，约为累积溢出效应的两倍（第21–22页，图8）。</w:t>
      </w:r>
    </w:p>
    <w:p w14:paraId="30719F7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机制六：先前存在的碎片化作为调节变量。 作者发现，在先前存在财政和行政碎片化的地区，叛乱对新驿站的反应不成比例地更强烈：在盐税区边境附近以及三级会议省/税征省（相对于选举省）（第20–21页，表5）。</w:t>
      </w:r>
    </w:p>
    <w:p w14:paraId="6617B1C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作者明确检验并否定了几个替代机制：(i) 传统社会等级的瓦解——他们发现对针对教会、贵族或领主权威的叛乱没有影响（第22页）；(ii) 战区和战时——在排除边境地区和战时叛乱后效果稳健（第22–23页）；(iii) 通过同期信件邮政系统的信息扩散——控制信件邮局后估计值几乎不变（第23页）；(iv) 交通基础设施——驿站建在已有道路之上，道路网络由桥梁与道路管理局（Ponts et Chaussées）独立管理（第23–24页）；(v) 宪兵巡逻——宪兵旅的空间发展遵循不同的逻辑，控制宪兵存在不改变结果（第24–25页）。</w:t>
      </w:r>
    </w:p>
    <w:p w14:paraId="3D0AD1E3">
      <w:pPr>
        <w:rPr>
          <w:rFonts w:hint="default" w:ascii="Times New Roman Regular" w:hAnsi="Times New Roman Regular" w:cs="Times New Roman Regular" w:eastAsiaTheme="minorEastAsia"/>
        </w:rPr>
      </w:pPr>
    </w:p>
    <w:p w14:paraId="703DF50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Alternative explanations the authors examine.</w:t>
      </w:r>
    </w:p>
    <w:p w14:paraId="0AC24A6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also works to rule out several rival accounts. The authors find no comparable effect on rebellions against non-state authorities such as the Church, nobility, seigneurial, or municipal authorities, which weakens the idea that relay expansion mainly disrupted traditional hierarchies in a broad social sense. They also show that the results are robust to excluding border regions and wartime rebellions, making it less likely that the estimates are driven simply by war exposure. In addition, controlling for the letter-post system yields very similar estimates, which weakens the argument that the main effect operates through broader information diffusion. Finally, the authors argue that the results are unlikely to be driven by transportation infrastructure per se or by the deployment of maréchaussée brigades, since the horse-post network was built on preexisting roads, roads were administered separately by the Ponts et Chaussées, and brigade expansion followed a different spatial logic. Still, the authors do not claim to have disproven in all settings the possibility that communication infrastructure may facilitate collective action; rather, they argue that in this case, the evidence points more strongly toward the material consequences of state centralization.</w:t>
      </w:r>
    </w:p>
    <w:p w14:paraId="4DA880F7">
      <w:pPr>
        <w:rPr>
          <w:rFonts w:hint="default" w:ascii="Times New Roman Regular" w:hAnsi="Times New Roman Regular" w:cs="Times New Roman Regular" w:eastAsiaTheme="minorEastAsia"/>
        </w:rPr>
      </w:pPr>
    </w:p>
    <w:p w14:paraId="287BE863">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 数据：使用了什么数据？</w:t>
      </w:r>
    </w:p>
    <w:p w14:paraId="047E7A3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analysis dataset is a panel of approximately 35,000 parishes of the kingdom of France as of 1789 (excluding Corsica /ˈkɔːrsɪkə/), spanning eight decades from the 1710s to the 1780s — a total of 282,288 parish-decade observations. Parishes were the smallest units of administration in Ancien Régime France, and no prior study had analyzed this period at such a granular level (p. 7).</w:t>
      </w:r>
    </w:p>
    <w:p w14:paraId="0EB02AC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horse-post relay network data are an original historical GIS constructed from the Liste générale des postes de France. The authors digitized one edition per decade from 1714 to 1790, extracting all segments between relays and matching each location to the corresponding parish (pp. 7–8). The data source is administrative and designed for state messengers, which makes it highly reliable.</w:t>
      </w:r>
    </w:p>
    <w:p w14:paraId="6C0BD8A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rebellion data come from the Jean Nicolas /ʒɑ̃ nikɔˈla/ survey (Nicolas 1985; 2002), compiled from extensive archival research during the 1980s–1990s. The authors digitized all 40,000 original coding sheets of the survey and constructed a comprehensive database of the 6,000 rebellions that took place in 3,172 parishes between 1714 and 1789. For each event, they recorded the date, location, motives, size, and characteristics of participants (pp. 9–10).</w:t>
      </w:r>
    </w:p>
    <w:p w14:paraId="06975A2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Additional data include: (i) parish-level decade-average wheat prices from Ridolfi /rɪˈdɒlfi/ (2019), used to control for local economic conditions; (ii) population from the 1793 census (the first census conducted in France); (iii) road connectivity from Cassini</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/kæˈsiːni/ maps published in 1756–90; (iv) whether a parish served as an administrative seat; (v) the type of gabelle taxation regime; (vi) a historical GIS of both the letter-post system and maréchaussée brigades, constructed by the authors for the alternative-mechanisms analysis (p. 12).</w:t>
      </w:r>
    </w:p>
    <w:p w14:paraId="646CDC1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unit of analysis is the parish-decade. The key administrative divisions used in the empirical strategy are cantons (over 4,500, with a median radius of 6 km and 7 parishes each) and subdélégations /sybdeleɡaˈsjɔ̃/ (nearly 700, with a median radius of 15 km and 39 parishes each) (pp. 11–12).</w:t>
      </w:r>
    </w:p>
    <w:p w14:paraId="2AA8F65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分析数据集是截至1789年法国王国约35,000个教区（不含科西嘉 /ˈkɔːrsɪkə/）的面板，跨越从1710年代到1780年代的八个十年——共282,288个教区-十年观测值。教区是旧制度法国最小的行政单位，此前没有任何研究在如此细粒度的层面分析过这一时期（第7页）。</w:t>
      </w:r>
    </w:p>
    <w:p w14:paraId="46F1397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驿站网络数据是根据《法国驿站总表》构建的原始历史GIS。作者将1714年至1790年每十年的一个版本进行了数字化，提取了所有驿站之间的路段，并将每个地点与相应的教区匹配（第7–8页）。数据来源是行政性的，专为国家信使设计，因此具有高度可靠性。</w:t>
      </w:r>
    </w:p>
    <w:p w14:paraId="33DD00B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叛乱数据来自让·尼古拉 /ʒɑ̃ nikɔˈla/ 的调查（Nicolas 1985; 2002），该调查由1980–1990年代的广泛档案研究编纂而成。作者将调查的全部40,000份原始编码表进行了数字化，构建了1714年至1789年间3,172个教区中发生的6,000次叛乱的综合数据库。对于每个事件，他们记录了日期、地点、动机、规模和参与者特征（第9–10页）。</w:t>
      </w:r>
    </w:p>
    <w:p w14:paraId="5827501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额外数据包括：(i) 来自Ridolfi /rɪˈdɒlfi/（2019）的教区级十年平均小麦价格，用于控制地方经济条件；(ii) 来自1793年人口普查（法国首次人口普查）的人口数据；(iii) 来自卡西尼 /kæˈsiːni/ 1756–90年出版的地图的道路连通性；(iv) 教区是否为行政中心；(v) 盐税制度类型；(vi) 作者为替代机制分析构建的信件邮政系统和宪兵旅的历史GIS（第12页）。</w:t>
      </w:r>
    </w:p>
    <w:p w14:paraId="2E78C05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分析单位是教区-十年。实证策略中使用的关键行政区划是canton（超过4,500个，中位半径6公里，每个包含7个教区）和subdélégation /sybdeleɡaˈsjɔ̃/（近700个，中位半径15公里，每个包含39个教区）（第11–12页）。</w:t>
      </w:r>
    </w:p>
    <w:p w14:paraId="534100CE">
      <w:pPr>
        <w:rPr>
          <w:rFonts w:hint="default" w:ascii="Times New Roman Regular" w:hAnsi="Times New Roman Regular" w:cs="Times New Roman Regular" w:eastAsiaTheme="minorEastAsia"/>
        </w:rPr>
      </w:pPr>
    </w:p>
    <w:p w14:paraId="6D415F19">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 方法：使用了什么方法？</w:t>
      </w:r>
    </w:p>
    <w:p w14:paraId="2A26357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paper employs a staggered difference-in-differences (DiD) design. The treatment is binary and non-absorbing: parishes can gain and lose horse-post relays over time. To account for heterogeneous and dynamic treatment effects — a well-known problem in staggered DiD settings — the authors use the estimator developed by de Chaisemartin /də ʃɛzmarˈtɛ̃/ and D'Haultfœuille /dotfœˈij/ (2024), which compares switchers (parishes that change treatment status) to not-yet-switchers with the same initial treatment status. This approach avoids the </w:t>
      </w:r>
      <w:r>
        <w:rPr>
          <w:rFonts w:hint="default" w:ascii="Times New Roman Regular" w:hAnsi="Times New Roman Regular" w:cs="Times New Roman Regular"/>
          <w:lang w:eastAsia="zh-CN"/>
        </w:rPr>
        <w:t>“contamination”</w:t>
      </w:r>
      <w:r>
        <w:rPr>
          <w:rFonts w:hint="default" w:ascii="Times New Roman Regular" w:hAnsi="Times New Roman Regular" w:cs="Times New Roman Regular" w:eastAsiaTheme="minorEastAsia"/>
        </w:rPr>
        <w:t xml:space="preserve"> of standard two-way fixed effects estimators that can arise when treatment effects are heterogeneous across time and units (pp. 12–13).</w:t>
      </w:r>
    </w:p>
    <w:p w14:paraId="552BE3B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regression equation (Equation 1, p. 12) is:</w:t>
      </w:r>
    </w:p>
    <w:p w14:paraId="0C16D5C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rebellions_{pda} = α_p + λ_d + Σ δ_ℓ × 1[horse_post_{pd}=1] × 1[d=ℓ] + prices_{pd} + γ_{da} + ε_{pda}</w:t>
      </w:r>
    </w:p>
    <w:p w14:paraId="5E6B9D3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where p indexes parishes, d indexes decades, and a indexes administrative divisions. α_p denotes parish fixed effects; λ_d, decade fixed effects; prices_{pd}, average wheat prices; and γ_{da}, decade-by-administrative division fixed effects (alternatively at the subdélégation or canton level). Standard errors are clustered at the parish level.</w:t>
      </w:r>
    </w:p>
    <w:p w14:paraId="1B5B4C5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preferred specification uses two leads and three lags in the event-study framework, based on de Chaisemartin and D'Haultfœuille</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rule of thumb that at least half of ever-treated parishes should contribute to the estimation of each coefficient (p. 13).</w:t>
      </w:r>
    </w:p>
    <w:p w14:paraId="3F2856F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identifying assumptions:</w:t>
      </w:r>
    </w:p>
    <w:p w14:paraId="23AB52F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Parallel trends: Absent the introduction of a relay, treated and untreated parishes within the same administrative division would have followed parallel trends in rebellion. The event-study plot (Figure 7, p. 16) shows no evidence of differential pre-trends, supporting this assumption.</w:t>
      </w:r>
    </w:p>
    <w:p w14:paraId="2DECCDA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No anticipation of treatment: Parishes did not increase rebellion in anticipation of receiving a relay.</w:t>
      </w:r>
    </w:p>
    <w:p w14:paraId="46728A2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Initial conditions: Past treatments before the starting period do not affect outcomes during the analysis period. The authors test this by excluding the 1710 decade, with results essentially unchanged (p. 16, Table 3, column 2).</w:t>
      </w:r>
    </w:p>
    <w:p w14:paraId="4745B85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Exogeneity of relay placement conditional on fixed effects: The crucial identifying strategy exploits the fact that while the placement of major relay nodes in administrative centers may be endogenous to population dynamics, the specific location of relays between these nodes was primarily determined by the physiological need to space relays 10–15 km apart, reflecting horse physiology (Minetti 2003). The preferred specification uses within-canton variation (decade-by-canton fixed effects) to compare parishes within the same small administrative unit over time. This is a demanding specification: it reduces the effective sample from 35,287 parishes to 6,834 and from 282,296 to 54,672 parish-decades (p. 15, Table 2, columns 5–6). The authors demonstrate with a detailed case study of the Auxerre /oˈsɛʁ/ – Dijon /diˈʒɔ̃/ postal route in Burgundy /ˈbɜːrɡəndi/ that relay placement between regional centers was driven by distances along pre-existing roads rather than by population or economic characteristics (pp. 13–14, Figure 6).</w:t>
      </w:r>
    </w:p>
    <w:p w14:paraId="6C2AAE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Robustness checks include: varying periodization, holding the sample of switchers constant, using only switchers-in, population weights, decade-by-rural-status fixed effects, restricting to moderate/strong rebellions, distinguishing new relays from reconfigurations, using an indicator outcome, testing for archival reporting biases, and alternative clustering and grid-based fixed effects (pp. 16–18, Table 3, and Appendices B–C).</w:t>
      </w:r>
    </w:p>
    <w:p w14:paraId="2231FA4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本文采用**交错双重差分（DiD）**设计。处理变量是二元且非吸收性的：教区可以随时间获得和失去驿站。为了处理交错DiD设计中众所周知的异质性和动态处理效应问题，作者使用了de Chaisemartin /də ʃɛzmarˈtɛ̃/ 和 D'Haultfœuille /dotfœˈij/（2024）开发的估计量，该估计量将切换者（改变处理状态的教区）与具有相同初始处理状态的尚未切换者进行比较。这种方法避免了当处理效应在时间和单位间存在异质性时标准双向固定效应估计量可能出现的</w:t>
      </w:r>
      <w:r>
        <w:rPr>
          <w:rFonts w:hint="default" w:ascii="Times New Roman Regular" w:hAnsi="Times New Roman Regular" w:cs="Times New Roman Regular"/>
          <w:lang w:eastAsia="zh-CN"/>
        </w:rPr>
        <w:t>“污染”</w:t>
      </w:r>
      <w:r>
        <w:rPr>
          <w:rFonts w:hint="default" w:ascii="Times New Roman Regular" w:hAnsi="Times New Roman Regular" w:cs="Times New Roman Regular" w:eastAsiaTheme="minorEastAsia"/>
        </w:rPr>
        <w:t>（第12–13页）。</w:t>
      </w:r>
    </w:p>
    <w:p w14:paraId="2F1B5D9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回归方程（方程1，第12页）为：</w:t>
      </w:r>
    </w:p>
    <w:p w14:paraId="709428F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rebellions_{pda} = α_p + λ_d + Σ δ_ℓ × 1[horse_post_{pd}=1] × 1[d=ℓ] + prices_{pd} + γ_{da} + ε_{pda}</w:t>
      </w:r>
    </w:p>
    <w:p w14:paraId="6E6FAE9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其中p索引教区，d索引十年，a索引行政区划。α_p表示教区固定效应；λ_d，十年固定效应；prices_{pd}，平均小麦价格；γ_{da}，十年-行政区划交互固定效应（在subdélégation或canton层面）。标准误在教区层面聚类。</w:t>
      </w:r>
    </w:p>
    <w:p w14:paraId="75081AA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首选规格在事件研究框架中使用两个前导期和三个滞后期，基于de Chaisemartin和D'Haultfœuille的经验法则，即至少一半曾被处理的教区应贡献于每个系数的估计（第13页）。</w:t>
      </w:r>
    </w:p>
    <w:p w14:paraId="0B975DD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关键识别假设：</w:t>
      </w:r>
    </w:p>
    <w:p w14:paraId="72BAC46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平行趋势： 在没有引入驿站的情况下，同一行政区划内处理组和未处理组的教区在叛乱方面将遵循平行趋势。事件研究图（图7，第16页）未显示差异性前趋势的证据，支持这一假设。</w:t>
      </w:r>
    </w:p>
    <w:p w14:paraId="1767057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无处理预期： 教区不会因预期到将获得驿站而增加叛乱。</w:t>
      </w:r>
    </w:p>
    <w:p w14:paraId="67F5DFB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初始条件： 分析期开始前的过去处理不影响分析期间的结果。作者通过排除1710年代来检验这一点，结果基本不变（第16页，表3，第2列）。</w:t>
      </w:r>
    </w:p>
    <w:p w14:paraId="57F9696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条件于固定效应的驿站设置外生性： 关键的识别策略利用了以下事实：虽然行政中心主要驿站节点的设置可能对人口动态内生，但节点之间驿站的具体位置主要由每10–15公里设置驿站的生理需要决定，这反映了马匹生理学（Minetti 2003）。首选规格使用canton内变异（十年-canton交互固定效应）来比较同一小型行政单位内的教区随时间的变化。这是一个要求严格的规格：它将有效样本从35,287个教区减少到6,834个，从282,296个教区-十年减少到54,672个（第15页，表2，第5–6列）。作者通过勃艮第 /ˈbɜːrɡəndi/ 的Auxerre /oˈsɛʁ/ – Dijon /diˈʒɔ̃/ 邮路的详细案例研究证明，区域中心之间的驿站设置是由沿已有道路的距离而非人口或经济特征驱动的（第13–14页，图6）。</w:t>
      </w:r>
    </w:p>
    <w:p w14:paraId="281D269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稳健性检验包括：改变分期、固定切换者样本、仅使用进入处理的切换者、人口权重、十年-农村状态交互固定效应、限于中强叛乱、区分新建驿站与重新配置、使用指示变量结果、检验档案记录偏差，以及替代聚类和网格固定效应（第16–18页，表3，以及附录B–C）。</w:t>
      </w:r>
    </w:p>
    <w:p w14:paraId="4E363ED7">
      <w:pPr>
        <w:rPr>
          <w:rFonts w:hint="default" w:ascii="Times New Roman Regular" w:hAnsi="Times New Roman Regular" w:cs="Times New Roman Regular" w:eastAsiaTheme="minorEastAsia"/>
        </w:rPr>
      </w:pPr>
    </w:p>
    <w:p w14:paraId="1F8B5189">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What is the main contribution? / 贡献：主要贡献是什么？</w:t>
      </w:r>
    </w:p>
    <w:p w14:paraId="03FCDE0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paper makes several distinct contributions to political science and economic history:</w:t>
      </w:r>
    </w:p>
    <w:p w14:paraId="1C1BDA8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A conceptual contribution to state formation theory. The paper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most important theoretical contribution is the argument that the process of state-building must be analytically distinguished from the outcome of state strength. The paper directly challenges the implicit assumption in much of the state capacity literature (e.g., Fearon and Laitin 2003; Huntington 1968) that greater state capacity straightforwardly reduces disorder. Instead, it demonstrates that in the transitional phase of building capacity, the state can be both powerful enough to intrude into local life and too weak or illegitimate to deter resistance — a paradox that generates contestation (pp. 2–3, 25). This contribution connects the paper to Garfias /ɡɑːrˈfiːəs/ and Sellar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/ˈsɛlərz/ (2022) finding that state-building can backfire when it threatens local elite authority, and to Pruett</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/pruːˈɛt/ (2024) work on draft evasion in colonial West Africa — but Albertus and Gay extend this insight to a canonical European case and to a much broader range of social groups beyond elites alone (pp. 3, 25). The paper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finding that parishes near new relays experienced fewer rebellions while the host parishes saw more — the </w:t>
      </w:r>
      <w:r>
        <w:rPr>
          <w:rFonts w:hint="default" w:ascii="Times New Roman Regular" w:hAnsi="Times New Roman Regular" w:cs="Times New Roman Regular"/>
          <w:lang w:eastAsia="zh-CN"/>
        </w:rPr>
        <w:t>“gathering effect”</w:t>
      </w:r>
      <w:r>
        <w:rPr>
          <w:rFonts w:hint="default" w:ascii="Times New Roman Regular" w:hAnsi="Times New Roman Regular" w:cs="Times New Roman Regular" w:eastAsiaTheme="minorEastAsia"/>
        </w:rPr>
        <w:t xml:space="preserve"> — also offers a novel micro-level perspective on Tilly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(1986) theory of evolving repertoires of contention, suggesting that new state infrastructure created new focal points for collective action (p. 21).</w:t>
      </w:r>
    </w:p>
    <w:p w14:paraId="659E6D9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Original data at unprecedented granularity. The construction of a parish-level panel of 35,000 parishes across eight decades, linking an original historical GIS of the horse-post relay network with the most comprehensive database of eighteenth-century French rebellions, represents a major data contribution. No prior study had analyzed pre-Revolutionary France at the parish level (p. 7).</w:t>
      </w:r>
    </w:p>
    <w:p w14:paraId="22011BF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Credible causal identification. The staggered DiD design using the de Chaisemartin and D'Haultfœuille (2024) estimator — combined with the physiological constraint on relay spacing, within-canton variation, and extensive robustness checks — provides a credible claim to causal identification. The design is well-suited to the empirical context because the horse-post relay network was built atop existing transit routes and served as a state-monopolized communications network, which allows the authors to separate the effect of state communication infrastructure from that of transportation infrastructure and from citizen-accessible information networks (pp. 1–2, 23–24).</w:t>
      </w:r>
    </w:p>
    <w:p w14:paraId="391C2BA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Implications for the French Revolution. The exploratory finding that parishes that received relays and experienced an uptick in rebellion were more likely to later host political societies during the Revolution suggests that grievances generated by state-building did not dissipate but rather accumulated and resurfaced when subsequent shocks — such as the 1788 drought or the return of radicalized soldiers from the American Revolutionary War — created opportunities for mobilization (p. 25).</w:t>
      </w:r>
    </w:p>
    <w:p w14:paraId="3C8A138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本文对政治学和经济史做出了几个独特的贡献：</w:t>
      </w:r>
    </w:p>
    <w:p w14:paraId="6A434F2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对国家形成理论的概念贡献。 本文最重要的理论贡献是论证国家建设的过程必须与国家实力的结果在分析上加以区分。本文直接挑战了国家能力文献（如Fearon and Laitin 2003; Huntington 1968）中许多隐含的假设，即更大的国家能力直接减少混乱。相反，它证明在建设能力的过渡阶段，国家可能既有足够的权力侵入地方生活，又太弱或缺乏合法性而无法威慑抵抗——这一悖论产生了争议（第2–3、25页）。这一贡献将本文与Garfias /ɡɑːrˈfiːəs/ 和 Sellars /ˈsɛlərz/（2022）关于国家建设在威胁地方精英权威时可能适得其反的发现，以及Pruett /pruːˈɛt/（2024）关于殖民西非逃避征兵的研究联系起来——但Albertus和Gay将这一洞见扩展到一个经典的欧洲案例，并扩展到远超精英之外的更广泛社会群体（第3、25页）。本文发现新驿站附近的教区叛乱减少而驿站所在教区叛乱增加——</w:t>
      </w:r>
      <w:r>
        <w:rPr>
          <w:rFonts w:hint="default" w:ascii="Times New Roman Regular" w:hAnsi="Times New Roman Regular" w:cs="Times New Roman Regular"/>
          <w:lang w:eastAsia="zh-CN"/>
        </w:rPr>
        <w:t>“聚集效应”</w:t>
      </w:r>
      <w:r>
        <w:rPr>
          <w:rFonts w:hint="default" w:ascii="Times New Roman Regular" w:hAnsi="Times New Roman Regular" w:cs="Times New Roman Regular" w:eastAsiaTheme="minorEastAsia"/>
        </w:rPr>
        <w:t>——也为蒂利（1986）关于不断演变的抗争剧目的理论提供了新颖的微观视角，表明新的国家基础设施创造了集体行动的新焦点（第21页）。</w:t>
      </w:r>
    </w:p>
    <w:p w14:paraId="652B7CD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前所未有粒度的原始数据。 构建了一个跨越八个十年的35,000个教区的教区级面板，将驿站网络的原始历史GIS与最全面的十八世纪法国叛乱数据库相连接，这代表了重大的数据贡献。此前没有任何研究在教区层面分析过大革命前的法国（第7页）。</w:t>
      </w:r>
    </w:p>
    <w:p w14:paraId="7151A0A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可信的因果识别。 使用de Chaisemartin和D'Haultfœuille（2024）估计量的交错DiD设计——结合驿站间距的生理约束、canton内变异和广泛的稳健性检验——提供了可信的因果识别声明。该设计非常适合实证背景，因为驿站网络建在已有交通路线之上并作为国家垄断的通信网络运行，这使作者能够将国家通信基础设施的效果与交通基础设施的效果以及公民可使用的信息网络区分开来（第1–2、23–24页）。</w:t>
      </w:r>
    </w:p>
    <w:p w14:paraId="14E4828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对法国大革命的启示。 探索性发现表明，获得驿站并经历叛乱增加的教区更有可能在大革命期间设有政治社团，这表明国家建设产生的不满并未消散，而是积累起来，当后续冲击——如1788年干旱或从美国独立战争归来的激进化士兵——创造了动员机会时重新浮现（第25页）。</w:t>
      </w:r>
    </w:p>
    <w:p w14:paraId="0F4ACD87">
      <w:pPr>
        <w:rPr>
          <w:rFonts w:hint="default" w:ascii="Times New Roman Regular" w:hAnsi="Times New Roman Regular" w:cs="Times New Roman Regular" w:eastAsiaTheme="minorEastAsia"/>
        </w:rPr>
      </w:pPr>
    </w:p>
    <w:p w14:paraId="19F872FC">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What are the limitations? / 建议：有什么局限性？</w:t>
      </w:r>
    </w:p>
    <w:p w14:paraId="50DA9D5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Professional scholars would likely identify the following limitations and suggest corresponding improvements:</w:t>
      </w:r>
    </w:p>
    <w:p w14:paraId="71F69B0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1. The black box of </w:t>
      </w:r>
      <w:r>
        <w:rPr>
          <w:rFonts w:hint="default" w:ascii="Times New Roman Regular" w:hAnsi="Times New Roman Regular" w:cs="Times New Roman Regular"/>
          <w:lang w:eastAsia="zh-CN"/>
        </w:rPr>
        <w:t>“material consequences.”</w:t>
      </w:r>
      <w:r>
        <w:rPr>
          <w:rFonts w:hint="default" w:ascii="Times New Roman Regular" w:hAnsi="Times New Roman Regular" w:cs="Times New Roman Regular" w:eastAsiaTheme="minorEastAsia"/>
        </w:rPr>
        <w:t xml:space="preserve"> While the paper argues convincingly that the link between relays and rebellion operates through the material consequences of state penetration rather than through information diffusion, the specific causal chain from relay establishment to individual-level grievance formation to collective action remains somewhat underspecified. The evidence for the mechanisms is primarily correlational — showing that rebellions were directed at state agents — rather than tracing the micro-level process. A scholar might suggest using the detailed motive coding in Nicolas</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survey to construct a more granular typology of grievance sequences and to trace how specific state actions (e.g., a particular tax enforcement campaign documented in archival records) were channeled through the relay network.</w:t>
      </w:r>
    </w:p>
    <w:p w14:paraId="4FF8AC1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1. </w:t>
      </w:r>
      <w:r>
        <w:rPr>
          <w:rFonts w:hint="default" w:ascii="Times New Roman Regular" w:hAnsi="Times New Roman Regular" w:cs="Times New Roman Regular"/>
          <w:lang w:eastAsia="zh-CN"/>
        </w:rPr>
        <w:t>“物质后果”</w:t>
      </w:r>
      <w:r>
        <w:rPr>
          <w:rFonts w:hint="default" w:ascii="Times New Roman Regular" w:hAnsi="Times New Roman Regular" w:cs="Times New Roman Regular" w:eastAsiaTheme="minorEastAsia"/>
        </w:rPr>
        <w:t>的黑箱。 虽然本文令人信服地论证了驿站与叛乱之间的联系通过国家渗透的物质后果而非通过信息传播运作，但从驿站建立到个体层面不满形成再到集体行动的具体因果链仍然有些不够明确。机制的证据主要是相关性的——显示叛乱针对的是国家代理人——而非追踪微观层面的过程。学者可能建议使用Nicolas调查中详细的动机编码来构建更细粒度的不满序列类型学，并追踪特定国家行动（如档案记录中记载的特定税收执法运动）如何通过驿站网络被传导。</w:t>
      </w:r>
    </w:p>
    <w:p w14:paraId="1C4BF0E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Measurement of rebellion and selection bias. The authors are commendably attentive to archival reporting biases, but a fundamental concern remains: Nicolas</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survey necessarily records only rebellions that were documented by contemporary authorities. If the introduction of a relay increased the state</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capacity to detect and record rebellions that would have occurred anyway, the estimated effect would be inflated. The authors argue that monitoring rebellions was not part of the horse post</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surveillance function and that the maréchaussée and judiciary — the main recorders of rebellion — followed different spatial logics. However, this argument is indirect. One could imagine that the improved communication enabled by the relay network allowed local subdélégués to report events more quickly to intendants, whose correspondence survives in departmental archives.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test of restricting to rebellions recorded only by national-level authorities partially addresses this, but a more direct test would examine whether the survival rate of departmental archival series correlates with relay presence.</w:t>
      </w:r>
    </w:p>
    <w:p w14:paraId="3625450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叛乱的测量与选择偏差。 作者对档案记录偏差的关注值得称赞，但一个根本性的担忧仍然存在：Nicolas的调查必然只记录了被当时权威记录的叛乱。如果驿站的引入增加了国家检测和记录本来就会发生的叛乱的能力，那么估计效果将被放大。作者论证监测叛乱不是驿站的监视功能的一部分，而且宪兵和司法——叛乱的主要记录者——遵循不同的空间逻辑。然而，这一论证是间接的。可以想象，驿站网络提供的改进通信使地方subdélégués能够更快地向省督报告事件，而省督的通信保存在省档案馆中。作者限于仅由国家级权威记录的叛乱的检验部分解决了这一问题，但更直接的检验将考察省档案系列的存留率是否与驿站存在相关。</w:t>
      </w:r>
    </w:p>
    <w:p w14:paraId="2C68CB9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The causal chain from relays to state agents. The paper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core argument is that relays facilitated the activities of state agents (tax collectors, military recruiters, judicial officials), whose actions then provoked rebellion. But the paper does not directly measure the intensity of state-agent activity. A stronger design would document, for example, the frequency of tax enforcement actions or military recruitment drives at the parish level and show that these increased following the establishment of a relay. The Corvisier /kɔʁviˈzje/ (1964) data on military recruitment rates, which the authors use for heterogeneity analysis, could be developed further for this purpose.</w:t>
      </w:r>
    </w:p>
    <w:p w14:paraId="087056B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从驿站到国家代理人的因果链。 本文的核心论点是驿站促进了国家代理人（税收官员、军事征兵官、司法官员）的活动，其行动随后引发了叛乱。但本文并未直接测量国家代理人活动的强度。更强的设计将记录例如教区层面税收执法行动或军事征兵活动的频率，并表明这些在驿站建立后增加了。作者用于异质性分析的Corvisier /kɔʁviˈzje/（1964）军事征兵率数据可以进一步开发用于此目的。</w:t>
      </w:r>
    </w:p>
    <w:p w14:paraId="517B0C4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External validity. The paper studies one country in one period. While France is a canonical case of state formation, the specific institutional features of the horse-post system — a state monopoly on rapid communication built atop existing roads — may not generalize to other cases where communication and transportation infrastructure were built simultaneously (as in colonial Africa or nineteenth-century America) or where communication networks were not state-monopolized (as with telegraphs in many countries). The authors acknowledge this as a research design advantage (the separation of communication from transportation effects), but it also limits generalizability.</w:t>
      </w:r>
    </w:p>
    <w:p w14:paraId="6A35114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外部有效性。 本文研究的是一个国家的一个时期。虽然法国是国家形成的经典案例，但驿站系统的特定制度特征——建在已有道路之上的国家快速通信垄断——可能不能推广到通信和交通基础设施同时建设的其他案例（如殖民非洲或十九世纪美国），或通信网络不是国家垄断的案例（如许多国家的电报）。作者承认这是研究设计的优势（通信效果与交通效果的分离），但它也限制了可推广性。</w:t>
      </w:r>
    </w:p>
    <w:p w14:paraId="3321E47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The non-absorbing treatment and relay retirement. About 40% of ever-treated parishes lost their relay at some point. The authors treat relay retirement as an exit from treatment, but the social consequences of relay establishment — alliances with postmasters, disrupted local hierarchies, accumulated grievances — may not dissipate immediately upon relay removal. The authors do test for this by comparing results using only switchers-in (column 4 of Table 3), but a more developed theory of treatment persistence and decay would strengthen the analysis.</w:t>
      </w:r>
    </w:p>
    <w:p w14:paraId="4E27656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非吸收性处理与驿站撤销。 约40%曾被处理的教区在某一时刻失去了驿站。作者将驿站撤销视为退出处理，但驿站建立的社会后果——与驿站长的联盟、被打乱的地方等级、积累的不满——可能不会在驿站撤除后立即消散。作者确实通过仅使用进入处理的切换者来检验这一点（表3第4列），但一个更发展的处理持续性和衰减理论将加强分析。</w:t>
      </w:r>
    </w:p>
    <w:p w14:paraId="2F0DF48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Temporal aggregation at the decade level. The use of ten-year periods as the unit of temporal analysis is dictated by data availability (the Liste des postes was digitized at decadal intervals), but it introduces considerable temporal imprecision. A rebellion in 1731 might be attributed to a relay established in 1721 or to one established in 1731, depending on the coding rules. The authors acknowledge this and test alternative timing specifications, but the fundamental limitation remains.</w:t>
      </w:r>
    </w:p>
    <w:p w14:paraId="0410330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十年级别的时间聚合。 以十年期作为时间分析单位是由数据可用性决定的（《驿站总表》以十年间隔数字化），但它引入了相当大的时间不精确性。1731年的一次叛乱可能被归因于1721年建立的驿站或1731年建立的驿站，取决于编码规则。作者承认这一点并测试了替代时间规格，但根本性局限仍然存在。</w:t>
      </w:r>
    </w:p>
    <w:p w14:paraId="4DBD101A">
      <w:pPr>
        <w:rPr>
          <w:rFonts w:hint="default" w:ascii="Times New Roman Regular" w:hAnsi="Times New Roman Regular" w:cs="Times New Roman Regular" w:eastAsiaTheme="minorEastAsia"/>
        </w:rPr>
      </w:pPr>
    </w:p>
    <w:p w14:paraId="31BB2CA5">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Extensions: What extensions could be proposed? / 拓展：可以提出什么拓展？</w:t>
      </w:r>
    </w:p>
    <w:p w14:paraId="62AF930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Professional scholars would likely propose the following extensions:</w:t>
      </w:r>
    </w:p>
    <w:p w14:paraId="5E76DB9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1: From rebellion to revolution. The paper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exploratory finding that parishes exposed to horse-post relays were more likely to host political societies during the Revolution opens a rich research agenda. A natural extension would systematically investigate whether the spatial pattern of grievance accumulation documented in this paper predicted the geography of revolutionary mobilization in 1789 — including participation in the cahiers de doléances /kaˈjeɪ də dɒleˈɑ̃s/, the storming of chateaux during the Grande Peur /ɡʁɑ̃d pœʁ/, and the formation of National Guard units.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2SLS framework (mentioned in Appendix D, p. 25) could be developed into a full paper examining the long-run consequences of state-building for revolutionary outcomes.</w:t>
      </w:r>
    </w:p>
    <w:p w14:paraId="6BF1112E">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kern w:val="2"/>
          <w:sz w:val="21"/>
          <w:szCs w:val="21"/>
        </w:rPr>
      </w:pPr>
      <w:r>
        <w:rPr>
          <w:rFonts w:hint="eastAsia" w:ascii="宋体" w:hAnsi="宋体" w:eastAsia="宋体" w:cs="宋体"/>
          <w:kern w:val="2"/>
          <w:sz w:val="21"/>
          <w:szCs w:val="21"/>
          <w:lang w:val="en-US" w:eastAsia="zh-CN" w:bidi="ar"/>
        </w:rPr>
        <w:t>拓展一：从叛乱到革命。</w:t>
      </w:r>
      <w:r>
        <w:rPr>
          <w:rFonts w:hint="default" w:ascii="Times New Roman Regular" w:hAnsi="Times New Roman Regular" w:eastAsia="宋体" w:cs="Times New Roman Regular"/>
          <w:kern w:val="2"/>
          <w:sz w:val="21"/>
          <w:szCs w:val="21"/>
          <w:lang w:val="en-US" w:eastAsia="zh-CN" w:bidi="ar"/>
        </w:rPr>
        <w:t xml:space="preserve"> </w:t>
      </w:r>
      <w:r>
        <w:rPr>
          <w:rFonts w:hint="eastAsia" w:ascii="宋体" w:hAnsi="宋体" w:eastAsia="宋体" w:cs="宋体"/>
          <w:kern w:val="2"/>
          <w:sz w:val="21"/>
          <w:szCs w:val="21"/>
          <w:lang w:val="en-US" w:eastAsia="zh-CN" w:bidi="ar"/>
        </w:rPr>
        <w:t>本文关于暴露于驿站的教区更有可能在大革命期间设有政治社团的探索性发现开辟了丰富的研究议程。自然的拓展将系统地调查本文记录的不满积累的空间模式是否预测了</w:t>
      </w:r>
      <w:r>
        <w:rPr>
          <w:rFonts w:hint="default" w:ascii="Times New Roman Regular" w:hAnsi="Times New Roman Regular" w:eastAsia="宋体" w:cs="Times New Roman Regular"/>
          <w:kern w:val="2"/>
          <w:sz w:val="21"/>
          <w:szCs w:val="21"/>
          <w:lang w:val="en-US" w:eastAsia="zh-CN" w:bidi="ar"/>
        </w:rPr>
        <w:t>1789</w:t>
      </w:r>
      <w:r>
        <w:rPr>
          <w:rFonts w:hint="eastAsia" w:ascii="宋体" w:hAnsi="宋体" w:eastAsia="宋体" w:cs="宋体"/>
          <w:kern w:val="2"/>
          <w:sz w:val="21"/>
          <w:szCs w:val="21"/>
          <w:lang w:val="en-US" w:eastAsia="zh-CN" w:bidi="ar"/>
        </w:rPr>
        <w:t>年革命动员的地理分布</w:t>
      </w:r>
      <w:r>
        <w:rPr>
          <w:rFonts w:hint="default" w:ascii="Times New Roman Regular" w:hAnsi="Times New Roman Regular" w:eastAsia="Times New Roman Regular" w:cs="Times New Roman Regular"/>
          <w:kern w:val="2"/>
          <w:sz w:val="21"/>
          <w:szCs w:val="21"/>
          <w:lang w:val="en-US" w:eastAsia="zh-CN" w:bidi="ar"/>
        </w:rPr>
        <w:t>——</w:t>
      </w:r>
      <w:r>
        <w:rPr>
          <w:rFonts w:hint="eastAsia" w:ascii="宋体" w:hAnsi="宋体" w:eastAsia="宋体" w:cs="宋体"/>
          <w:kern w:val="2"/>
          <w:sz w:val="21"/>
          <w:szCs w:val="21"/>
          <w:lang w:val="en-US" w:eastAsia="zh-CN" w:bidi="ar"/>
        </w:rPr>
        <w:t xml:space="preserve">包括参与陈情书 </w:t>
      </w:r>
      <w:r>
        <w:rPr>
          <w:rFonts w:hint="default" w:ascii="Times New Roman Regular" w:hAnsi="Times New Roman Regular" w:eastAsia="Times New Roman Regular" w:cs="Times New Roman Regular"/>
          <w:kern w:val="2"/>
          <w:sz w:val="21"/>
          <w:szCs w:val="21"/>
          <w:lang w:val="en-US" w:eastAsia="zh-CN" w:bidi="ar"/>
        </w:rPr>
        <w:t xml:space="preserve">/kaˈjeɪ də dɒleˈɑ̃s/ </w:t>
      </w:r>
      <w:r>
        <w:rPr>
          <w:rFonts w:hint="eastAsia" w:ascii="宋体" w:hAnsi="宋体" w:eastAsia="宋体" w:cs="宋体"/>
          <w:kern w:val="2"/>
          <w:sz w:val="21"/>
          <w:szCs w:val="21"/>
          <w:lang w:val="en-US" w:eastAsia="zh-CN" w:bidi="ar"/>
        </w:rPr>
        <w:t xml:space="preserve">的撰写、大恐慌 </w:t>
      </w:r>
      <w:r>
        <w:rPr>
          <w:rFonts w:hint="default" w:ascii="Times New Roman Regular" w:hAnsi="Times New Roman Regular" w:eastAsia="Times New Roman Regular" w:cs="Times New Roman Regular"/>
          <w:kern w:val="2"/>
          <w:sz w:val="21"/>
          <w:szCs w:val="21"/>
          <w:lang w:val="en-US" w:eastAsia="zh-CN" w:bidi="ar"/>
        </w:rPr>
        <w:t xml:space="preserve">/ɡʁɑ̃d pœʁ/ </w:t>
      </w:r>
      <w:r>
        <w:rPr>
          <w:rFonts w:hint="eastAsia" w:ascii="宋体" w:hAnsi="宋体" w:eastAsia="宋体" w:cs="宋体"/>
          <w:kern w:val="2"/>
          <w:sz w:val="21"/>
          <w:szCs w:val="21"/>
          <w:lang w:val="en-US" w:eastAsia="zh-CN" w:bidi="ar"/>
        </w:rPr>
        <w:t>期间的城堡风暴，以及国民卫队单位的组建。作者的</w:t>
      </w:r>
      <w:r>
        <w:rPr>
          <w:rFonts w:hint="default" w:ascii="Times New Roman Regular" w:hAnsi="Times New Roman Regular" w:eastAsia="Times New Roman Regular" w:cs="Times New Roman Regular"/>
          <w:kern w:val="2"/>
          <w:sz w:val="21"/>
          <w:szCs w:val="21"/>
          <w:lang w:val="en-US" w:eastAsia="zh-CN" w:bidi="ar"/>
        </w:rPr>
        <w:t>2SLS</w:t>
      </w:r>
      <w:r>
        <w:rPr>
          <w:rFonts w:hint="eastAsia" w:ascii="宋体" w:hAnsi="宋体" w:eastAsia="宋体" w:cs="宋体"/>
          <w:kern w:val="2"/>
          <w:sz w:val="21"/>
          <w:szCs w:val="21"/>
          <w:lang w:val="en-US" w:eastAsia="zh-CN" w:bidi="ar"/>
        </w:rPr>
        <w:t>框架（在附录</w:t>
      </w:r>
      <w:r>
        <w:rPr>
          <w:rFonts w:hint="default" w:ascii="Times New Roman Regular" w:hAnsi="Times New Roman Regular" w:eastAsia="Times New Roman Regular" w:cs="Times New Roman Regular"/>
          <w:kern w:val="2"/>
          <w:sz w:val="21"/>
          <w:szCs w:val="21"/>
          <w:lang w:val="en-US" w:eastAsia="zh-CN" w:bidi="ar"/>
        </w:rPr>
        <w:t>D</w:t>
      </w:r>
      <w:r>
        <w:rPr>
          <w:rFonts w:hint="eastAsia" w:ascii="宋体" w:hAnsi="宋体" w:eastAsia="宋体" w:cs="宋体"/>
          <w:kern w:val="2"/>
          <w:sz w:val="21"/>
          <w:szCs w:val="21"/>
          <w:lang w:val="en-US" w:eastAsia="zh-CN" w:bidi="ar"/>
        </w:rPr>
        <w:t>中提及，第</w:t>
      </w:r>
      <w:r>
        <w:rPr>
          <w:rFonts w:hint="default" w:ascii="Times New Roman Regular" w:hAnsi="Times New Roman Regular" w:eastAsia="Times New Roman Regular" w:cs="Times New Roman Regular"/>
          <w:kern w:val="2"/>
          <w:sz w:val="21"/>
          <w:szCs w:val="21"/>
          <w:lang w:val="en-US" w:eastAsia="zh-CN" w:bidi="ar"/>
        </w:rPr>
        <w:t>25</w:t>
      </w:r>
      <w:r>
        <w:rPr>
          <w:rFonts w:hint="eastAsia" w:ascii="宋体" w:hAnsi="宋体" w:eastAsia="宋体" w:cs="宋体"/>
          <w:kern w:val="2"/>
          <w:sz w:val="21"/>
          <w:szCs w:val="21"/>
          <w:lang w:val="en-US" w:eastAsia="zh-CN" w:bidi="ar"/>
        </w:rPr>
        <w:t>页）可以发展为一篇完整论文，考察国家建设对革命结果的长期后果。</w:t>
      </w:r>
    </w:p>
    <w:p w14:paraId="569B2DF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2: Comparative state-building backlash. The paper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finding could be tested in other contexts of early modern state-building. England</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/ˈɪŋɡlənd/ expansion of county administration under the Tudors /ˈtjuːdərz/, Prussia</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/ˈprʌʃə/ imposition of Kantonsystem /kanˈtoːnzɪsteːm/ military recruitment, the Habsburg /ˈhæpsbɜːrɡ/ expansion of administrative reach into Hungary /ˈhʌŋɡəri/ and Bohemia /boʊˈhiːmiə/, and the Ottoman /ˈɒtəmən/ timar system all provide comparable cases where state infrastructure expansion may have generated popular backlash. The key question is whether the mechanisms identified in France — tax enforcement, conscription, judicial enforcement, and crowding out of private interests — operate similarly in different institutional contexts.</w:t>
      </w:r>
    </w:p>
    <w:p w14:paraId="296B87B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拓展二：比较性国家建设反弹。 本文的发现可以在其他近代早期国家建设的背景下检验。都铎 /ˈtjuːdərz/ 王朝下英格兰 /ˈɪŋɡlənd/ 郡行政的扩展、普鲁士 /ˈprʌʃə/ 推行的Kantonsystem /kanˈtoːnzɪsteːm/ 军事征兵制、哈布斯堡 /ˈhæpsbɜːrɡ/ 将行政触角延伸到匈牙利 /ˈhʌŋɡəri/ 和波希米亚 /boʊˈhiːmiə/，以及奥斯曼 /ˈɒtəmən/ 蒂马尔制度，都提供了国家基础设施扩张可能引发民众反弹的可比案例。关键问题是法国识别出的机制——税收执法、征兵、司法执法和排挤私人利益——是否在不同的制度背景下类似地运作。</w:t>
      </w:r>
    </w:p>
    <w:p w14:paraId="208CDEE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Extension 3: State-building and the development of protest repertoires. The </w:t>
      </w:r>
      <w:r>
        <w:rPr>
          <w:rFonts w:hint="default" w:ascii="Times New Roman Regular" w:hAnsi="Times New Roman Regular" w:cs="Times New Roman Regular"/>
          <w:lang w:eastAsia="zh-CN"/>
        </w:rPr>
        <w:t>“gathering effect”</w:t>
      </w:r>
      <w:r>
        <w:rPr>
          <w:rFonts w:hint="default" w:ascii="Times New Roman Regular" w:hAnsi="Times New Roman Regular" w:cs="Times New Roman Regular" w:eastAsiaTheme="minorEastAsia"/>
        </w:rPr>
        <w:t xml:space="preserve"> documented in the paper suggests that new state infrastructure created new focal points for collective action. This connects to Tilly</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(1986) theory of evolving repertoires of contention. A Tilly-inspired extension would trace how the spatial reorganization of protest around horse-post relays contributed to the shift from </w:t>
      </w:r>
      <w:r>
        <w:rPr>
          <w:rFonts w:hint="default" w:ascii="Times New Roman Regular" w:hAnsi="Times New Roman Regular" w:cs="Times New Roman Regular"/>
          <w:lang w:eastAsia="zh-CN"/>
        </w:rPr>
        <w:t>“parochial, patronized, and particular”</w:t>
      </w:r>
      <w:r>
        <w:rPr>
          <w:rFonts w:hint="default" w:ascii="Times New Roman Regular" w:hAnsi="Times New Roman Regular" w:cs="Times New Roman Regular" w:eastAsiaTheme="minorEastAsia"/>
        </w:rPr>
        <w:t xml:space="preserve"> forms of contention to </w:t>
      </w:r>
      <w:r>
        <w:rPr>
          <w:rFonts w:hint="default" w:ascii="Times New Roman Regular" w:hAnsi="Times New Roman Regular" w:cs="Times New Roman Regular"/>
          <w:lang w:eastAsia="zh-CN"/>
        </w:rPr>
        <w:t>“cosmopolitan, autonomous, and modular”</w:t>
      </w:r>
      <w:r>
        <w:rPr>
          <w:rFonts w:hint="default" w:ascii="Times New Roman Regular" w:hAnsi="Times New Roman Regular" w:cs="Times New Roman Regular" w:eastAsiaTheme="minorEastAsia"/>
        </w:rPr>
        <w:t xml:space="preserve"> ones — a transformation that Tilly argues was central to the emergence of modern social movements.</w:t>
      </w:r>
    </w:p>
    <w:p w14:paraId="4DC513F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拓展三：国家建设与抗议剧目的发展。 本文记录的</w:t>
      </w:r>
      <w:r>
        <w:rPr>
          <w:rFonts w:hint="default" w:ascii="Times New Roman Regular" w:hAnsi="Times New Roman Regular" w:cs="Times New Roman Regular"/>
          <w:lang w:eastAsia="zh-CN"/>
        </w:rPr>
        <w:t>“聚集效应”</w:t>
      </w:r>
      <w:r>
        <w:rPr>
          <w:rFonts w:hint="default" w:ascii="Times New Roman Regular" w:hAnsi="Times New Roman Regular" w:cs="Times New Roman Regular" w:eastAsiaTheme="minorEastAsia"/>
        </w:rPr>
        <w:t>表明新的国家基础设施创造了集体行动的新焦点。这与蒂利（1986）关于不断演变的抗争剧目的理论相联系。一个受蒂利启发的拓展将追踪围绕驿站的抗议空间重组如何促成了从</w:t>
      </w:r>
      <w:r>
        <w:rPr>
          <w:rFonts w:hint="default" w:ascii="Times New Roman Regular" w:hAnsi="Times New Roman Regular" w:cs="Times New Roman Regular"/>
          <w:lang w:eastAsia="zh-CN"/>
        </w:rPr>
        <w:t>“地方性的、庇护性的和特殊的”</w:t>
      </w:r>
      <w:r>
        <w:rPr>
          <w:rFonts w:hint="default" w:ascii="Times New Roman Regular" w:hAnsi="Times New Roman Regular" w:cs="Times New Roman Regular" w:eastAsiaTheme="minorEastAsia"/>
        </w:rPr>
        <w:t>抗争形式向</w:t>
      </w:r>
      <w:r>
        <w:rPr>
          <w:rFonts w:hint="default" w:ascii="Times New Roman Regular" w:hAnsi="Times New Roman Regular" w:cs="Times New Roman Regular"/>
          <w:lang w:eastAsia="zh-CN"/>
        </w:rPr>
        <w:t>“世界性的、自主的和模块化的”</w:t>
      </w:r>
      <w:r>
        <w:rPr>
          <w:rFonts w:hint="default" w:ascii="Times New Roman Regular" w:hAnsi="Times New Roman Regular" w:cs="Times New Roman Regular" w:eastAsiaTheme="minorEastAsia"/>
        </w:rPr>
        <w:t>抗争形式的转变——蒂利认为这一转变对现代社会运动的出现至关重要。</w:t>
      </w:r>
    </w:p>
    <w:p w14:paraId="7FAB57C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4: Winners and losers of state-building. The paper identifies postmasters as winners and horse renters, off-road innkeepers, and commoners facing conscription as losers. A more systematic analysis of the distributional consequences of relay introduction — using the taille and capitation records mentioned by Tonnaire /tɔnˈnɛːʁ/ (2005) — could examine whether state-building generated localized inequality and whether this inequality mediated the rebellion response. This would connect the paper to the literature on fiscal capacity and distributive conflict (Levi 1989; Besley and Persson 2011) that we have discussed in our readings.</w:t>
      </w:r>
    </w:p>
    <w:p w14:paraId="4AE987B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拓展四：国家建设的赢家和输家。 本文将驿站长识别为赢家，将马匹租赁商、不在邮路上的旅店主和面临征兵的平民识别为输家。利用Tonnaire /tɔnˈnɛːʁ/（2005）提到的taille和人头税记录，对驿站引入的分配后果进行更系统的分析，可以考察国家建设是否产生了地方化的不平等，以及这种不平等是否调节了叛乱反应。这将把本文与我们在阅读中讨论过的财政能力和分配冲突文献（Levi 1989; Besley and Persson 2011）联系起来。</w:t>
      </w:r>
    </w:p>
    <w:p w14:paraId="27FA2FA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5: The role of legitimacy. The paper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argument implies that rebellion arose partly because the state lacked sufficient legitimacy to justify its expanding presence. But legitimacy is not directly measured or theorized. An extension could draw on the cahiers de doléances to examine whether parishes exposed to horse-post relays expressed different types of grievances — particularly whether they framed their complaints in terms of justice, fairness, or traditional rights — and whether these framings predicted revolutionary political alignment (royalist vs. republican).</w:t>
      </w:r>
    </w:p>
    <w:p w14:paraId="2BEF8D6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拓展五：合法性的角色。 本文的论点暗示叛乱部分因国家缺乏足够的合法性来证明其扩展存在的正当性而产生。但合法性并未被直接测量或理论化。一个拓展可以利用陈情书来考察暴露于驿站的教区是否表达了不同类型的不满——特别是它们是否以正义、公平或传统权利的框架来表述投诉——以及这些框架是否预测了革命时期的政治取向（保王派vs.共和派）。</w:t>
      </w:r>
    </w:p>
    <w:p w14:paraId="25C7D40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 6: Information diffusion vs. material consequences — a sharper test. While the authors convincingly rule out the letter-post system as a confounding channel for information diffusion, the broader question of whether state communication infrastructure can also facilitate citizen coordination remains open. In contexts where communication networks are not state-monopolized (e.g., the telegraph in the nineteenth century, mobile phones in the twenty-first), the relative importance of material-consequences vs. information-diffusion mechanisms may differ. A comparative study across different types of communication infrastructure — state-monopolized (horse post), quasi-public (telegraph), and open-access (mobile phones) — could shed light on the conditions under which each mechanism dominates.</w:t>
      </w:r>
    </w:p>
    <w:p w14:paraId="2988DF95">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拓展六：信息传播vs.物质后果——更锐利的检验。 虽然作者令人信服地排除了信件邮政系统作为信息传播的混淆渠道，但关于国家通信基础设施是否也能促进公民协调的更广泛问题仍然开放。在通信网络不是国家垄断的背景下（如十九世纪的电报、二十一世纪的手机），物质后果vs.信息传播机制的相对重要性可能不同。跨越不同类型通信基础设施——国家垄断（驿站）、准公共（电报）和开放获取（手机）——的比较研究可以阐明每种机制在何种条件下占主导地位。</w:t>
      </w:r>
    </w:p>
    <w:p w14:paraId="4050225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Extension 7: Connecting to the </w:t>
      </w:r>
      <w:r>
        <w:rPr>
          <w:rFonts w:hint="default" w:ascii="Times New Roman Regular" w:hAnsi="Times New Roman Regular" w:cs="Times New Roman Regular"/>
          <w:lang w:eastAsia="zh-CN"/>
        </w:rPr>
        <w:t>“paradox of the weak state.”</w:t>
      </w:r>
      <w:r>
        <w:rPr>
          <w:rFonts w:hint="default" w:ascii="Times New Roman Regular" w:hAnsi="Times New Roman Regular" w:cs="Times New Roman Regular" w:eastAsiaTheme="minorEastAsia"/>
        </w:rPr>
        <w:t xml:space="preserve"> The paper</w:t>
      </w:r>
      <w:r>
        <w:rPr>
          <w:rFonts w:hint="default" w:ascii="Times New Roman Regular" w:hAnsi="Times New Roman Regular" w:cs="Times New Roman Regular"/>
          <w:lang w:eastAsia="zh-CN"/>
        </w:rPr>
        <w:t>’s</w:t>
      </w:r>
      <w:r>
        <w:rPr>
          <w:rFonts w:hint="default" w:ascii="Times New Roman Regular" w:hAnsi="Times New Roman Regular" w:cs="Times New Roman Regular" w:eastAsiaTheme="minorEastAsia"/>
        </w:rPr>
        <w:t xml:space="preserve"> finding resonates with what might be called the </w:t>
      </w:r>
      <w:r>
        <w:rPr>
          <w:rFonts w:hint="default" w:ascii="Times New Roman Regular" w:hAnsi="Times New Roman Regular" w:cs="Times New Roman Regular"/>
          <w:lang w:eastAsia="zh-CN"/>
        </w:rPr>
        <w:t>“Goldilocks problem”</w:t>
      </w:r>
      <w:r>
        <w:rPr>
          <w:rFonts w:hint="default" w:ascii="Times New Roman Regular" w:hAnsi="Times New Roman Regular" w:cs="Times New Roman Regular" w:eastAsiaTheme="minorEastAsia"/>
        </w:rPr>
        <w:t xml:space="preserve"> of state-building: states that are too weak cannot provoke resistance (because they are not present enough to impose costs), while states that are very strong can suppress it. It is states in the intermediate range — present enough to impose burdens but not strong enough to deter challenges — that face the greatest risk of rebellion. This connects to Pruett (2024) on colonial West Africa and to the broader literature on state-building and civil war (Fearon and Laitin 2003). A formal model of this non-monotonic relationship between state capacity and rebellion could provide a theoretical foundation for the empirical patterns documented in the paper.</w:t>
      </w:r>
    </w:p>
    <w:p w14:paraId="29D31D4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拓展七：连接</w:t>
      </w:r>
      <w:r>
        <w:rPr>
          <w:rFonts w:hint="default" w:ascii="Times New Roman Regular" w:hAnsi="Times New Roman Regular" w:cs="Times New Roman Regular"/>
          <w:lang w:eastAsia="zh-CN"/>
        </w:rPr>
        <w:t>“弱国家悖论”</w:t>
      </w:r>
      <w:r>
        <w:rPr>
          <w:rFonts w:hint="default" w:ascii="Times New Roman Regular" w:hAnsi="Times New Roman Regular" w:cs="Times New Roman Regular" w:eastAsiaTheme="minorEastAsia"/>
        </w:rPr>
        <w:t>。 本文的发现与可以称为国家建设的</w:t>
      </w:r>
      <w:r>
        <w:rPr>
          <w:rFonts w:hint="default" w:ascii="Times New Roman Regular" w:hAnsi="Times New Roman Regular" w:cs="Times New Roman Regular"/>
          <w:lang w:eastAsia="zh-CN"/>
        </w:rPr>
        <w:t>“金发姑娘问题”</w:t>
      </w:r>
      <w:r>
        <w:rPr>
          <w:rFonts w:hint="default" w:ascii="Times New Roman Regular" w:hAnsi="Times New Roman Regular" w:cs="Times New Roman Regular" w:eastAsiaTheme="minorEastAsia"/>
        </w:rPr>
        <w:t>相呼应：太弱的国家无法引发抵抗（因为它们的存在不够强到施加成本），而非常强大的国家可以压制它。处于中间范围的国家——存在感足以施加负担但不够强大到威慑挑战——面临最大的叛乱风险。这与Pruett（2024）关于殖民西非的研究以及更广泛的国家建设与内战文献（Fearon and Laitin 2003）相联系。对国家能力与叛乱之间这种非单调关系的形式模型可以为本文记录的实证模式提供理论基础。</w:t>
      </w:r>
    </w:p>
    <w:p w14:paraId="02CD86A9">
      <w:pPr>
        <w:rPr>
          <w:rFonts w:hint="default" w:ascii="Times New Roman Regular" w:hAnsi="Times New Roman Regular" w:cs="Times New Roman Regular" w:eastAsiaTheme="minorEastAsia"/>
        </w:rPr>
      </w:pPr>
    </w:p>
    <w:p w14:paraId="289CB90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Note on Formal Models / 关于形式模型的说明</w:t>
      </w:r>
    </w:p>
    <w:p w14:paraId="4BDB887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paper does not propose a formal theoretical model. The argument is substantive and historically grounded rather than model-driven. The authors draw on established theories of state formation (Tilly 1990; Mann 1984; Elias [1939] 1994; Migdal 1988) and connect them to the specific institutional context of eighteenth-century France through detailed historical narrative and causal inference. The research design is entirely empirical, centered on a staggered difference-in-differences framework with careful attention to identification assumptions and robustness (pp. 12–18).</w:t>
      </w:r>
    </w:p>
    <w:p w14:paraId="7BE9813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本文未提出形式理论模型。论点是实质性的和以历史为基础的，而非模型驱动的。作者借鉴了既有的国家形成理论（Tilly 1990; Mann 1984; Elias [1939] 1994; Migdal 1988），并通过详细的历史叙述和因果推断将它们与十八世纪法国的特定制度背景联系起来。研究设计完全是实证性的，以交错双重差分框架为中心，对识别假设和稳健性给予了仔细的关注（第12–18页）。</w:t>
      </w:r>
    </w:p>
    <w:p w14:paraId="4AD930A0">
      <w:pPr>
        <w:rPr>
          <w:rFonts w:hint="default" w:ascii="Times New Roman Regular" w:hAnsi="Times New Roman Regular" w:cs="Times New Roman Regular" w:eastAsiaTheme="minorEastAsia"/>
        </w:rPr>
      </w:pPr>
    </w:p>
    <w:p w14:paraId="33942A5C">
      <w:pPr>
        <w:rPr>
          <w:rFonts w:hint="default" w:ascii="Times New Roman Regular" w:hAnsi="Times New Roman Regular" w:cs="Times New Roman Regular" w:eastAsiaTheme="minorEastAsia"/>
        </w:rPr>
      </w:pPr>
    </w:p>
    <w:p w14:paraId="15AA4164">
      <w:pPr>
        <w:rPr>
          <w:rFonts w:hint="default" w:ascii="Times New Roman Regular" w:hAnsi="Times New Roman Regular" w:cs="Times New Roman Regular" w:eastAsiaTheme="minorEastAsia"/>
        </w:rPr>
      </w:pPr>
    </w:p>
    <w:p w14:paraId="1CF6D192">
      <w:pPr>
        <w:rPr>
          <w:rFonts w:hint="default" w:ascii="Times New Roman Regular" w:hAnsi="Times New Roman Regular" w:cs="Times New Roman Regular" w:eastAsiaTheme="minorEastAsia"/>
        </w:rPr>
      </w:pPr>
    </w:p>
    <w:p w14:paraId="4CD70C19">
      <w:pPr>
        <w:rPr>
          <w:rFonts w:hint="default" w:ascii="Times New Roman Regular" w:hAnsi="Times New Roman Regular" w:cs="Times New Roman Regular"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EFF6DB61"/>
    <w:rsid w:val="1DB66107"/>
    <w:rsid w:val="2EFE19D5"/>
    <w:rsid w:val="2FB7A2DC"/>
    <w:rsid w:val="3869CA7A"/>
    <w:rsid w:val="4F7F6D1C"/>
    <w:rsid w:val="6ADA84B4"/>
    <w:rsid w:val="6B7FA78A"/>
    <w:rsid w:val="6FFF1A81"/>
    <w:rsid w:val="777BD8A9"/>
    <w:rsid w:val="7ADC0406"/>
    <w:rsid w:val="7DBFAA1B"/>
    <w:rsid w:val="7FFDF75E"/>
    <w:rsid w:val="AD3E0243"/>
    <w:rsid w:val="B33F383F"/>
    <w:rsid w:val="BEFFD8AA"/>
    <w:rsid w:val="BF63A921"/>
    <w:rsid w:val="BFDF091E"/>
    <w:rsid w:val="E78FFEB0"/>
    <w:rsid w:val="EFDF18B0"/>
    <w:rsid w:val="EFF6DB61"/>
    <w:rsid w:val="F679A1B6"/>
    <w:rsid w:val="FDC6F213"/>
    <w:rsid w:val="FECF6E0A"/>
    <w:rsid w:val="FFD7D7CB"/>
    <w:rsid w:val="FFFAC9F5"/>
    <w:rsid w:val="FFFD0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0</Words>
  <Characters>0</Characters>
  <Lines>1</Lines>
  <Paragraphs>1</Paragraphs>
  <TotalTime>36</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2026-03-23T21:06:00Z</dcterms:created>
  <dc:creator>夏一丹</dc:creator>
  <cp:lastModifiedBy>夏一丹</cp:lastModifiedBy>
  <dcterms:modified xsi:type="dcterms:W3CDTF">2026-04-01T18:09:38Z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813C9C1694ADDC944F00CC692B823A8B_43</vt:lpwstr>
  </property>
</Properties>
</file>