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AEFD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Lecture Notes: Historical State Formation and Long-Run Development in Vietnam</w:t>
      </w:r>
    </w:p>
    <w:p w14:paraId="53417A4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讲义：历史国家形成与越南的长期发展</w:t>
      </w:r>
    </w:p>
    <w:p w14:paraId="33CE5538">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4F1A8C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1. Literature Name / 文献名称</w:t>
      </w:r>
    </w:p>
    <w:p w14:paraId="0F829AB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paper is titled </w:t>
      </w:r>
      <w:r>
        <w:rPr>
          <w:rFonts w:hint="default" w:ascii="Times New Roman Regular" w:hAnsi="Times New Roman Regular" w:cs="Times New Roman Regular"/>
          <w:lang w:val="en-US"/>
        </w:rPr>
        <w:t>“The Historical State, Local Collective Action, and Economic Development in Vietnam,”</w:t>
      </w:r>
      <w:r>
        <w:rPr>
          <w:rFonts w:hint="default" w:ascii="Times New Roman Regular" w:hAnsi="Times New Roman Regular" w:cs="Times New Roman Regular"/>
        </w:rPr>
        <w:t xml:space="preserve"> published in </w:t>
      </w:r>
      <w:r>
        <w:rPr>
          <w:rStyle w:val="8"/>
          <w:rFonts w:hint="default" w:ascii="Times New Roman Regular" w:hAnsi="Times New Roman Regular" w:cs="Times New Roman Regular"/>
        </w:rPr>
        <w:t>Econometrica</w:t>
      </w:r>
      <w:r>
        <w:rPr>
          <w:rFonts w:hint="default" w:ascii="Times New Roman Regular" w:hAnsi="Times New Roman Regular" w:cs="Times New Roman Regular"/>
        </w:rPr>
        <w:t>, Volume 86, Number 6, in November 2018, spanning pages 2083 to 2121 (p. 2083).</w:t>
      </w:r>
    </w:p>
    <w:p w14:paraId="500C478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该文献题为《历史国家、地方集体行动与越南的经济发展》，发表于2018年11月的《计量经济学》（</w:t>
      </w:r>
      <w:r>
        <w:rPr>
          <w:rStyle w:val="8"/>
          <w:rFonts w:hint="default" w:ascii="Times New Roman Regular" w:hAnsi="Times New Roman Regular" w:cs="Times New Roman Regular"/>
        </w:rPr>
        <w:t>Econometrica</w:t>
      </w:r>
      <w:r>
        <w:rPr>
          <w:rFonts w:hint="default" w:ascii="Times New Roman Regular" w:hAnsi="Times New Roman Regular" w:cs="Times New Roman Regular"/>
        </w:rPr>
        <w:t>）第86卷第6期，页码为2083至2121页（第2083页）。</w:t>
      </w:r>
    </w:p>
    <w:p w14:paraId="1F9840E0">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9CF830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2. Author(s) / 作者</w:t>
      </w:r>
    </w:p>
    <w:p w14:paraId="5D59883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paper is authored by three scholars: Melissa Dell [məˈlɪsə dɛl] from the Department of Economics at Harvard University and the National Bureau of Economic Research (NBER); Nathan Lane [ˈneɪθən leɪn] from the Department of Economics at Monash University [ˈmɒnæʃ] and the Massachusetts Institute of Technology (MIT); and Pablo Querubin [ˈpɑːbloʊ keɪruːˈbiːn] from the Department of Politics at New York University (p. 2083).</w:t>
      </w:r>
    </w:p>
    <w:p w14:paraId="10F9A73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该论文由三位学者合著：Melissa Dell（梅丽莎·戴尔）[məˈlɪsə dɛl]，来自哈佛大学经济系及美国国家经济研究局（NBER）；Nathan Lane（内森·莱恩）[ˈneɪθən leɪn]，来自莫纳什大学[ˈmɒnæʃ]经济系及麻省理工学院（MIT）经济系；Pablo Querubin（巴勃罗·克鲁宾）[ˈpɑːbloʊ keɪruːˈbiːn]，来自纽约大学政治学系（第2083页）。</w:t>
      </w:r>
    </w:p>
    <w:p w14:paraId="454D3CCC">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13895E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3. Published Year / 发表年份</w:t>
      </w:r>
    </w:p>
    <w:p w14:paraId="25448A9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paper was published in November 2018. The manuscript was initially received on February 20, 2017, the final version was accepted on May 23, 2018, and it became available online on June 22, 2018 (p. 2121).</w:t>
      </w:r>
    </w:p>
    <w:p w14:paraId="22EFB03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该论文发表于2018年11月。稿件最初于2017年2月20日收到，最终版本于2018年5月23日被接受，并于2018年6月22日在线发布（第2121页）。</w:t>
      </w:r>
    </w:p>
    <w:p w14:paraId="63C09DDB">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931547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4. DV: Main Dependent Variable / 因变量：主要被解释变量</w:t>
      </w:r>
    </w:p>
    <w:p w14:paraId="2A5577D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本研究的主要因变量是长期经济发展与繁荣程度。作者通过不同时期的多种测量指标来操作化这一概念。对于当代结果，他们主要使用2002年至2012年间越南家庭生活水平调查（VHLSS）中的家庭消费支出数据。具体而言，他们通过从总消费中减去转移收入来构建等效家庭消费指标，并按照Deaton（1997）的方法调整家庭构成：0-4岁儿童计为0.4个成年人，5-14岁儿童计为0.5个成年人（第2097页）。研究发现，大越[daɪ vjɛt]一侧边界的家庭消费比高棉[kmɛr]一侧高出约三分之一（第2084页）。</w:t>
      </w:r>
    </w:p>
    <w:p w14:paraId="567D675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除消费外，作者还考察了以受教育年限衡量的人力资本，针对25岁以上个体，发现历史上属于大越地区的居民平均多受约0.95年的教育（第2102页）。研究还检验了一系列丰富的中介变量，这些变量可能介导历史制度与经济发展之间的关系，包括公民社会参与、地方政府运作、公共物品供给（医疗、教育、执法）以及各种地方集体行动能力指标（第2106-2111页）。</w:t>
      </w:r>
    </w:p>
    <w:p w14:paraId="50BC6D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对于历史时期，作者使用了殖民时代地图（1878-1926年）中的电报线和道路密度、太平化态度与分析调查（1970-1972年）中的家庭收入数据，以及村落评估系统（1969-1973年）中的经济指标，包括非稻米食品供应、制成品供应和家庭车辆拥有情况（第2103-2105页）。</w:t>
      </w:r>
    </w:p>
    <w:p w14:paraId="032426B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main dependent variable in this study is long-run economic development and prosperity. The authors operationalize this concept through multiple measures across different time periods. For contemporary outcomes, they primarily use household consumption expenditure from the Vietnam Household Living Standards Surveys (VHLSS) collected between 2002 and 2012. Specifically, they construct a measure of equivalent household consumption by subtracting transfers received from total consumption, then adjusting for household composition where children aged 0-4 are counted as 0.4 adults and children aged 5-14 as 0.5 adults, following Deaton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(1997) methodology (p. 2097). The study finds that household consumption on the Dai Viet [daɪ vjɛt] side of the boundary is approximately one-third higher than on the Khmer [kmɛr] side (p. 2084).</w:t>
      </w:r>
    </w:p>
    <w:p w14:paraId="144618C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Beyond consumption, the authors examine human capital measured as years of schooling for individuals over age 25, finding that residents in historically Dai Viet areas have approximately 0.95 additional years of education (p. 2102). The study also examines a rich set of intermediate outcomes that plausibly mediate the relationship between historical institutions and economic development, including civil society participation, local government functioning, public goods provision (healthcare, education, law enforcement), and various indicators of local collective action capacity (pp. 2106-2111).</w:t>
      </w:r>
    </w:p>
    <w:p w14:paraId="19D1DE8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For historical periods, the authors use telegraph and road density from colonial-era maps (1878-1926), household income data from the Pacification Attitudes and Analysis Survey (1970-1972), and economic indicators from the Hamlet Evaluation System (1969-1973), including availability of non-rice foodstuffs, manufactured goods, and household access to vehicles (pp. 2103-2105).</w:t>
      </w:r>
    </w:p>
    <w:p w14:paraId="35FC62F0">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4BE4E4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5. IV: Main Independent Variable / 自变量：主要解释变量</w:t>
      </w:r>
    </w:p>
    <w:p w14:paraId="3CDADF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主要自变量是接触大越行政制度的持续时间，操作化为一个二元指标，表示某村庄是否在1698年被组织为越南行政村落，还是直到19世纪初才被纳入。处理边界对应于1698年嘉定[ʒaː dɪŋ]省的建立，当时越南国家将同奈[dɒŋ naɪ]河和西贡[saɪ ɡɒn]河流域正式组织为具有明确边界、规范税收和人口登记的行政村落（第2091页）。</w:t>
      </w:r>
    </w:p>
    <w:p w14:paraId="5619E2F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边界以东的地区（图1中黑色阴影区域）于1698年被组织为大越行政村落，比法国殖民早约150年。相比之下，边界以西的地区直到1820年代和1830年代明命帝[mɪn mæŋ]统治时期才被组织为越南省份，这意味着大越制度在殖民统治开始前几乎没有时间扎根（第2084页）。区分这些地区的关键特征不仅仅是越南人的定居——作者记录表明这是一个在边界两侧相当连续的过程——而是社区在大越制度化村庄治理体系下的正式组织（第2084页）。</w:t>
      </w:r>
    </w:p>
    <w:p w14:paraId="128B3E6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该处理变量有效捕捉了接触特定制度组合的时间长度差异，这些制度特征包括：自1461年以来通过普遍男性选举产生的制度化村长和村议会；对地方税收和军事征兵的官僚控制及村级配额；村庄负责维护人口和财产登记；村庄监督地方公共工程；以及在法典规定的参数范围内村庄在政策执行方面的实质性自主权（第2086、2089页）。</w:t>
      </w:r>
    </w:p>
    <w:p w14:paraId="284F48E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main independent variable is the duration of exposure to Dai Viet administrative institutions, operationalized as a binary indicator for whether a village was organized into Vietnamese administrative villages by 1698 versus being incorporated only in the early 19th century. The treatment boundary corresponds to the 1698 establishment of Gia Dinh [ʒaː dɪŋ] province, when the Vietnamese state formally organized the Dong Nai [dɒŋ naɪ] and Sai Gon [saɪ ɡɒn] river basins into administrative villages with specific boundaries, regulated taxes, and population registers (p. 2091).</w:t>
      </w:r>
    </w:p>
    <w:p w14:paraId="78940C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Areas to the east of the boundary (shown as black-shaded region in Figure 1) were organized as Dai Viet administrative villages in 1698, approximately 150 years prior to French colonization. In contrast, areas to the west were not organized as Vietnamese provinces until the 1820s and 1830s under Emperor Minh Mang [mɪn mæŋ], meaning Dai Viet institutions had little time to take root before colonial rule began (p. 2084). The key feature distinguishing these areas is not simply Vietnamese settlement, which the authors document was a fairly continuous process across both sides of the boundary, but rather the formal organization of communities under Dai Viet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institutionalized village governance system (p. 2084).</w:t>
      </w:r>
    </w:p>
    <w:p w14:paraId="49C1CC9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treatment effectively captures variation in the length of exposure to a specific institutional bundle characterized by: institutionalized village chiefs and councils elected by popular male suffrage since 1461; bureaucratic control of local taxation and military recruitment with village-level quotas; village responsibility for maintaining population and property registers; village supervision of local public works; and substantial village autonomy in policy implementation within parameters set by legal codes (pp. 2086, 2089).</w:t>
      </w:r>
    </w:p>
    <w:p w14:paraId="0017BF6C">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9C2C46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6. Stateness: Conceptualization and Measurement of </w:t>
      </w:r>
      <w:r>
        <w:rPr>
          <w:rFonts w:hint="default" w:ascii="Times New Roman Regular" w:hAnsi="Times New Roman Regular" w:cs="Times New Roman Regular"/>
          <w:lang w:val="en-US"/>
        </w:rPr>
        <w:t>“State”</w:t>
      </w:r>
      <w:r>
        <w:rPr>
          <w:rFonts w:hint="default" w:ascii="Times New Roman Regular" w:hAnsi="Times New Roman Regular" w:cs="Times New Roman Regular"/>
        </w:rPr>
        <w:t xml:space="preserve"> and </w:t>
      </w:r>
      <w:r>
        <w:rPr>
          <w:rFonts w:hint="default" w:ascii="Times New Roman Regular" w:hAnsi="Times New Roman Regular" w:cs="Times New Roman Regular"/>
          <w:lang w:val="en-US"/>
        </w:rPr>
        <w:t>“State Building”</w:t>
      </w:r>
      <w:r>
        <w:rPr>
          <w:rFonts w:hint="default" w:ascii="Times New Roman Regular" w:hAnsi="Times New Roman Regular" w:cs="Times New Roman Regular"/>
        </w:rPr>
        <w:t xml:space="preserve"> / 国家性：对</w:t>
      </w:r>
      <w:r>
        <w:rPr>
          <w:rFonts w:hint="default" w:ascii="Times New Roman Regular" w:hAnsi="Times New Roman Regular" w:cs="Times New Roman Regular"/>
          <w:lang w:val="en-US"/>
        </w:rPr>
        <w:t>“国家”</w:t>
      </w:r>
      <w:r>
        <w:rPr>
          <w:rFonts w:hint="default" w:ascii="Times New Roman Regular" w:hAnsi="Times New Roman Regular" w:cs="Times New Roman Regular"/>
        </w:rPr>
        <w:t>与</w:t>
      </w:r>
      <w:r>
        <w:rPr>
          <w:rFonts w:hint="default" w:ascii="Times New Roman Regular" w:hAnsi="Times New Roman Regular" w:cs="Times New Roman Regular"/>
          <w:lang w:val="en-US"/>
        </w:rPr>
        <w:t>“国家建设”</w:t>
      </w:r>
      <w:r>
        <w:rPr>
          <w:rFonts w:hint="default" w:ascii="Times New Roman Regular" w:hAnsi="Times New Roman Regular" w:cs="Times New Roman Regular"/>
        </w:rPr>
        <w:t>的概念化与测量</w:t>
      </w:r>
    </w:p>
    <w:p w14:paraId="601B2C1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本文将历史国家概念化为一组特征的集合，而非单一实体，特别强调中央权威与地方社区之间的行政接口。作者借鉴亚洲研究中已有的文献传统，区分了两种根本不同的国家组织模式：受中国治国之道影响的中华（东北亚）模式，以及受从印度传入的印度教-佛教传统影响的印度化（东南亚）模式。</w:t>
      </w:r>
    </w:p>
    <w:p w14:paraId="4C5BB18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大越国家统治着越南北部并逐渐向南扩张，被归类为中华式政体，在公元939年脱离中国统治独立后保留了中国治理的许多特征。这种国家类型的关键特征包括：在王朝宫廷下拥有非人格化官僚体系的中央集权国家；统一的领土行政管理；发达的税收制度和法典；以及关键的——制度化村庄治理作为日常行政的核心。中央政府在村级设定税收和兵役配额，但缺乏微观管理地方行政的能力。相反，村庄在政策执行方面拥有相当大的自主权，村民必须合作提供地方公共物品、维护人口和财产登记、并完成村级配额。</w:t>
      </w:r>
    </w:p>
    <w:p w14:paraId="70DDEA5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相比之下，高棉（柬埔寨）国家体现了印度化或</w:t>
      </w:r>
      <w:r>
        <w:rPr>
          <w:rFonts w:hint="default" w:ascii="Times New Roman Regular" w:hAnsi="Times New Roman Regular" w:cs="Times New Roman Regular"/>
          <w:lang w:val="en-US"/>
        </w:rPr>
        <w:t>“曼荼罗”</w:t>
      </w:r>
      <w:r>
        <w:rPr>
          <w:rFonts w:hint="default" w:ascii="Times New Roman Regular" w:hAnsi="Times New Roman Regular" w:cs="Times New Roman Regular"/>
        </w:rPr>
        <w:t>模式，其特征包括：分散的庇护-侍从结构；人格化的权力关系——农民向地主庇护者纳贡并获得保护；半独立的省级统治；基于寺庙的公共财政体系；以及关键的——村庄不作为核心行政单位。高棉国家对其湄公河边缘地区的控制较弱，政治任命和土地分配是人格化而非官僚化的。</w:t>
      </w:r>
    </w:p>
    <w:p w14:paraId="114CFF9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因此，历史国家暴露程度的测量基于纳入越南行政结构的时间。作者仔细区分了军事征服、经济定居和行政组织三者。高棉边缘地区的定居在后来成为处理边界的两侧是一个相当连续的过程，但正式的行政组织——建立具有明确边界、规范税收和农业人口登记的社、村、屯——在边界以东地区于1698年离散地发生。</w:t>
      </w:r>
    </w:p>
    <w:p w14:paraId="7834183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论文中的表I在多个维度上系统比较了两种国家类型，包括：殖民历史（中国殖民地与印度化庇护-侍从国家）；政府体系（官僚化与人格化）；集权程度（集权与分权）；村庄治理（制度化选举产生的议会与人格化任命）；以及公共财政（官僚化税收与基于寺庙的系统）。</w:t>
      </w:r>
    </w:p>
    <w:p w14:paraId="38F567D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paper conceptualizes the historical state not as a monolithic entity but as a bundle of characteristics, with particular emphasis on the administrative interface between central authority and local communities. The authors draw on an established literature in Asian studies that distinguishes between two fundamentally different models of state organization: the Sinic (Northeast Asian) model influenced by Chinese statecraft, and the Indic (Southeast Asian) model impacted by Hindu-Buddhist traditions imported from India (p. 2084).</w:t>
      </w:r>
    </w:p>
    <w:p w14:paraId="18C1241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Dai Viet state, which ruled northern Vietnam and gradually expanded southward, is characterized as a Sinic-style polity that maintained many features of Chinese governance following independence from Chinese overlordship in 939 CE. Key features of this state type include: a centralized state with an impersonal bureaucracy under a dynastic court; uniform territorial administration; well-developed tax systems and legal codes; and critically, institutionalized village governance as the core of daily administration (pp. 2084, 2086). The central state set quotas for tax and military conscript contributions at the village level but lacked the capability to micro-manage local administration. Instead, villages possessed considerable autonomy in policy implementation, and villagers had to work together to provide local public goods, maintain population and property registers, and meet village-level quotas (p. 2084).</w:t>
      </w:r>
    </w:p>
    <w:p w14:paraId="4AD8B5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In contrast, the Khmer [kmɛr] (Cambodian) state exemplifies the Indic or </w:t>
      </w:r>
      <w:r>
        <w:rPr>
          <w:rFonts w:hint="default" w:ascii="Times New Roman Regular" w:hAnsi="Times New Roman Regular" w:cs="Times New Roman Regular"/>
          <w:lang w:val="en-US"/>
        </w:rPr>
        <w:t>“mandala”</w:t>
      </w:r>
      <w:r>
        <w:rPr>
          <w:rFonts w:hint="default" w:ascii="Times New Roman Regular" w:hAnsi="Times New Roman Regular" w:cs="Times New Roman Regular"/>
        </w:rPr>
        <w:t xml:space="preserve"> model characterized by: a decentralized patron-client structure; personalized power relations with peasants paying tribute and receiving protection from landowning patrons; semi-independent provincial rule; temple-based public finance systems; and crucially, the absence of the village as a central administrative unit (pp. 2084, 2086). The Khmer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control over its Mekong [ˈmeɪkɒŋ] periphery was weak, with political appointments and land distribution being personalistic rather than bureaucratic (p. 2089).</w:t>
      </w:r>
    </w:p>
    <w:p w14:paraId="0D351E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measurement of historical state exposure is therefore based on the timing of incorporation into Vietnamese administrative structures. The authors carefully distinguish between military conquest, economic settlement, and administrative organization. Settlement of the Khmer periphery was a fairly continuous process across what would become the treatment boundary, but formal administrative organization—with the establishment of communes, villages, and hamlets with specific boundaries, regulated taxes, and farming population registers—occurred discretely in 1698 for areas east of the boundary (p. 2091).</w:t>
      </w:r>
    </w:p>
    <w:p w14:paraId="21BFB6D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Table I in the paper provides a systematic comparison of the two state types across multiple dimensions including: colonial history (Chinese colony versus Indic patron-client state); governmental system (bureaucratic versus personalistic); degree of centralization (centralized versus decentralized); village governance (institutionalized elected councils versus personalistic appointments); and public finance (bureaucratic taxation versus temple-based systems) (p. 2086).</w:t>
      </w:r>
    </w:p>
    <w:p w14:paraId="22331D9D">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75D3CC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7. Argument: Core Argument about the Relationship between Variables / 论点：关于变量关系的核心论证</w:t>
      </w:r>
    </w:p>
    <w:p w14:paraId="35BB425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本文的核心论点是，历史国家制度，特别是大越等东北亚国家特有的制度化村庄治理，通过</w:t>
      </w:r>
      <w:r>
        <w:rPr>
          <w:rFonts w:hint="default" w:ascii="Times New Roman Regular" w:hAnsi="Times New Roman Regular" w:cs="Times New Roman Regular"/>
          <w:lang w:val="en-US"/>
        </w:rPr>
        <w:t>“挤入”</w:t>
      </w:r>
      <w:r>
        <w:rPr>
          <w:rFonts w:hint="default" w:ascii="Times New Roman Regular" w:hAnsi="Times New Roman Regular" w:cs="Times New Roman Regular"/>
        </w:rPr>
        <w:t>地方集体行动规范而对长期经济发展产生持久的积极影响，这些规范在原有正式制度消失很久之后仍然持续存在（第2083页）。</w:t>
      </w:r>
    </w:p>
    <w:p w14:paraId="483F7AE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该论证分几个步骤展开。首先，作者认为东北亚历史国家要求村庄在内部进行协调以履行中央政府施加的义务。在大越，中央政府要求由普遍男性选举产生的村议会协调税收、公共物品供给、征兵和档案管理。村民必须合作提供地方公共物品、维护人口和财产登记、并完成村级税收和兵役配额（第2084页）。这种制度结构激励村民发展合作规范和实践。</w:t>
      </w:r>
    </w:p>
    <w:p w14:paraId="567CCC1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其次，作者认为这些地方合作规范即使在原有制度推动力消失后也持续存在。大越和高棉的前殖民制度都被法国殖民统治废除，整个研究地区此后先后被三个不同的中央政府统治：法国、越南共和国（南越）和越南社会主义共和国。关键的是，殖民政府没有资源来重塑数千个村庄的地方治理规范，这意味着即使正式制度发生变化，非正式规范也可以持续存在（第2084页）。</w:t>
      </w:r>
    </w:p>
    <w:p w14:paraId="1260D58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第三，作者提出持续的地方合作规范通过多种渠道影响经济发展。地方合作可以解决中央政府和市场都无法解决的挑战——例如，使社区能够克服阻止中央政府提供公共物品的不完全契约或信息问题。当社区能够有效组织起来提供教育、医疗和执法等公共物品时，居民将受益于能够提升人力资本和生产力的更好服务。当公民组织能够协调互助和保险时，家庭能更好地抵御冲击。这些机制创造了一个良性循环，使具有更强地方合作规范的地区随着时间推移获得更好的发展成果（第2085-2086页）。</w:t>
      </w:r>
    </w:p>
    <w:p w14:paraId="78E111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该论证明确挑战了普特南（1994）和福山（1995）等学者提出的</w:t>
      </w:r>
      <w:r>
        <w:rPr>
          <w:rFonts w:hint="default" w:ascii="Times New Roman Regular" w:hAnsi="Times New Roman Regular" w:cs="Times New Roman Regular"/>
          <w:lang w:val="en-US"/>
        </w:rPr>
        <w:t>“强国家必然挤出公民社会”</w:t>
      </w:r>
      <w:r>
        <w:rPr>
          <w:rFonts w:hint="default" w:ascii="Times New Roman Regular" w:hAnsi="Times New Roman Regular" w:cs="Times New Roman Regular"/>
        </w:rPr>
        <w:t>的假说。作者认为，国家能力与地方合作之间的关系取决于具体的制度特征。当国家通过需要地方参与和协调的制度化村庄治理来运作时，它实际上可以挤入而非挤出合作规范。关键在于国家制度是补充还是替代地方组织（第2088页）。</w:t>
      </w:r>
    </w:p>
    <w:p w14:paraId="0EB0EA6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core argument of the paper is that historical state institutions, specifically the institutionalized village governance characteristic of Northeast Asian states like Dai Viet, generate persistent positive effects on long-run economic development by </w:t>
      </w:r>
      <w:r>
        <w:rPr>
          <w:rFonts w:hint="default" w:ascii="Times New Roman Regular" w:hAnsi="Times New Roman Regular" w:cs="Times New Roman Regular"/>
          <w:lang w:val="en-US"/>
        </w:rPr>
        <w:t>“crowding in”</w:t>
      </w:r>
      <w:r>
        <w:rPr>
          <w:rFonts w:hint="default" w:ascii="Times New Roman Regular" w:hAnsi="Times New Roman Regular" w:cs="Times New Roman Regular"/>
        </w:rPr>
        <w:t xml:space="preserve"> local collective action norms that endure long after the original formal institutions have disappeared (p. 2083).</w:t>
      </w:r>
    </w:p>
    <w:p w14:paraId="2B194D8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argument proceeds in several steps. First, the authors contend that the Northeast Asian historical state required villages to coordinate internally to meet obligations imposed by the central government. In Dai Viet, the central state required village councils elected by popular male suffrage to coordinate taxation, public goods provision, conscription, and record keeping. Villages had to work together to provide local public goods, maintain population and property registers, and meet village-level tax and military quotas (p. 2084). This institutional structure created incentives for villagers to develop cooperative norms and practices.</w:t>
      </w:r>
    </w:p>
    <w:p w14:paraId="047705B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Second, the authors argue that these norms of local cooperation persisted even after the original institutional impetus disappeared. The pre-colonial institutions of both Dai Viet and Khmer were abolished by French colonization, and the entire study region has since been governed by three different central states: France, the Republic of Vietnam (South Vietnam), and the Socialist Republic of Vietnam. Crucially, the colonial state did not have the resources to reshape norms of local governance in thousands of villages, meaning informal norms could persist even as formal institutions changed (p. 2084).</w:t>
      </w:r>
    </w:p>
    <w:p w14:paraId="630EB47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Third, the authors propose that persistent norms of local cooperation influence economic development through multiple channels. Local cooperation can address challenges that neither central states nor markets are able to solve—for example, allowing communities to overcome incomplete contracting or informational problems that prevent the central state from providing public goods. When communities can effectively organize to provide public goods like education, healthcare, and law enforcement, residents benefit from better services that enhance human capital and productivity. When civic organizations can coordinate mutual assistance and insurance, households are better protected against shocks. These mechanisms create a virtuous cycle in which areas with stronger local cooperation norms experience better developmental outcomes over time (pp. 2085-2086).</w:t>
      </w:r>
    </w:p>
    <w:p w14:paraId="24F68C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argument explicitly challenges the hypothesis, advanced by scholars such as Putnam (1994) and Fukuyama (1995), that strong states necessarily crowd out civil society. The authors argue that the relationship between state capacity and local cooperation depends on specific institutional features. When the state operates through institutionalized village governance that requires local participation and coordination, it can actually crowd in cooperative norms rather than crowding them out. The key is whether state institutions complement local organization or substitute for it (p. 2088).</w:t>
      </w:r>
    </w:p>
    <w:p w14:paraId="3B5F9494">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8BF679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8. Mechanisms: Proposed Mechanisms Explaining How IV Influences Outcomes / 机制：解释自变量如何影响结果的机制</w:t>
      </w:r>
    </w:p>
    <w:p w14:paraId="265E38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本文提出持续性的主要机制是通过非正式的地方合作规范，这些规范是大越村庄在历史上为履行对中央政府的义务而发展起来的。虽然处理变量——被组织为越南行政村落的日期——是制度性的，但作者认为持续性并非通过正式制度本身，因为殖民前的制度已被法国废除，整个研究地区此后一直处于相同的正式制度之下（第2085页）。</w:t>
      </w:r>
    </w:p>
    <w:p w14:paraId="2F7CE0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第一个机制涉及公民社会参与和集体行动能力。大越村庄协调税收、征兵、公共物品供给和档案管理的历史要求培育了代代相传的公民参与规范。作者记录表明，1969年至1973年间，边界大越一侧的公民参与地方公民组织的可能性几乎是另一侧的两倍。他们也更可能组织和参与自我发展项目、地方自卫力量，出席地方政府会议，并拥有向贫困家庭再分配的公民组织（第2086页）。这些模式持续到现在：在当代调查数据中，大越村庄的家庭更可能向慈善组织捐款（第2108页）。</w:t>
      </w:r>
    </w:p>
    <w:p w14:paraId="203F08C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第二个机制通过地方政府运作发挥作用。1967年南越的宪法改革赋予村庄广泛的预算权力和公共物品供给责任，公民选举村长和村议会。作者认为这项改革在具有参与式村庄治理历史的地方效果最好（第2086页）。1969年至1973年间，边界大越一侧的村庄更可能系统性地征税，村长更可能实际居住在村里，组织公共物品供给的村委会更可能所有职位都有人担任。大越村庄的公民在民意调查中也报告说地方政府对其需求更加回应（第2086页）。</w:t>
      </w:r>
    </w:p>
    <w:p w14:paraId="64EA6B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第三个机制涉及公共物品供给本身。大越村庄提供了更好的基本医疗服务（政府提供的医疗服务可获得性高20个百分点）、教育（获得小学教育的可能性高6个百分点，小学完成率高9个百分点）和执法（当局执法的可能性高22个百分点）。村庄也更可能向贫困家庭提供援助（第2110-2111页）。</w:t>
      </w:r>
    </w:p>
    <w:p w14:paraId="642189B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明确考虑并排除了几种替代机制。首先，他们表明这些效应不是由越南战争驱动的，因为大量数据表明边界两侧的安全状况和冲突强度相似（第2112-2114页）。其次，这些效应似乎不是由土地不平等驱动的：虽然殖民时期结束时97%的法国人拥有的土地位于高棉一侧，但边界附近几乎没有法国庄园，当代数据显示农业家庭的平均农场规模没有差异（第2087、2114页）。第三，族群异质性似乎不是直接原因：今天研究地区几乎所有人都认同自己是越南人，50年前也是如此，而且在大越扩张时期边界两侧的历史族群构成相似（第2087页）。第四，结果不是由更高层级政府的差别对待驱动的：省级政府提供的公共物品没有差异效应，大越一侧的公民实际上对中央政府持有更负面的看法（第2086-2087页）。</w:t>
      </w:r>
    </w:p>
    <w:p w14:paraId="5DB91AD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paper proposes that the primary mechanism of persistence is through informal norms of local cooperation that were historically developed in Dai Viet villages to meet their obligations to the central state. While the treatment—date of organization as a Vietnamese administrative village—is institutional, the authors argue that persistence is not through formal institutions themselves, since pre-colonial institutions were abolished by the French and the entire study region has subsequently been subjected to the same formal institutions (p. 2085).</w:t>
      </w:r>
    </w:p>
    <w:p w14:paraId="331725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first mechanism involves civil society participation and collective action capacity. The historical requirement for Dai Viet villages to coordinate taxation, conscription, public goods provision, and record keeping fostered norms of civic engagement that persisted across generations. The authors document that citizens on the Dai Viet side of the boundary were nearly twice as likely between 1969 and 1973 to participate in local civic organizations. They were also more likely to organize and participate in self-development projects, local self-defense forces, attend local government meetings, and have civic organizations that redistribute to needy households (p. 2086). These patterns persist to the present: households in Dai Viet villages are more likely to donate to charitable organizations in contemporary survey data (p. 2108).</w:t>
      </w:r>
    </w:p>
    <w:p w14:paraId="10578C3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second mechanism operates through local government functioning. A 1967 constitutional reform in South Vietnam granted villages expansive budgetary powers and public goods provision responsibilities, with citizens electing village heads and councils. The authors argue that this reform worked best in places with a history of participatory village governance (p. 2086). Between 1969 and 1973, villages on the Dai Viet side of the boundary were more likely to collect taxes systematically, have village heads who actually resided in the village, and have all positions filled on the village committee that organized public goods provision. Citizens in Dai Viet villages also reported in public opinion surveys that local government was more responsive to their needs (p. 2086).</w:t>
      </w:r>
    </w:p>
    <w:p w14:paraId="4D0F4FC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third mechanism involves public goods provision itself. Dai Viet villages provided better access to basic healthcare (government-provided medical services were 20 percentage points more likely to be available), education (6 percentage points more likely to have primary school access, 9 percentage points higher primary completion rate), and law enforcement (22 percentage points more likely to have authorities enforce the law). Villages were also more likely to provide assistance to needy households (pp. 2110-2111).</w:t>
      </w:r>
    </w:p>
    <w:p w14:paraId="2DDC999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explicitly consider and rule out several alternative mechanisms. First, they show that the effects are not driven by the Vietnam War, as extensive data suggest security conditions and conflict intensity were similar across the boundary (pp. 2112-2114). Second, the effects do not appear to be driven by land inequality: while 97% of French-owned land was on the Khmer side at the close of the colonial period, there were almost no French estates near the boundary, and contemporary data show no difference in average farm size for agricultural households (pp. 2087, 2114). Third, ethnic heterogeneity does not appear to be a direct cause: nearly everyone in the study region identifies as Vietnamese today and did so 50 years ago, and the historical ethnic composition was similar across the boundary at the time of Dai Viet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expansion (p. 2087). Fourth, the results are not driven by differential treatment by higher levels of government: there are no effects on public goods provided by provincial government, and citizens on the Dai Viet side actually had more negative views of the national government (pp. 2086-2087).</w:t>
      </w:r>
    </w:p>
    <w:p w14:paraId="6B307DEA">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F0C446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9. Data: Data Sources, Measurement, Coverage, and Unit of Analysis / 数据：数据来源、测量、覆盖范围与分析单位</w:t>
      </w:r>
    </w:p>
    <w:p w14:paraId="48E9CC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本文采用了跨越约150年越南历史的极为丰富的数据来源，结合了当代家庭调查、历史行政记录、地理信息和独特的战时数据收集。</w:t>
      </w:r>
    </w:p>
    <w:p w14:paraId="3603257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当代经济数据（2002-2012年）：</w:t>
      </w:r>
      <w:r>
        <w:rPr>
          <w:rFonts w:hint="default" w:ascii="Times New Roman Regular" w:hAnsi="Times New Roman Regular" w:cs="Times New Roman Regular"/>
        </w:rPr>
        <w:t xml:space="preserve"> 当代生活水平的主要来源是越南家庭生活水平调查（VHLSS），由越南统计总局在世界银行的技术援助下每两年收集一次。调查包括针对大样本家庭的核心模块和针对子样本的额外支出模块。为创建面板数据同时避免重复观测，作者剔除了连续轮次中被调查的家庭。主要结果变量是对数等效家庭消费，通过从总消费中减去转移收入并调整家庭构成来构建（第2097-2098页）。受教育年限针对25岁以上个体测量。分析单位通常是家庭或个人，标准误在村级聚类。</w:t>
      </w:r>
    </w:p>
    <w:p w14:paraId="7596BD1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南越时期数据（1969-1973年）：</w:t>
      </w:r>
      <w:r>
        <w:rPr>
          <w:rFonts w:hint="default" w:ascii="Times New Roman Regular" w:hAnsi="Times New Roman Regular" w:cs="Times New Roman Regular"/>
        </w:rPr>
        <w:t xml:space="preserve"> 村落评估系统（HES）为近18,000个南越村落提供了关于经济、社会、政治和安全状况的季度数据。这些数据由美国和越南顾问与地方官员共同编制，代表了一个异常全面的行政数据集。变量包括经济繁荣、公民社会参与、地方政府运作、公共物品供给和安全状况的指标。作者将分类响应编码为二元指标，并采用贝叶斯潜在类别分析构建综合指数（第2104-2105页）。太平化态度与分析调查（PAAS）提供了来自每省六个随机抽样村落的月度家庭层面数据，每个村落按人口统计特征分层随机选择15名受访者。该调查包括家庭收入（以分组方式测量并取中点）和民意问题（第2103-2104页）。</w:t>
      </w:r>
    </w:p>
    <w:p w14:paraId="6B8BB8B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殖民时期数据（1878-1926年）：</w:t>
      </w:r>
      <w:r>
        <w:rPr>
          <w:rFonts w:hint="default" w:ascii="Times New Roman Regular" w:hAnsi="Times New Roman Regular" w:cs="Times New Roman Regular"/>
        </w:rPr>
        <w:t xml:space="preserve"> 村级基础设施数据从法国国家图书馆[biblijɔtɛk nasjɔnal də fʁɑ̃s]持有的地理参照地图中提取。这些地图显示了1878年、1901年、1910年和1926年的电报线、道路和铁路，作者将其与村庄边界相交以计算密度指标（第2103页）。殖民时期结束时法国人土地所有权数据从斯坦福研究所编制的记录中数字化（第2093页）。</w:t>
      </w:r>
    </w:p>
    <w:p w14:paraId="41D101B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地理和行政数据：</w:t>
      </w:r>
      <w:r>
        <w:rPr>
          <w:rFonts w:hint="default" w:ascii="Times New Roman Regular" w:hAnsi="Times New Roman Regular" w:cs="Times New Roman Regular"/>
        </w:rPr>
        <w:t xml:space="preserve"> 研究使用网格化地理数据进行平衡检验，包括海拔、坡度、温度、降水、农业适宜性（水稻、椰子、糖）、USGS Hydrosheds的流量累积和河流密度。这些检验的分析单位是10公里×10公里的网格单元（第2095-2096页）。历史边界数据来自越南历史文献，包括Dùc和Tao（1972）以及Su Quan Trieu Nguyen和Pham（1992）（第2085页）。</w:t>
      </w:r>
    </w:p>
    <w:p w14:paraId="04103E2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统一后数据（1975-2004年）：</w:t>
      </w:r>
      <w:r>
        <w:rPr>
          <w:rFonts w:hint="default" w:ascii="Times New Roman Regular" w:hAnsi="Times New Roman Regular" w:cs="Times New Roman Regular"/>
        </w:rPr>
        <w:t xml:space="preserve"> 1975-1985年间土地所有权和水稻种植的区级数据从省级年鉴和解密的越南共产党文件中数字化。1999-2004年间中学可获得性和土地认证的社级数据来自VHLSS社区问卷和省级年鉴（第2105-2106、2111页）。</w:t>
      </w:r>
    </w:p>
    <w:p w14:paraId="4441AFD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人口普查数据：</w:t>
      </w:r>
      <w:r>
        <w:rPr>
          <w:rFonts w:hint="default" w:ascii="Times New Roman Regular" w:hAnsi="Times New Roman Regular" w:cs="Times New Roman Regular"/>
        </w:rPr>
        <w:t xml:space="preserve"> 2009年人口普查用于通过比较当前居住地与2004年居住地来检验迁移模式（第2097页）。2011-2012年企业普查提供了制造业和外资部门就业信息（第2115页）。</w:t>
      </w:r>
    </w:p>
    <w:p w14:paraId="6B8E022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地理覆盖范围集中在距1698年边界约25公里范围内的研究区域（基准带宽），尽管稳健性检验扩展到100公里和整个南越。边界被划分为25公里的分段用于固定效应（第2095页）。</w:t>
      </w:r>
    </w:p>
    <w:p w14:paraId="6B8F348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paper employs an exceptionally rich array of data sources spanning approximately 150 years of Vietnamese history, combining contemporary household surveys, historical administrative records, geographic information, and unique wartime data collections.</w:t>
      </w:r>
    </w:p>
    <w:p w14:paraId="563CA64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Contemporary Economic Data (2002-2012):</w:t>
      </w:r>
      <w:r>
        <w:rPr>
          <w:rFonts w:hint="default" w:ascii="Times New Roman Regular" w:hAnsi="Times New Roman Regular" w:cs="Times New Roman Regular"/>
        </w:rPr>
        <w:t xml:space="preserve"> The primary source for contemporary living standards is the Vietnam Household Living Standards Surveys (VHLSS), collected biennially by the General Statistics Office of Vietnam with technical assistance from the World Bank. The surveys include a core module administered to a large sample of households and an additional expenditure module for a subsample. To create a panel while avoiding repeated observations, the authors drop households surveyed in consecutive rounds. The main outcome is log equivalent household consumption, constructed by subtracting transfers from total consumption and adjusting for household composition (pp. 2097-2098). Years of schooling are measured for individuals over age 25. The unit of analysis is typically the household or individual, with standard errors clustered at the village level.</w:t>
      </w:r>
    </w:p>
    <w:p w14:paraId="28CDBB1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South Vietnamese Period Data (1969-1973):</w:t>
      </w:r>
      <w:r>
        <w:rPr>
          <w:rFonts w:hint="default" w:ascii="Times New Roman Regular" w:hAnsi="Times New Roman Regular" w:cs="Times New Roman Regular"/>
        </w:rPr>
        <w:t xml:space="preserve"> The Hamlet Evaluation System (HES) provides quarterly data on economic, social, political, and security conditions for nearly all 18,000 South Vietnamese hamlets. This data was compiled jointly by U.S. and Vietnamese advisers in conjunction with local officials and represents an unusually comprehensive administrative dataset. Variables include indicators of economic prosperity, civil society participation, local government functioning, public goods provision, and security conditions. The authors code categorical responses into binary indicators and employ Bayesian Latent Class Analysis to construct summary indices (pp. 2104-2105). The Pacification Attitudes and Analysis Survey (PAAS) provides monthly household-level data from random samples of six hamlets per province, with 15 randomly selected respondents per hamlet stratified by demographics. This survey includes household income (measured in bins with midpoint assignment) and public opinion questions (pp. 2103-2104).</w:t>
      </w:r>
    </w:p>
    <w:p w14:paraId="67044E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Colonial Period Data (1878-1926):</w:t>
      </w:r>
      <w:r>
        <w:rPr>
          <w:rFonts w:hint="default" w:ascii="Times New Roman Regular" w:hAnsi="Times New Roman Regular" w:cs="Times New Roman Regular"/>
        </w:rPr>
        <w:t xml:space="preserve"> Village-level infrastructure data are extracted from georeferenced maps held by the Bibliothèque Nationale de France [biblijɔtɛk nasjɔnal də fʁɑ̃s]. These maps show telegraph lines, roads, and railroads for 1878, 1901, 1910, and 1926, which the authors intersect with village boundaries to calculate density measures (p. 2103). French landownership data at the close of the colonial period were digitized from records compiled by the Stanford Research Institute (p. 2093).</w:t>
      </w:r>
    </w:p>
    <w:p w14:paraId="74E2474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Geographic and Administrative Data:</w:t>
      </w:r>
      <w:r>
        <w:rPr>
          <w:rFonts w:hint="default" w:ascii="Times New Roman Regular" w:hAnsi="Times New Roman Regular" w:cs="Times New Roman Regular"/>
        </w:rPr>
        <w:t xml:space="preserve"> The study uses gridded geographic data for balance checks, including elevation, slope, temperature, precipitation, agricultural suitability (rice, coconut, sugar), flow accumulation from USGS Hydrosheds, and river density. The unit of analysis for these checks is 10km × 10km grid cells (pp. 2095-2096). Historical boundary data come from Vietnamese historical sources including Dùc and Tao (1972) and Su Quan Trieu Nguyen and Pham (1992) (p. 2085).</w:t>
      </w:r>
    </w:p>
    <w:p w14:paraId="1C77906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Post-Reunification Data (1975-2004):</w:t>
      </w:r>
      <w:r>
        <w:rPr>
          <w:rFonts w:hint="default" w:ascii="Times New Roman Regular" w:hAnsi="Times New Roman Regular" w:cs="Times New Roman Regular"/>
        </w:rPr>
        <w:t xml:space="preserve"> District-level data on land ownership and rice cultivation during 1975-1985 were digitized from provincial yearbooks and declassified Vietnamese Communist Party documents. Commune-level data on secondary school availability (1999-2004) and land certification come from VHLSS commune questionnaires and provincial yearbooks (pp. 2105-2106, 2111).</w:t>
      </w:r>
    </w:p>
    <w:p w14:paraId="52E2B12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Census Data:</w:t>
      </w:r>
      <w:r>
        <w:rPr>
          <w:rFonts w:hint="default" w:ascii="Times New Roman Regular" w:hAnsi="Times New Roman Regular" w:cs="Times New Roman Regular"/>
        </w:rPr>
        <w:t xml:space="preserve"> The 2009 population census is used to examine migration patterns by comparing current residence to residence in 2004 (p. 2097). The 2011-2012 Enterprise Census provides information on manufacturing and foreign sector employment (p. 2115).</w:t>
      </w:r>
    </w:p>
    <w:p w14:paraId="6A69D05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geographic coverage focuses on the study region within approximately 25 kilometers of the 1698 boundary (baseline bandwidth), though robustness checks extend to 100 kilometers and all of South Vietnam. The boundary is divided into 25-kilometer segments for fixed effects (p. 2095).</w:t>
      </w:r>
    </w:p>
    <w:p w14:paraId="21D3B3D4">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BC38C6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10. Methods: Empirical Methods and Identifying Assumptions / 方法：实证方法与识别假设</w:t>
      </w:r>
    </w:p>
    <w:p w14:paraId="6236A0A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本文采用空间断点回归（RD）设计来估计历史国家制度对长期发展的因果效应。基本实证策略是比较1698年边界两侧相邻的村庄——该日期东侧地区被正式组织为越南行政村落，而西侧地区直到19世纪初仍处于名义上的高棉控制之下。</w:t>
      </w:r>
    </w:p>
    <w:p w14:paraId="0159E55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基准回归规范形式为：</w:t>
      </w:r>
    </w:p>
    <w:p w14:paraId="40A1E6F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out_v = α + γ·DaiViet_v + f(geographic location_v) + Σ seg^i_v + β·dist_hcm_v + ε_v</w:t>
      </w:r>
    </w:p>
    <w:p w14:paraId="489A65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其中</w:t>
      </w:r>
      <w:r>
        <w:rPr>
          <w:rStyle w:val="8"/>
          <w:rFonts w:hint="default" w:ascii="Times New Roman Regular" w:hAnsi="Times New Roman Regular" w:cs="Times New Roman Regular"/>
        </w:rPr>
        <w:t>out_v</w:t>
      </w:r>
      <w:r>
        <w:rPr>
          <w:rFonts w:hint="default" w:ascii="Times New Roman Regular" w:hAnsi="Times New Roman Regular" w:cs="Times New Roman Regular"/>
        </w:rPr>
        <w:t>是村庄</w:t>
      </w:r>
      <w:r>
        <w:rPr>
          <w:rStyle w:val="8"/>
          <w:rFonts w:hint="default" w:ascii="Times New Roman Regular" w:hAnsi="Times New Roman Regular" w:cs="Times New Roman Regular"/>
        </w:rPr>
        <w:t>v</w:t>
      </w:r>
      <w:r>
        <w:rPr>
          <w:rFonts w:hint="default" w:ascii="Times New Roman Regular" w:hAnsi="Times New Roman Regular" w:cs="Times New Roman Regular"/>
        </w:rPr>
        <w:t>的结果变量，</w:t>
      </w:r>
      <w:r>
        <w:rPr>
          <w:rStyle w:val="8"/>
          <w:rFonts w:hint="default" w:ascii="Times New Roman Regular" w:hAnsi="Times New Roman Regular" w:cs="Times New Roman Regular"/>
        </w:rPr>
        <w:t>DaiViet_v</w:t>
      </w:r>
      <w:r>
        <w:rPr>
          <w:rFonts w:hint="default" w:ascii="Times New Roman Regular" w:hAnsi="Times New Roman Regular" w:cs="Times New Roman Regular"/>
        </w:rPr>
        <w:t>是一个指示变量，如果村庄位于1698年边界的大越一侧则等于1，*f(geographic location_v)*是控制地理位置平滑函数的RD多项式，</w:t>
      </w:r>
      <w:r>
        <w:rPr>
          <w:rStyle w:val="8"/>
          <w:rFonts w:hint="default" w:ascii="Times New Roman Regular" w:hAnsi="Times New Roman Regular" w:cs="Times New Roman Regular"/>
        </w:rPr>
        <w:t>seg^i_v</w:t>
      </w:r>
      <w:r>
        <w:rPr>
          <w:rFonts w:hint="default" w:ascii="Times New Roman Regular" w:hAnsi="Times New Roman Regular" w:cs="Times New Roman Regular"/>
        </w:rPr>
        <w:t>是边界分段固定效应（25公里分段），</w:t>
      </w:r>
      <w:r>
        <w:rPr>
          <w:rStyle w:val="8"/>
          <w:rFonts w:hint="default" w:ascii="Times New Roman Regular" w:hAnsi="Times New Roman Regular" w:cs="Times New Roman Regular"/>
        </w:rPr>
        <w:t>dist_hcm_v</w:t>
      </w:r>
      <w:r>
        <w:rPr>
          <w:rFonts w:hint="default" w:ascii="Times New Roman Regular" w:hAnsi="Times New Roman Regular" w:cs="Times New Roman Regular"/>
        </w:rPr>
        <w:t>控制到胡志明市[hoʊ tʃiː mɪn]的距离（第2095页）。</w:t>
      </w:r>
    </w:p>
    <w:p w14:paraId="0EDAAA5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遵循Gelman和Imbens（2014），基准规范使用25公里带宽的局部线性RD多项式。论文记录了广泛的稳健性检验：替代带宽（10-100公里）；不同的多项式规范（经纬度线性与二次、到边界距离、或两者兼有）；排除胡志明市或所有省会城市；限制在边界的河流或非河流分段；包含省份固定效应；以及将样本扩展到整个南越（第2098-2101页）。</w:t>
      </w:r>
    </w:p>
    <w:p w14:paraId="60E6DB2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识别假设：</w:t>
      </w:r>
      <w:r>
        <w:rPr>
          <w:rFonts w:hint="default" w:ascii="Times New Roman Regular" w:hAnsi="Times New Roman Regular" w:cs="Times New Roman Regular"/>
        </w:rPr>
        <w:t xml:space="preserve"> 关键识别假设是除处理变量外的所有相关因素在边界处平滑变化——形式上，E[c₁|x,y]和E[c₀|x,y]在断点阈值处连续，其中c₁和c₀是处理和对照下的潜在结果，x和y表示经度和纬度（第2095页）。</w:t>
      </w:r>
    </w:p>
    <w:p w14:paraId="1C91AD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论文提供了支持这一假设的大量证据。表II使用网格数据呈现了地理特征的平衡检验，显示海拔、坡度、温度、水稻适宜性、椰子适宜性、糖适宜性、流量累积或河流密度方面没有统计显著差异。只有降水显示出相对于均值较小的边际显著差异（第2095-2096页）。</w:t>
      </w:r>
    </w:p>
    <w:p w14:paraId="7A2F833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历史叙事为识别假设提供了关键支持。作者记录表明，边界以西行政扩张的延迟是由于大越和高棉帝国中心的特殊政治环境——具体而言，两个政体内部的内战以及关于正式吞并与非正式影响相对收益的战略考量——而非边界本身的经济或文化差异。越南人在该地区的定居在后来成为处理边界的两侧是一个相当连续的过程，两侧有相似的越南人、华商、高棉社区以及零星的占族和马来人定居点（第2090-2092页）。</w:t>
      </w:r>
    </w:p>
    <w:p w14:paraId="6F73140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附加方法：</w:t>
      </w:r>
      <w:r>
        <w:rPr>
          <w:rFonts w:hint="default" w:ascii="Times New Roman Regular" w:hAnsi="Times New Roman Regular" w:cs="Times New Roman Regular"/>
        </w:rPr>
        <w:t xml:space="preserve"> 论文采用贝叶斯潜在类别分析（LCA）来解决HES数据中多重假设检验和分类响应编码的问题。LCA使用有限混合模型，基于观察到的分类响应估计每个观测值属于</w:t>
      </w:r>
      <w:r>
        <w:rPr>
          <w:rFonts w:hint="default" w:ascii="Times New Roman Regular" w:hAnsi="Times New Roman Regular" w:cs="Times New Roman Regular"/>
          <w:lang w:val="en-US"/>
        </w:rPr>
        <w:t>“高”</w:t>
      </w:r>
      <w:r>
        <w:rPr>
          <w:rFonts w:hint="default" w:ascii="Times New Roman Regular" w:hAnsi="Times New Roman Regular" w:cs="Times New Roman Regular"/>
        </w:rPr>
        <w:t>或</w:t>
      </w:r>
      <w:r>
        <w:rPr>
          <w:rFonts w:hint="default" w:ascii="Times New Roman Regular" w:hAnsi="Times New Roman Regular" w:cs="Times New Roman Regular"/>
          <w:lang w:val="en-US"/>
        </w:rPr>
        <w:t>“低”</w:t>
      </w:r>
      <w:r>
        <w:rPr>
          <w:rFonts w:hint="default" w:ascii="Times New Roman Regular" w:hAnsi="Times New Roman Regular" w:cs="Times New Roman Regular"/>
        </w:rPr>
        <w:t>潜在组的后验概率，降低了比较的维度（第2104-2105页）。</w:t>
      </w:r>
    </w:p>
    <w:p w14:paraId="406B880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安慰剂检验包括：检验与历史边界不重合的同一河流的其他部分；在纯大越或高棉区域内跨省界进行比较；以及检验大越扩张的其他历史边界，在那里边界两侧都已在制度化村庄治理下运行了几个世纪（第2101-2102页）。</w:t>
      </w:r>
    </w:p>
    <w:p w14:paraId="272E12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随机推断练习将到边界的距离随机重新分配1000次，并将安慰剂系数的分布与实际估计值进行比较（第2101页）。</w:t>
      </w:r>
    </w:p>
    <w:p w14:paraId="7CD006D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paper employs a spatial regression discontinuity (RD) design to estimate the causal effect of historical state institutions on long-run development. The fundamental empirical strategy compares nearby villages on opposite sides of the 1698 boundary—the date when areas to the east were formally organized as Vietnamese administrative villages while areas to the west remained under nominal Khmer control until the early 19th century.</w:t>
      </w:r>
    </w:p>
    <w:p w14:paraId="4C82EF5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baseline regression specification takes the form:</w:t>
      </w:r>
    </w:p>
    <w:p w14:paraId="23B31F9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out_v = α + γ·DaiViet_v + f(geographic location_v) + Σ seg^i_v + β·dist_hcm_v + ε_v</w:t>
      </w:r>
    </w:p>
    <w:p w14:paraId="619692A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where </w:t>
      </w:r>
      <w:r>
        <w:rPr>
          <w:rStyle w:val="8"/>
          <w:rFonts w:hint="default" w:ascii="Times New Roman Regular" w:hAnsi="Times New Roman Regular" w:cs="Times New Roman Regular"/>
        </w:rPr>
        <w:t>out_v</w:t>
      </w:r>
      <w:r>
        <w:rPr>
          <w:rFonts w:hint="default" w:ascii="Times New Roman Regular" w:hAnsi="Times New Roman Regular" w:cs="Times New Roman Regular"/>
        </w:rPr>
        <w:t xml:space="preserve"> is the outcome of interest in village </w:t>
      </w:r>
      <w:r>
        <w:rPr>
          <w:rStyle w:val="8"/>
          <w:rFonts w:hint="default" w:ascii="Times New Roman Regular" w:hAnsi="Times New Roman Regular" w:cs="Times New Roman Regular"/>
        </w:rPr>
        <w:t>v</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DaiViet_v</w:t>
      </w:r>
      <w:r>
        <w:rPr>
          <w:rFonts w:hint="default" w:ascii="Times New Roman Regular" w:hAnsi="Times New Roman Regular" w:cs="Times New Roman Regular"/>
        </w:rPr>
        <w:t xml:space="preserve"> is an indicator equal to 1 if the village was on the Dai Viet side of the 1698 boundary, </w:t>
      </w:r>
      <w:r>
        <w:rPr>
          <w:rStyle w:val="8"/>
          <w:rFonts w:hint="default" w:ascii="Times New Roman Regular" w:hAnsi="Times New Roman Regular" w:cs="Times New Roman Regular"/>
        </w:rPr>
        <w:t>f(geographic location_v)</w:t>
      </w:r>
      <w:r>
        <w:rPr>
          <w:rFonts w:hint="default" w:ascii="Times New Roman Regular" w:hAnsi="Times New Roman Regular" w:cs="Times New Roman Regular"/>
        </w:rPr>
        <w:t xml:space="preserve"> is the RD polynomial controlling for smooth functions of geographic location, </w:t>
      </w:r>
      <w:r>
        <w:rPr>
          <w:rStyle w:val="8"/>
          <w:rFonts w:hint="default" w:ascii="Times New Roman Regular" w:hAnsi="Times New Roman Regular" w:cs="Times New Roman Regular"/>
        </w:rPr>
        <w:t>seg^i_v</w:t>
      </w:r>
      <w:r>
        <w:rPr>
          <w:rFonts w:hint="default" w:ascii="Times New Roman Regular" w:hAnsi="Times New Roman Regular" w:cs="Times New Roman Regular"/>
        </w:rPr>
        <w:t xml:space="preserve"> are boundary segment fixed effects (25km segments), and </w:t>
      </w:r>
      <w:r>
        <w:rPr>
          <w:rStyle w:val="8"/>
          <w:rFonts w:hint="default" w:ascii="Times New Roman Regular" w:hAnsi="Times New Roman Regular" w:cs="Times New Roman Regular"/>
        </w:rPr>
        <w:t>dist_hcm_v</w:t>
      </w:r>
      <w:r>
        <w:rPr>
          <w:rFonts w:hint="default" w:ascii="Times New Roman Regular" w:hAnsi="Times New Roman Regular" w:cs="Times New Roman Regular"/>
        </w:rPr>
        <w:t xml:space="preserve"> controls for distance to Ho Chi Minh City [hoʊ tʃiː mɪn] (p. 2095).</w:t>
      </w:r>
    </w:p>
    <w:p w14:paraId="33922CB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Following Gelman and Imbens (2014), the baseline specification uses a local linear RD polynomial with a 25-kilometer bandwidth. The paper documents extensive robustness to: alternative bandwidths (10-100km); different polynomial specifications (linear versus quadratic in latitude-longitude, distance to boundary, or both); excluding Ho Chi Minh City or all provincial capitals; limiting to river or non-river segments of the boundary; including province fixed effects; and extending the sample to all of South Vietnam (pp. 2098-2101).</w:t>
      </w:r>
    </w:p>
    <w:p w14:paraId="5C3273E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Identifying Assumptions:</w:t>
      </w:r>
      <w:r>
        <w:rPr>
          <w:rFonts w:hint="default" w:ascii="Times New Roman Regular" w:hAnsi="Times New Roman Regular" w:cs="Times New Roman Regular"/>
        </w:rPr>
        <w:t xml:space="preserve"> The key identifying assumption is that all relevant factors besides treatment vary smoothly at the boundary—formally, that E[c₁|x,y] and E[c₀|x,y] are continuous at the discontinuity threshold, where c₁ and c₀ are potential outcomes under treatment and control, and x and y denote longitude and latitude (p. 2095).</w:t>
      </w:r>
    </w:p>
    <w:p w14:paraId="4A68F2C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paper provides extensive evidence supporting this assumption. Table II presents balance checks on geographic characteristics using gridded data, showing no statistically significant differences in elevation, slope, temperature, rice suitability, coconut suitability, sugar suitability, flow accumulation, or river density. Only precipitation shows a marginally significant difference that is small relative to the mean (pp. 2095-2096).</w:t>
      </w:r>
    </w:p>
    <w:p w14:paraId="5BE91F8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historical narrative provides crucial support for the identifying assumption. The authors document that the delay in administrative expansion west of the boundary was due to idiosyncratic political circumstances at the center of the Dai Viet and Khmer empires—specifically, internal civil conflicts in both polities and strategic calculations about the relative benefits of formal annexation versus informal influence—rather than economic or cultural differences at the boundary itself. Vietnamese settlement of the region was a fairly continuous process across what would become the treatment boundary, with similar populations of Vietnamese, Chinese merchants, Khmer communities, and scattered Cham and Malay settlements on both sides (pp. 2090-2092).</w:t>
      </w:r>
    </w:p>
    <w:p w14:paraId="2A2C765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Additional Methods:</w:t>
      </w:r>
      <w:r>
        <w:rPr>
          <w:rFonts w:hint="default" w:ascii="Times New Roman Regular" w:hAnsi="Times New Roman Regular" w:cs="Times New Roman Regular"/>
        </w:rPr>
        <w:t xml:space="preserve"> The paper employs Bayesian Latent Class Analysis (LCA) to address concerns about multiple hypothesis testing and categorical response coding in the HES data. LCA uses a finite mixture model to estimate posterior probabilities that each observation belongs to </w:t>
      </w:r>
      <w:r>
        <w:rPr>
          <w:rFonts w:hint="default" w:ascii="Times New Roman Regular" w:hAnsi="Times New Roman Regular" w:cs="Times New Roman Regular"/>
          <w:lang w:val="en-US"/>
        </w:rPr>
        <w:t>“high”</w:t>
      </w:r>
      <w:r>
        <w:rPr>
          <w:rFonts w:hint="default" w:ascii="Times New Roman Regular" w:hAnsi="Times New Roman Regular" w:cs="Times New Roman Regular"/>
        </w:rPr>
        <w:t xml:space="preserve"> or </w:t>
      </w:r>
      <w:r>
        <w:rPr>
          <w:rFonts w:hint="default" w:ascii="Times New Roman Regular" w:hAnsi="Times New Roman Regular" w:cs="Times New Roman Regular"/>
          <w:lang w:val="en-US"/>
        </w:rPr>
        <w:t>“low”</w:t>
      </w:r>
      <w:r>
        <w:rPr>
          <w:rFonts w:hint="default" w:ascii="Times New Roman Regular" w:hAnsi="Times New Roman Regular" w:cs="Times New Roman Regular"/>
        </w:rPr>
        <w:t xml:space="preserve"> latent groups based on observed categorical responses, reducing the dimensionality of the comparison (pp. 2104-2105).</w:t>
      </w:r>
    </w:p>
    <w:p w14:paraId="046505D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Placebo tests include: examining other portions of the same rivers that do not coincide with the historical boundary; comparing across provincial boundaries within purely Dai Viet or Khmer areas; and examining other historical boundaries of Dai Viet expansion where areas on both sides had been under institutionalized village governance for centuries (pp. 2101-2102).</w:t>
      </w:r>
    </w:p>
    <w:p w14:paraId="3F1F79B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 randomization inference exercise randomly reassigns distance to the boundary 1000 times and compares the distribution of placebo coefficients to the actual estimate (p. 2101).</w:t>
      </w:r>
    </w:p>
    <w:p w14:paraId="3A1C3DFA">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9D2A21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11. Contribution: Main Academic Contributions / 贡献：主要学术贡献</w:t>
      </w:r>
    </w:p>
    <w:p w14:paraId="4FF6BFB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paper makes several significant contributions to the academic literature on institutions, state formation, and long-run development.</w:t>
      </w:r>
    </w:p>
    <w:p w14:paraId="1418B46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First, the paper provides credible causal evidence on the persistent effects of historical state institutions.</w:t>
      </w:r>
      <w:r>
        <w:rPr>
          <w:rFonts w:hint="default" w:ascii="Times New Roman Regular" w:hAnsi="Times New Roman Regular" w:cs="Times New Roman Regular"/>
        </w:rPr>
        <w:t xml:space="preserve"> While a substantial literature documents correlations between historical institutions and contemporary outcomes, causal identification is often challenging. The regression discontinuity design exploits a historical boundary created by idiosyncratic political circumstances rather than underlying economic or cultural differences, providing a more credible basis for causal inference than cross-country comparisons or within-country analyses without a clear source of exogenous variation. The finding that household consumption is approximately one-third higher on the Dai Viet side of the boundary more than 300 years after the initial institutional divergence represents striking evidence of institutional persistence (pp. 2083-2084, 2098).</w:t>
      </w:r>
    </w:p>
    <w:p w14:paraId="2447B7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Second, the paper elucidates specific mechanisms of persistence, moving beyond simply documenting that history matters.</w:t>
      </w:r>
      <w:r>
        <w:rPr>
          <w:rFonts w:hint="default" w:ascii="Times New Roman Regular" w:hAnsi="Times New Roman Regular" w:cs="Times New Roman Regular"/>
        </w:rPr>
        <w:t xml:space="preserve"> The authors provide extensive evidence that the channel of persistence operates through informal norms of local cooperation rather than through formal institutions (which were abolished by colonialism and have been identical across the study region since) or through other commonly proposed channels such as land inequality, ethnic composition, or differential impacts of conflict. The detailed examination of civil society participation, local government functioning, and public goods provision in the 1969-1973 data represents an unusually rich investigation of mechanisms (pp. 2085-2086, 2106-2111).</w:t>
      </w:r>
    </w:p>
    <w:p w14:paraId="7584DC5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Third, the paper contributes to debates about the relationship between state capacity and civil society.</w:t>
      </w:r>
      <w:r>
        <w:rPr>
          <w:rFonts w:hint="default" w:ascii="Times New Roman Regular" w:hAnsi="Times New Roman Regular" w:cs="Times New Roman Regular"/>
        </w:rPr>
        <w:t xml:space="preserve"> Contrary to influential claims by Putnam (1994) and Fukuyama (1995) that strong states crowd out civil society, the paper shows that specific institutional features—particularly institutionalized village governance requiring local participation—can actually crowd in cooperative norms. This nuanced finding suggests that general assertions about whether strong states reduce local cooperation are misguided; what matters is whether state institutions complement or substitute for local organization (p. 2088).</w:t>
      </w:r>
    </w:p>
    <w:p w14:paraId="1EE635F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Fourth, the paper extends the literature on social capital and civic engagement to the East Asian context.</w:t>
      </w:r>
      <w:r>
        <w:rPr>
          <w:rFonts w:hint="default" w:ascii="Times New Roman Regular" w:hAnsi="Times New Roman Regular" w:cs="Times New Roman Regular"/>
        </w:rPr>
        <w:t xml:space="preserve"> While the civic capital literature has focused largely on Italy and other Western contexts, the East Asian development literature has emphasized national policies and markets with limited attention to local cooperation. The paper provides evidence that civic capital has been important for East Asian development and suggests that complementarities between historical state structures and civil society may be broadly relevant for understanding Northeast Asian growth trajectories (pp. 2087-2088, 2116).</w:t>
      </w:r>
    </w:p>
    <w:p w14:paraId="6E1D71D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Fifth, the paper provides new historical data on Vietnamese political economy.</w:t>
      </w:r>
      <w:r>
        <w:rPr>
          <w:rFonts w:hint="default" w:ascii="Times New Roman Regular" w:hAnsi="Times New Roman Regular" w:cs="Times New Roman Regular"/>
        </w:rPr>
        <w:t xml:space="preserve"> The digitization of colonial-era maps, HES and PAAS records, and other archival sources creates valuable data resources for understanding Vietnamese history and the comparative political economy of state formation in Asia (pp. 2103-2105).</w:t>
      </w:r>
    </w:p>
    <w:p w14:paraId="57F288C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Sixth, the paper demonstrates the value of a within-country research design for studying historical state effects.</w:t>
      </w:r>
      <w:r>
        <w:rPr>
          <w:rFonts w:hint="default" w:ascii="Times New Roman Regular" w:hAnsi="Times New Roman Regular" w:cs="Times New Roman Regular"/>
        </w:rPr>
        <w:t xml:space="preserve"> By focusing on a single country that lies at the intersection of Northeast and Southeast Asian civilizations, the authors can hold constant many factors that vary across countries while exploiting meaningful variation in historical state institutions. This approach complements cross-national studies while providing more credible identification (p. 2083).</w:t>
      </w:r>
    </w:p>
    <w:p w14:paraId="4E410DE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本文对制度、国家形成和长期发展的学术文献做出了几项重要贡献。</w:t>
      </w:r>
    </w:p>
    <w:p w14:paraId="241568D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首先，本文为历史国家制度的持续影响提供了可信的因果证据。</w:t>
      </w:r>
      <w:r>
        <w:rPr>
          <w:rFonts w:hint="default" w:ascii="Times New Roman Regular" w:hAnsi="Times New Roman Regular" w:cs="Times New Roman Regular"/>
        </w:rPr>
        <w:t xml:space="preserve"> 虽然大量文献记录了历史制度与当代结果之间的相关性，但因果识别往往具有挑战性。断点回归设计利用了由特殊政治环境而非潜在经济或文化差异创造的历史边界，为因果推断提供了比跨国比较或没有明确外生变异来源的国内分析更可信的基础。研究发现，在最初制度分化超过300年后，边界大越一侧的家庭消费约高出三分之一，这是制度持续性的惊人证据（第2083-2084、2098页）。</w:t>
      </w:r>
    </w:p>
    <w:p w14:paraId="1930C63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其次，本文阐明了持续性的具体机制，超越了仅仅记录历史重要性的层面。</w:t>
      </w:r>
      <w:r>
        <w:rPr>
          <w:rFonts w:hint="default" w:ascii="Times New Roman Regular" w:hAnsi="Times New Roman Regular" w:cs="Times New Roman Regular"/>
        </w:rPr>
        <w:t xml:space="preserve"> 作者提供了大量证据表明，持续性的渠道是通过地方合作的非正式规范运作的，而非通过正式制度（这些制度已被殖民主义废除，此后在整个研究地区都是相同的）或其他常见的提议渠道如土地不平等、族群构成或冲突的差异影响。对1969-1973年数据中公民社会参与、地方政府运作和公共物品供给的详细检验代表了对机制的异常丰富的调查（第2085-2086、2106-2111页）。</w:t>
      </w:r>
    </w:p>
    <w:p w14:paraId="4477E8F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第三，本文为关于国家能力与公民社会关系的辩论做出了贡献。</w:t>
      </w:r>
      <w:r>
        <w:rPr>
          <w:rFonts w:hint="default" w:ascii="Times New Roman Regular" w:hAnsi="Times New Roman Regular" w:cs="Times New Roman Regular"/>
        </w:rPr>
        <w:t xml:space="preserve"> 与普特南（1994）和福山（1995）关于强国家挤出公民社会的有影响力的主张相反，本文表明特定的制度特征——特别是需要地方参与的制度化村庄治理——实际上可以挤入合作规范。这一细致的发现表明，关于强国家是否会减少地方合作的一般性断言是有问题的；关键在于国家制度是补充还是替代地方组织（第2088页）。</w:t>
      </w:r>
    </w:p>
    <w:p w14:paraId="51253DC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第四，本文将社会资本和公民参与的文献扩展到东亚背景。</w:t>
      </w:r>
      <w:r>
        <w:rPr>
          <w:rFonts w:hint="default" w:ascii="Times New Roman Regular" w:hAnsi="Times New Roman Regular" w:cs="Times New Roman Regular"/>
        </w:rPr>
        <w:t xml:space="preserve"> 虽然公民资本文献主要关注意大利和其他西方背景，但东亚发展文献强调国家政策和市场，对地方合作关注有限。本文提供证据表明公民资本对东亚发展很重要，并表明历史国家结构与公民社会之间的互补性可能对理解东北亚增长轨迹具有广泛相关性（第2087-2088、2116页）。</w:t>
      </w:r>
    </w:p>
    <w:p w14:paraId="20C2BC5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第五，本文提供了关于越南政治经济的新历史数据。</w:t>
      </w:r>
      <w:r>
        <w:rPr>
          <w:rFonts w:hint="default" w:ascii="Times New Roman Regular" w:hAnsi="Times New Roman Regular" w:cs="Times New Roman Regular"/>
        </w:rPr>
        <w:t xml:space="preserve"> 殖民时代地图、HES和PAAS记录以及其他档案来源的数字化为理解越南历史和亚洲国家形成的比较政治经济学创造了宝贵的数据资源（第2103-2105页）。</w:t>
      </w:r>
    </w:p>
    <w:p w14:paraId="00C5050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第六，本文展示了研究历史国家影响的国内研究设计的价值。</w:t>
      </w:r>
      <w:r>
        <w:rPr>
          <w:rFonts w:hint="default" w:ascii="Times New Roman Regular" w:hAnsi="Times New Roman Regular" w:cs="Times New Roman Regular"/>
        </w:rPr>
        <w:t xml:space="preserve"> 通过关注一个位于东北亚和东南亚文明交汇处的国家，作者可以控制许多跨国变化的因素，同时利用历史国家制度的有意义变异。这种方法补充了跨国研究，同时提供了更可信的识别（第2083页）。</w:t>
      </w:r>
    </w:p>
    <w:p w14:paraId="435BE2FB">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21E4C0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12. Suggestions: Limitations and Potential Improvements / 建议：局限性与潜在改进</w:t>
      </w:r>
    </w:p>
    <w:p w14:paraId="482943F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Professional scholars and researchers would likely identify several limitations of this study and suggest corresponding improvements.</w:t>
      </w:r>
    </w:p>
    <w:p w14:paraId="548F14F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First, the measurement of local cooperation norms is primarily from the 1969-1973 period, not the historical period when institutions diverged.</w:t>
      </w:r>
      <w:r>
        <w:rPr>
          <w:rFonts w:hint="default" w:ascii="Times New Roman Regular" w:hAnsi="Times New Roman Regular" w:cs="Times New Roman Regular"/>
        </w:rPr>
        <w:t xml:space="preserve"> While the authors argue that these wartime data capture persistent norms developed historically, the data cannot directly verify that Dai Viet villages exhibited stronger local cooperation in the 17th or 18th centuries. Future research could search for additional historical records from the pre-colonial or early colonial period that might provide direct evidence of local organizational capacity during the period when institutions were putatively being shaped. Archaeological evidence or early missionary records might provide some insight, though the absence of systematic Khmer records noted by the authors (p. 2089) makes this challenging.</w:t>
      </w:r>
    </w:p>
    <w:p w14:paraId="5C674F0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Second, the identification strategy relies on historical narratives about the idiosyncratic nature of the boundary</w:t>
      </w:r>
      <w:r>
        <w:rPr>
          <w:rStyle w:val="7"/>
          <w:rFonts w:hint="default" w:ascii="Times New Roman Regular" w:hAnsi="Times New Roman Regular" w:cs="Times New Roman Regular"/>
          <w:lang w:val="en-US"/>
        </w:rPr>
        <w:t>’s</w:t>
      </w:r>
      <w:r>
        <w:rPr>
          <w:rStyle w:val="7"/>
          <w:rFonts w:hint="default" w:ascii="Times New Roman Regular" w:hAnsi="Times New Roman Regular" w:cs="Times New Roman Regular"/>
        </w:rPr>
        <w:t xml:space="preserve"> creation.</w:t>
      </w:r>
      <w:r>
        <w:rPr>
          <w:rFonts w:hint="default" w:ascii="Times New Roman Regular" w:hAnsi="Times New Roman Regular" w:cs="Times New Roman Regular"/>
        </w:rPr>
        <w:t xml:space="preserve"> While the authors provide extensive documentation that the boundary originated from political circumstances unrelated to local economic conditions, some skeptics might question whether truly unobserved differences existed at the time of boundary formation. The authors cannot directly test whether pre-treatment conditions were balanced because the Khmer state collected no systematic local data (p. 2089). Alternative identification strategies, such as instrumental variables based on distance to the centers of political power in Hanoi [həˈnɔɪ] or Phnom Penh [pəˈnɒm pɛn], might provide complementary evidence.</w:t>
      </w:r>
    </w:p>
    <w:p w14:paraId="5BBE1BF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Third, the study cannot definitively rule out that selective migration over 300 years has contributed to the observed differences.</w:t>
      </w:r>
      <w:r>
        <w:rPr>
          <w:rFonts w:hint="default" w:ascii="Times New Roman Regular" w:hAnsi="Times New Roman Regular" w:cs="Times New Roman Regular"/>
        </w:rPr>
        <w:t xml:space="preserve"> While the authors show that current migration rates are low and that trimming the sample for recent migration does not change results (pp. 2096-2097, 2101), they acknowledge they cannot directly measure historical migration. Over three centuries, even small amounts of selective migration could compound. Future work might exploit surname distributions or genetic data to assess whether population composition differs across the boundary in ways that could reflect historical sorting.</w:t>
      </w:r>
    </w:p>
    <w:p w14:paraId="51A83A5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Fourth, the paper focuses on a specific institutional feature—village governance—but states consist of multiple bundled characteristics.</w:t>
      </w:r>
      <w:r>
        <w:rPr>
          <w:rFonts w:hint="default" w:ascii="Times New Roman Regular" w:hAnsi="Times New Roman Regular" w:cs="Times New Roman Regular"/>
        </w:rPr>
        <w:t xml:space="preserve"> While the authors argue that institutionalized village governance is particularly important because other features of the Dai Viet and Khmer states have disappeared or converged (p. 2084), alternative features such as legal traditions, property rights norms, or attitudes toward authority might also have persisted. More fine-grained analysis distinguishing between different institutional dimensions would strengthen the mechanism claims.</w:t>
      </w:r>
    </w:p>
    <w:p w14:paraId="0B20B23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Fifth, the external validity of findings from this specific boundary is uncertain.</w:t>
      </w:r>
      <w:r>
        <w:rPr>
          <w:rFonts w:hint="default" w:ascii="Times New Roman Regular" w:hAnsi="Times New Roman Regular" w:cs="Times New Roman Regular"/>
        </w:rPr>
        <w:t xml:space="preserve"> The authors suggest that their findings may generalize to Northeast Asian development more broadly (p. 2116), but this remains speculative. The Vietnamese context has unique features—including the particular intensity of 20th-century conflicts and the subsequent communist period—that may have shaped how historical institutions interacted with subsequent developments.</w:t>
      </w:r>
    </w:p>
    <w:p w14:paraId="3F4DD2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Sixth, the paper relies heavily on wartime data collected under difficult circumstances.</w:t>
      </w:r>
      <w:r>
        <w:rPr>
          <w:rFonts w:hint="default" w:ascii="Times New Roman Regular" w:hAnsi="Times New Roman Regular" w:cs="Times New Roman Regular"/>
        </w:rPr>
        <w:t xml:space="preserve"> The HES and PAAS data were administrative records compiled for military purposes rather than academic research. While the authors use these data carefully, measurement error and strategic misreporting are potential concerns. Cross-validation with independent data sources, where available, would strengthen confidence in these measures.</w:t>
      </w:r>
    </w:p>
    <w:p w14:paraId="64AAE26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专业学者和研究人员可能会指出本研究的几个局限性并提出相应的改进建议。</w:t>
      </w:r>
    </w:p>
    <w:p w14:paraId="6C90E80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首先，地方合作规范的测量主要来自1969-1973年时期，而非制度分化的历史时期。</w:t>
      </w:r>
      <w:r>
        <w:rPr>
          <w:rFonts w:hint="default" w:ascii="Times New Roman Regular" w:hAnsi="Times New Roman Regular" w:cs="Times New Roman Regular"/>
        </w:rPr>
        <w:t>虽然作者认为这些战时数据捕捉了历史上发展起来的持续规范，但数据无法直接验证大越村庄在17或18世纪表现出更强的地方合作。未来研究可以寻找殖民前或殖民早期的额外历史记录，这些记录可能提供在制度据称正在形成的时期地方组织能力的直接证据。考古证据或早期传教士记录可能提供一些见解，尽管作者注意到的高棉系统记录的缺失（第2089页）使这具有挑战性。</w:t>
      </w:r>
    </w:p>
    <w:p w14:paraId="1867B37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其次，识别策略依赖于关于边界创建特殊性质的历史叙事。</w:t>
      </w:r>
      <w:r>
        <w:rPr>
          <w:rFonts w:hint="default" w:ascii="Times New Roman Regular" w:hAnsi="Times New Roman Regular" w:cs="Times New Roman Regular"/>
        </w:rPr>
        <w:t>虽然作者提供了大量文献证明边界源于与当地经济条件无关的政治环境，但一些怀疑者可能会质疑在边界形成时是否存在真正未观察到的差异。作者无法直接检验处理前条件是否平衡，因为高棉国家没有收集系统的地方数据（第2089页）。替代识别策略，如基于到河内[həˈnɔɪ]或金边[pəˈnɒm pɛn]政治权力中心距离的工具变量，可能提供补充证据。</w:t>
      </w:r>
    </w:p>
    <w:p w14:paraId="702D6AD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第三，该研究无法最终排除300年来选择性迁移对观察到的差异的贡献。</w:t>
      </w:r>
      <w:r>
        <w:rPr>
          <w:rFonts w:hint="default" w:ascii="Times New Roman Regular" w:hAnsi="Times New Roman Regular" w:cs="Times New Roman Regular"/>
        </w:rPr>
        <w:t>虽然作者表明当前迁移率较低，且对近期迁移进行样本修剪不会改变结果（第2096-2097、2101页），但他们承认无法直接测量历史迁移。在三个世纪中，即使少量的选择性迁移也可能累积。未来工作可能利用姓氏分布或基因数据来评估人口构成是否在边界两侧以可能反映历史分选的方式存在差异。</w:t>
      </w:r>
    </w:p>
    <w:p w14:paraId="6F3215C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第四，本文关注特定的制度特征——村庄治理——但国家由多个捆绑特征组成。</w:t>
      </w:r>
      <w:r>
        <w:rPr>
          <w:rFonts w:hint="default" w:ascii="Times New Roman Regular" w:hAnsi="Times New Roman Regular" w:cs="Times New Roman Regular"/>
        </w:rPr>
        <w:t>虽然作者认为制度化村庄治理特别重要，因为大越和高棉国家的其他特征已经消失或趋同（第2084页），但其他特征如法律传统、财产权规范或对权威的态度也可能持续存在。区分不同制度维度的更细致分析将加强机制主张。</w:t>
      </w:r>
    </w:p>
    <w:p w14:paraId="4236F2D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第五，来自这一特定边界的发现的外部有效性是不确定的。</w:t>
      </w:r>
      <w:r>
        <w:rPr>
          <w:rFonts w:hint="default" w:ascii="Times New Roman Regular" w:hAnsi="Times New Roman Regular" w:cs="Times New Roman Regular"/>
        </w:rPr>
        <w:t>作者建议他们的发现可能更广泛地推广到东北亚发展（第2116页），但这仍然是推测性的。越南背景具有独特特征——包括20世纪冲突的特殊强度和随后的共产主义时期——这些可能塑造了历史制度如何与后续发展相互作用。</w:t>
      </w:r>
    </w:p>
    <w:p w14:paraId="3BC4AF7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第六，本文严重依赖在困难情况下收集的战时数据。</w:t>
      </w:r>
      <w:r>
        <w:rPr>
          <w:rFonts w:hint="default" w:ascii="Times New Roman Regular" w:hAnsi="Times New Roman Regular" w:cs="Times New Roman Regular"/>
        </w:rPr>
        <w:t>HES和PAAS数据是为军事目的而非学术研究编制的行政记录。虽然作者仔细使用这些数据，但测量误差和战略性错误报告是潜在问题。在可能的情况下与独立数据源进行交叉验证将增强对这些测量的信心。</w:t>
      </w:r>
    </w:p>
    <w:p w14:paraId="44DAD8D7">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104F019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13. Extensions: Potential Extensions and New Research Questions / 延伸：潜在扩展与新研究问题</w:t>
      </w:r>
    </w:p>
    <w:p w14:paraId="6829A91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Professional scholars and researchers would propose several promising extensions and new research questions inspired by this paper.</w:t>
      </w:r>
    </w:p>
    <w:p w14:paraId="3CCD6B1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First, similar research designs could be applied to other historical boundaries in Asia and beyond.</w:t>
      </w:r>
      <w:r>
        <w:rPr>
          <w:rFonts w:hint="default" w:ascii="Times New Roman Regular" w:hAnsi="Times New Roman Regular" w:cs="Times New Roman Regular"/>
        </w:rPr>
        <w:t xml:space="preserve"> The paper notes that Dai Viet and Khmer are representative of Northeast and Southeast Asian state types more broadly (p. 2094). Scholars could examine boundaries between other Sinic and Indic polities—for example, between Vietnamese and Cambodian areas in different regions, between historically Sinic and non-Sinic regions of Korea, or between areas with different exposures to Chinese versus Indian influence in maritime Southeast Asia. The general methodology of identifying quasi-random historical boundaries created by political circumstances rather than underlying economic differences could be applied widely.</w:t>
      </w:r>
    </w:p>
    <w:p w14:paraId="0909DB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Second, researchers could investigate whether the mechanisms identified operate in contemporary policy contexts.</w:t>
      </w:r>
      <w:r>
        <w:rPr>
          <w:rFonts w:hint="default" w:ascii="Times New Roman Regular" w:hAnsi="Times New Roman Regular" w:cs="Times New Roman Regular"/>
        </w:rPr>
        <w:t xml:space="preserve"> If institutionalized village governance fostered local cooperation norms that persist for centuries, do contemporary participatory development programs have similar effects? The paper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finding that the 1967 South Vietnamese constitutional reform worked best in areas with historical participatory governance (p. 2086) suggests that program effects may be heterogeneous based on underlying institutional history. Randomized controlled trials of community-driven development programs could examine whether effects differ by historical institutional context.</w:t>
      </w:r>
    </w:p>
    <w:p w14:paraId="1FD0F5A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Third, scholars could examine whether the complementarity between state institutions and civil society documented here applies in other contexts.</w:t>
      </w:r>
      <w:r>
        <w:rPr>
          <w:rFonts w:hint="default" w:ascii="Times New Roman Regular" w:hAnsi="Times New Roman Regular" w:cs="Times New Roman Regular"/>
        </w:rPr>
        <w:t xml:space="preserve"> The paper challenges the view that strong states necessarily crowd out civil society, but the evidence comes from one specific case. Comparative analysis across multiple historical states with different administrative structures could help identify which features of state organization promote versus inhibit local cooperation. Research could systematically code historical state institutions along multiple dimensions (centralization, village-level organization, tax structures, property rights, etc.) and examine which features predict contemporary social capital.</w:t>
      </w:r>
    </w:p>
    <w:p w14:paraId="6905917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Fourth, researchers could investigate the dynamics of norm transmission in more detail.</w:t>
      </w:r>
      <w:r>
        <w:rPr>
          <w:rFonts w:hint="default" w:ascii="Times New Roman Regular" w:hAnsi="Times New Roman Regular" w:cs="Times New Roman Regular"/>
        </w:rPr>
        <w:t xml:space="preserve"> The paper documents persistence over more than 300 years but says relatively little about how norms are transmitted across generations. What are the specific mechanisms of intergenerational transmission? Do families, schools, religious institutions, or local organizations play the primary role? How resilient are these norms to disruptions such as war, collectivization, or market reforms? The Vietnamese context, with its dramatic 20th-century disruptions, provides a natural laboratory for studying norm resilience.</w:t>
      </w:r>
    </w:p>
    <w:p w14:paraId="53A9C5B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Fifth, the interaction between formal and informal institutions could be examined more systematically.</w:t>
      </w:r>
      <w:r>
        <w:rPr>
          <w:rFonts w:hint="default" w:ascii="Times New Roman Regular" w:hAnsi="Times New Roman Regular" w:cs="Times New Roman Regular"/>
        </w:rPr>
        <w:t xml:space="preserve"> The paper argues that informal norms persisted even as formal institutions changed dramatically, but it does not fully explore how new formal institutions interacted with pre-existing informal norms. Did Dai Viet communities respond differently to French colonial institutions, South Vietnamese democracy, communist collectivization, and market reforms than Khmer communities? How did formal institutional changes either reinforce or erode the historical differences?</w:t>
      </w:r>
    </w:p>
    <w:p w14:paraId="0581281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Sixth, scholars could examine long-run effects on political outcomes beyond development.</w:t>
      </w:r>
      <w:r>
        <w:rPr>
          <w:rFonts w:hint="default" w:ascii="Times New Roman Regular" w:hAnsi="Times New Roman Regular" w:cs="Times New Roman Regular"/>
        </w:rPr>
        <w:t xml:space="preserve"> The paper focuses primarily on economic outcomes, but historical institutions may also have shaped political attitudes, voting behavior, insurgency, and state-society relations. The finding that Dai Viet citizens had more negative views of the national government (p. 2087) suggests that local cooperation does not necessarily translate into trust in central authority. Research could explore how historical village governance has shaped contemporary political participation and accountability.</w:t>
      </w:r>
    </w:p>
    <w:p w14:paraId="161BA58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Seventh, the methodology could be applied to understand variation within historically Dai Viet territories.</w:t>
      </w:r>
      <w:r>
        <w:rPr>
          <w:rFonts w:hint="default" w:ascii="Times New Roman Regular" w:hAnsi="Times New Roman Regular" w:cs="Times New Roman Regular"/>
        </w:rPr>
        <w:t xml:space="preserve"> The paper treats Dai Viet areas as relatively homogeneous, but there was likely variation in the intensity or quality of village governance across different regions of Dai Viet. Examining this variation—perhaps using distance to the historical capital, timing of incorporation into Dai Viet, or local geographic conditions—could provide additional tests of the village governance mechanism.</w:t>
      </w:r>
    </w:p>
    <w:p w14:paraId="1A04AAA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专业学者和研究人员会提出几个有前景的扩展方向和受本文启发的新研究问题。</w:t>
      </w:r>
    </w:p>
    <w:p w14:paraId="11647D4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首先，类似的研究设计可以应用于亚洲及其他地区的其他历史边界。</w:t>
      </w:r>
      <w:r>
        <w:rPr>
          <w:rFonts w:hint="default" w:ascii="Times New Roman Regular" w:hAnsi="Times New Roman Regular" w:cs="Times New Roman Regular"/>
        </w:rPr>
        <w:t xml:space="preserve"> 本文指出大越和高棉更广泛地代表了东北亚和东南亚国家类型（第2094页）。学者们可以检验其他中华与印度化政体之间的边界——例如，不同地区的越南和柬埔寨区域之间、朝鲜历史上中华化和非中华化地区之间、或海洋东南亚受中国与印度影响程度不同的地区之间。识别由政治环境而非潜在经济差异创造的准随机历史边界的一般方法论可以广泛应用。</w:t>
      </w:r>
    </w:p>
    <w:p w14:paraId="08D4027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其次，研究人员可以调查所识别的机制是否在当代政策背景下运作。</w:t>
      </w:r>
      <w:r>
        <w:rPr>
          <w:rFonts w:hint="default" w:ascii="Times New Roman Regular" w:hAnsi="Times New Roman Regular" w:cs="Times New Roman Regular"/>
        </w:rPr>
        <w:t xml:space="preserve"> 如果制度化村庄治理培育了持续数个世纪的地方合作规范，那么当代参与式发展项目是否有类似效果？本文发现1967年南越宪法改革在具有历史参与式治理的地区效果最好（第2086页），这表明项目效果可能基于潜在的制度历史而存在异质性。社区驱动发展项目的随机对照试验可以检验效果是否因历史制度背景而异。</w:t>
      </w:r>
    </w:p>
    <w:p w14:paraId="2421329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第三，学者们可以检验这里记录的国家制度与公民社会之间的互补性是否适用于其他背景。</w:t>
      </w:r>
      <w:r>
        <w:rPr>
          <w:rFonts w:hint="default" w:ascii="Times New Roman Regular" w:hAnsi="Times New Roman Regular" w:cs="Times New Roman Regular"/>
        </w:rPr>
        <w:t xml:space="preserve"> 本文挑战了强国家必然挤出公民社会的观点，但证据来自一个特定案例。对具有不同行政结构的多个历史国家进行比较分析可以帮助识别国家组织的哪些特征促进或抑制地方合作。研究可以系统地沿多个维度（集权化、村级组织、税收结构、财产权等）编码历史国家制度，并检验哪些特征预测当代社会资本。</w:t>
      </w:r>
    </w:p>
    <w:p w14:paraId="79C202A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第四，研究人员可以更详细地调查规范传递的动态。</w:t>
      </w:r>
      <w:r>
        <w:rPr>
          <w:rFonts w:hint="default" w:ascii="Times New Roman Regular" w:hAnsi="Times New Roman Regular" w:cs="Times New Roman Regular"/>
        </w:rPr>
        <w:t xml:space="preserve"> 本文记录了超过300年的持续性，但对规范如何代际传递说得相对较少。代际传递的具体机制是什么？家庭、学校、宗教机构还是地方组织发挥主要作用？这些规范对战争、集体化或市场改革等冲击的抵御能力如何？越南背景以其戏剧性的20世纪冲击提供了研究规范韧性的天然实验室。</w:t>
      </w:r>
    </w:p>
    <w:p w14:paraId="681474D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第五，可以更系统地检验正式与非正式制度之间的相互作用。</w:t>
      </w:r>
      <w:r>
        <w:rPr>
          <w:rFonts w:hint="default" w:ascii="Times New Roman Regular" w:hAnsi="Times New Roman Regular" w:cs="Times New Roman Regular"/>
        </w:rPr>
        <w:t xml:space="preserve"> 本文认为即使正式制度发生了巨大变化，非正式规范仍然持续存在，但它没有充分探讨新的正式制度如何与既存的非正式规范相互作用。大越社区对法国殖民制度、南越民主、共产主义集体化和市场改革的回应是否与高棉社区不同？正式制度变化如何强化或侵蚀历史差异？</w:t>
      </w:r>
    </w:p>
    <w:p w14:paraId="3431EA2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第六，学者们可以检验对发展之外的政治结果的长期影响。</w:t>
      </w:r>
      <w:r>
        <w:rPr>
          <w:rFonts w:hint="default" w:ascii="Times New Roman Regular" w:hAnsi="Times New Roman Regular" w:cs="Times New Roman Regular"/>
        </w:rPr>
        <w:t xml:space="preserve"> 本文主要关注经济结果，但历史制度也可能塑造了政治态度、投票行为、叛乱和国家-社会关系。大越公民对中央政府持更负面看法的发现（第2087页）表明地方合作不一定转化为对中央权威的信任。研究可以探索历史村庄治理如何塑造当代政治参与和问责。</w:t>
      </w:r>
    </w:p>
    <w:p w14:paraId="469FA78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第七，该方法论可以用于理解历史上大越领土内部的变异。</w:t>
      </w:r>
      <w:r>
        <w:rPr>
          <w:rFonts w:hint="default" w:ascii="Times New Roman Regular" w:hAnsi="Times New Roman Regular" w:cs="Times New Roman Regular"/>
        </w:rPr>
        <w:t xml:space="preserve"> 本文将大越地区视为相对同质的，但在大越不同地区村庄治理的强度或质量可能存在变异。检验这种变异——也许使用到历史首都的距离、纳入大越的时间或当地地理条件——可以为村庄治理机制提供额外的检验。</w:t>
      </w:r>
    </w:p>
    <w:p w14:paraId="45DECC0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Lecture Notes: The Autocratic Legacy of Early Statehood</w:t>
      </w:r>
    </w:p>
    <w:p w14:paraId="2372933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讲义：早期国家形成的专制遗产</w:t>
      </w:r>
    </w:p>
    <w:p w14:paraId="42D59248">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6AF68C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Literature Name / 文献名称</w:t>
      </w:r>
    </w:p>
    <w:p w14:paraId="647D301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Autocratic Legacy of Early Statehood</w:t>
      </w:r>
    </w:p>
    <w:p w14:paraId="38209E6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早期国家形成的专制遗产</w:t>
      </w:r>
    </w:p>
    <w:p w14:paraId="62782576">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458B42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Author(s) / 作者</w:t>
      </w:r>
    </w:p>
    <w:p w14:paraId="6F700F8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Jacob Gerner Hariri /ˈdʒeɪkəb ˈɡɜːrnər həˈriːri/, affiliated with the Department of Political Science, University of Copenhagen /ˌkoʊpənˈheɪɡən/, Denmark /ˈdenmɑːrk/. (p. 471)</w:t>
      </w:r>
    </w:p>
    <w:p w14:paraId="7BE1514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雅各布·格纳·哈里里（Jacob Gerner Hariri /ˈdʒeɪkəb ˈɡɜːrnər həˈriːri/），供职于丹麦（Denmark /ˈdenmɑːrk/）哥本哈根大学（University of Copenhagen /ˌkoʊpənˈheɪɡən/）政治学系。（第471页）</w:t>
      </w:r>
    </w:p>
    <w:p w14:paraId="733276BF">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35B157F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Published Year / 发表年份</w:t>
      </w:r>
    </w:p>
    <w:p w14:paraId="31D18CA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This article was published in August 2012 in the </w:t>
      </w:r>
      <w:r>
        <w:rPr>
          <w:rStyle w:val="8"/>
          <w:rFonts w:hint="default" w:ascii="Times New Roman Regular" w:hAnsi="Times New Roman Regular" w:cs="Times New Roman Regular"/>
        </w:rPr>
        <w:t>American Political Science Review</w:t>
      </w:r>
      <w:r>
        <w:rPr>
          <w:rFonts w:hint="default" w:ascii="Times New Roman Regular" w:hAnsi="Times New Roman Regular" w:cs="Times New Roman Regular"/>
        </w:rPr>
        <w:t>, Volume 106, Number 3. The journal is one of the most prestigious peer-reviewed outlets in political science, indicating the high scholarly significance of this work. (p. 471)</w:t>
      </w:r>
    </w:p>
    <w:p w14:paraId="43E95AF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本文发表于2012年8月，刊载于《美国政治学评论》（</w:t>
      </w:r>
      <w:r>
        <w:rPr>
          <w:rStyle w:val="8"/>
          <w:rFonts w:hint="default" w:ascii="Times New Roman Regular" w:hAnsi="Times New Roman Regular" w:cs="Times New Roman Regular"/>
        </w:rPr>
        <w:t>American Political Science Review</w:t>
      </w:r>
      <w:r>
        <w:rPr>
          <w:rFonts w:hint="default" w:ascii="Times New Roman Regular" w:hAnsi="Times New Roman Regular" w:cs="Times New Roman Regular"/>
        </w:rPr>
        <w:t>）第106卷第3期。该期刊是政治学领域最具声望的同行评审刊物之一，表明这项研究具有很高的学术价值。（第471页）</w:t>
      </w:r>
    </w:p>
    <w:p w14:paraId="0FFD7E01">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6C1A48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DV: What is the main dependent variable? / 因变量：主要因变量是什么？</w:t>
      </w:r>
    </w:p>
    <w:p w14:paraId="552D1E5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主要因变量是</w:t>
      </w:r>
      <w:r>
        <w:rPr>
          <w:rStyle w:val="7"/>
          <w:rFonts w:hint="default" w:ascii="Times New Roman Regular" w:hAnsi="Times New Roman Regular" w:cs="Times New Roman Regular"/>
        </w:rPr>
        <w:t>民主程度</w:t>
      </w:r>
      <w:r>
        <w:rPr>
          <w:rFonts w:hint="default" w:ascii="Times New Roman Regular" w:hAnsi="Times New Roman Regular" w:cs="Times New Roman Regular"/>
        </w:rPr>
        <w:t>，即一个国家在当代表现出民主政治制度和实践的程度。作者使用三种不同的测量方式来确保研究结论的稳健性。主要测量指标是Polity IV的综合民主指数（polity2），取1991年至2007年冷战后时期的平均值，这一选择旨在避免短期政权波动对结果的影响（第476页）。第二个测量指标是二元ACLP指标，该指标最初由Przeworski等人（2000年）构建，后由Cheibub、Gandhi和Vreeland（2009年）更新，以二分法将政权分类为民主或非民主（第476页）。第三个测量指标是自1900年以来累积的民主经验，称为</w:t>
      </w:r>
      <w:r>
        <w:rPr>
          <w:rFonts w:hint="default" w:ascii="Times New Roman Regular" w:hAnsi="Times New Roman Regular" w:cs="Times New Roman Regular"/>
          <w:lang w:val="en-US"/>
        </w:rPr>
        <w:t>“民主存量”</w:t>
      </w:r>
      <w:r>
        <w:rPr>
          <w:rFonts w:hint="default" w:ascii="Times New Roman Regular" w:hAnsi="Times New Roman Regular" w:cs="Times New Roman Regular"/>
        </w:rPr>
        <w:t>（Democracy stock），由Gerring等人（2005年）根据polity2分数构建，它捕捉的是民主经验的历史深度，而非仅仅是当前政权类型的快照（第476页）。作者证明使用所有三种民主测量方式都能得出相同的结论，并且用其他年份衡量民主水平时，结果也非常稳健（第476页）。</w:t>
      </w:r>
    </w:p>
    <w:p w14:paraId="0BDB81D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main dependent variable is </w:t>
      </w:r>
      <w:r>
        <w:rPr>
          <w:rStyle w:val="7"/>
          <w:rFonts w:hint="default" w:ascii="Times New Roman Regular" w:hAnsi="Times New Roman Regular" w:cs="Times New Roman Regular"/>
        </w:rPr>
        <w:t>democracy</w:t>
      </w:r>
      <w:r>
        <w:rPr>
          <w:rFonts w:hint="default" w:ascii="Times New Roman Regular" w:hAnsi="Times New Roman Regular" w:cs="Times New Roman Regular"/>
        </w:rPr>
        <w:t xml:space="preserve">, conceptualized as the degree to which a country exhibits democratic political institutions and practices in the contemporary period. The author operationalizes democracy using three distinct measures to ensure robustness of findings. The primary measure is the Polity IV composite democracy index (polity2), averaged over the post-Cold War period from 1991 to 2007, chosen specifically to avoid having short spells of regime instability affect the results (p. 476). The second measure is the binary ACLP indicator, originally constructed by Przeworski et al. (2000) and updated by Cheibub, Gandhi, and Vreeland (2009), which dichotomously classifies regimes as either democratic or non-democratic (p. 476). The third measure is the accumulated democratic experience since 1900, termed </w:t>
      </w:r>
      <w:r>
        <w:rPr>
          <w:rFonts w:hint="default" w:ascii="Times New Roman Regular" w:hAnsi="Times New Roman Regular" w:cs="Times New Roman Regular"/>
          <w:lang w:val="en-US"/>
        </w:rPr>
        <w:t>“Democracy stock,”</w:t>
      </w:r>
      <w:r>
        <w:rPr>
          <w:rFonts w:hint="default" w:ascii="Times New Roman Regular" w:hAnsi="Times New Roman Regular" w:cs="Times New Roman Regular"/>
        </w:rPr>
        <w:t xml:space="preserve"> constructed by Gerring et al. (2005) from polity2 scores, which captures the historical depth of democratic experience rather than merely a snapshot of current regime type (p. 476). The author demonstrates that identical conclusions are reached using all three democracy measures, and the results are very robust to measuring levels of democracy for other years as well (p. 476).</w:t>
      </w:r>
    </w:p>
    <w:p w14:paraId="71ABDD01">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1ECE735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IV: What is the main independent variable? / 自变量：主要自变量是什么？</w:t>
      </w:r>
    </w:p>
    <w:p w14:paraId="1F1DCBA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主要自变量是</w:t>
      </w:r>
      <w:r>
        <w:rPr>
          <w:rStyle w:val="7"/>
          <w:rFonts w:hint="default" w:ascii="Times New Roman Regular" w:hAnsi="Times New Roman Regular" w:cs="Times New Roman Regular"/>
        </w:rPr>
        <w:t>早期国家发展程度</w:t>
      </w:r>
      <w:r>
        <w:rPr>
          <w:rFonts w:hint="default" w:ascii="Times New Roman Regular" w:hAnsi="Times New Roman Regular" w:cs="Times New Roman Regular"/>
        </w:rPr>
        <w:t>，定义为一个领土在欧洲殖民开始之前所具有的类国家政治组织的程度和持续时间，具体测量截止到公元1500年。作者将关注点限定在1500年之前的国家历史，因为此后的指数值反映的是欧洲殖民而非本土国家发展（第475页）。这一时间阈值确保测量指标捕捉的是真正的本土政治发展，而非外部强加的殖民结构。该变量使用Bockstette和Putterman（2007年）开发的国家历史指数（State Antiquity Index，第3版）进行测量，该指数已被学术文献广泛使用，包括Chanda和Putterman（2005年）、Gerring等人（2011年）、Olsson（2009年）、Petersen和Skaaning（2010年）以及Posner的研究（第475页）。作者还指出，使用其他合理阈值（如1750年——第二波殖民主义的最早开端，或美洲（Americas /əˈmerɪkəz/）使用1500年、其他国家使用1750年的组合阈值）也能得到相同的结果（第475页）。</w:t>
      </w:r>
    </w:p>
    <w:p w14:paraId="055984D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main independent variable is </w:t>
      </w:r>
      <w:r>
        <w:rPr>
          <w:rStyle w:val="7"/>
          <w:rFonts w:hint="default" w:ascii="Times New Roman Regular" w:hAnsi="Times New Roman Regular" w:cs="Times New Roman Regular"/>
        </w:rPr>
        <w:t>early state development</w:t>
      </w:r>
      <w:r>
        <w:rPr>
          <w:rFonts w:hint="default" w:ascii="Times New Roman Regular" w:hAnsi="Times New Roman Regular" w:cs="Times New Roman Regular"/>
        </w:rPr>
        <w:t>, defined as the extent and duration of state-like political organization in a territory prior to the onset of European colonization, specifically measured up to the year 1500 CE. The author focuses on statehood up to 1500 because index values thereafter reflect European colonization rather than indigenous state development (p. 475). This temporal threshold ensures that the measure captures genuinely indigenous political development rather than externally imposed colonial structures. The variable is measured using the State Antiquity Index (Version 3) developed by Bockstette and Putterman (2007), which has been widely used in scholarly literature including studies by Chanda and Putterman (2005), Gerring et al. (2011), Olsson (2009), Petersen and Skaaning (2010), and Posner (p. 475). The author also notes that identical results are obtained when using other plausible thresholds, such as 1750 (the earliest beginnings of the second wave of colonialism) or a combined threshold of 1500 for the Americas /əˈmerɪkəz/ and 1750 for other countries (p. 475).</w:t>
      </w:r>
    </w:p>
    <w:p w14:paraId="2031CF87">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3DAC055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Stateness: How is the </w:t>
      </w:r>
      <w:r>
        <w:rPr>
          <w:rFonts w:hint="default" w:ascii="Times New Roman Regular" w:hAnsi="Times New Roman Regular" w:cs="Times New Roman Regular"/>
          <w:lang w:val="en-US"/>
        </w:rPr>
        <w:t>“state”</w:t>
      </w:r>
      <w:r>
        <w:rPr>
          <w:rFonts w:hint="default" w:ascii="Times New Roman Regular" w:hAnsi="Times New Roman Regular" w:cs="Times New Roman Regular"/>
        </w:rPr>
        <w:t xml:space="preserve"> and/or </w:t>
      </w:r>
      <w:r>
        <w:rPr>
          <w:rFonts w:hint="default" w:ascii="Times New Roman Regular" w:hAnsi="Times New Roman Regular" w:cs="Times New Roman Regular"/>
          <w:lang w:val="en-US"/>
        </w:rPr>
        <w:t>“state building”</w:t>
      </w:r>
      <w:r>
        <w:rPr>
          <w:rFonts w:hint="default" w:ascii="Times New Roman Regular" w:hAnsi="Times New Roman Regular" w:cs="Times New Roman Regular"/>
        </w:rPr>
        <w:t xml:space="preserve"> conceptualized and measured? / 国家性：如何概念化和测量</w:t>
      </w:r>
      <w:r>
        <w:rPr>
          <w:rFonts w:hint="default" w:ascii="Times New Roman Regular" w:hAnsi="Times New Roman Regular" w:cs="Times New Roman Regular"/>
          <w:lang w:val="en-US"/>
        </w:rPr>
        <w:t>“国家”</w:t>
      </w:r>
      <w:r>
        <w:rPr>
          <w:rFonts w:hint="default" w:ascii="Times New Roman Regular" w:hAnsi="Times New Roman Regular" w:cs="Times New Roman Regular"/>
        </w:rPr>
        <w:t>和/或</w:t>
      </w:r>
      <w:r>
        <w:rPr>
          <w:rFonts w:hint="default" w:ascii="Times New Roman Regular" w:hAnsi="Times New Roman Regular" w:cs="Times New Roman Regular"/>
          <w:lang w:val="en-US"/>
        </w:rPr>
        <w:t>“国家构建”</w:t>
      </w:r>
      <w:r>
        <w:rPr>
          <w:rFonts w:hint="default" w:ascii="Times New Roman Regular" w:hAnsi="Times New Roman Regular" w:cs="Times New Roman Regular"/>
        </w:rPr>
        <w:t>？</w:t>
      </w:r>
    </w:p>
    <w:p w14:paraId="2C686E8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本文对国家的概念化借鉴了强调部落或酋邦水平以上集中政治权威的经典定义，并结合了领土控制和行政能力。作者使用国家历史指数，通过评估公元1年至1950年共39个半世纪的三个核心维度来操作化国家概念。第一个维度询问是否存在部落或酋邦水平以上的政府，如果是则得1分，如果是酋邦则得0.75分，如果是部落则得0分（第475页）。第二个维度评估政府是否以本地为基础，如果是则得1分，如果存在本地政府但受到外国大量监督则得0.75分，如果以外国为基础则得0.5分（第475页）。第三个维度测量当今国家领土中有多少被历史政府统治，超过50%得1分，25%至50%之间得0.75分，10%至25%之间得0.5分，低于10%得0.3分（第475页）。每个半世纪的三项得分相乘，然后使用5%的折现率对39个半世纪的得分进行折现求和，计算出国家历史指数，这一做法已成为文献中的标准（第475页）。</w:t>
      </w:r>
    </w:p>
    <w:p w14:paraId="520B2F0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conceptualization of the state in this article draws upon classical definitions emphasizing centralized political authority above the tribal or chiefdom level, combined with territorial control and administrative capacity. The author employs the State Antiquity Index, which operationalizes statehood through three core dimensions assessed for each of 39 half-centuries from year 1 to 1950 CE. The first dimension asks whether there is a government above the tribal or chiefdom level, scored as 1 if yes, 0.75 if chiefdom, and 0 if tribe (p. 475). The second dimension assesses whether the government is locally based, scored as 1 if yes, 0.75 if there is a local government with substantial foreign oversight, and 0.5 if foreign based (p. 475). The third dimension measures how much of the present-day country</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territory was ruled by the historical government, scored as 1 if more than 50%, 0.75 if between 25% and 50%, 0.5 if between 10% and 25%, and 0.3 if less than 10% (p. 475). Scores from the three questions are multiplied for each half-century, and the index of state history is computed by summing the discounted value of the scores for the 39 half-centuries using a 5% discount rate, which has become standard in the literature (p. 475).</w:t>
      </w:r>
    </w:p>
    <w:p w14:paraId="5F7D675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种测量方式合理地捕捉了非欧洲领土抵抗殖民和限制欧洲人定居的能力。首先，将国家定义为部落或酋邦水平以上的政府，意味着决策权力和资源集中在国家层面，而非分散在众多自治部落中。这与早期国家发展是欧洲殖民障碍的观点相一致，因为相对于部落或酋邦，国家更能调动抵抗殖民所需的资源并组织协调防御（第475页）。其次，在历史上由多个当代国家组成的政治单元中（如奥斯曼帝国/ˈɒtəmən ˈempaɪər/），权力发源国（土耳其/ˈtɜːrki/）的得分高于</w:t>
      </w:r>
      <w:r>
        <w:rPr>
          <w:rFonts w:hint="default" w:ascii="Times New Roman Regular" w:hAnsi="Times New Roman Regular" w:cs="Times New Roman Regular"/>
          <w:lang w:val="en-US"/>
        </w:rPr>
        <w:t>“被占领土”</w:t>
      </w:r>
      <w:r>
        <w:rPr>
          <w:rFonts w:hint="default" w:ascii="Times New Roman Regular" w:hAnsi="Times New Roman Regular" w:cs="Times New Roman Regular"/>
        </w:rPr>
        <w:t>（如突尼斯/tuːˈnɪʒə/）。这一编码程序是有意义的，因为在奥斯曼时期，殖民突尼斯可能比殖民土耳其更容易（第475页）。第三，指数的累积性质具有吸引力，因为有充分的历史证据表明，本土政治单元内部的分裂有利于欧洲人的渗透。如果在单一政体内的共同历史能够减少这种分裂，那么欧洲殖民应该取决于欧洲人到来之前的国家发展历史，而不仅仅是那一特定时刻的国家水平（第475页）。</w:t>
      </w:r>
    </w:p>
    <w:p w14:paraId="277BEC5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This measurement reasonably captures the ability of non-European territories to resist colonization and limit European settlement. First, the definition of statehood as government above a tribal or chiefdom level implies a concentration of decision-making authority and resources at the level of the state instead of in a number of autonomous tribes. This is consistent with the idea of state development as an impediment to European colonization, because states, relative to tribes or chiefdoms, were better able to raise the resources necessary to resist colonization and mount a coordinated defense (p. 475). Second, in political units that historically comprised more than one contemporaneous country (the Ottoman /ˈɒtəmən/ Empire, for example), the country from where power emanated (Turkey /ˈtɜːrki/) scores higher than the </w:t>
      </w:r>
      <w:r>
        <w:rPr>
          <w:rFonts w:hint="default" w:ascii="Times New Roman Regular" w:hAnsi="Times New Roman Regular" w:cs="Times New Roman Regular"/>
          <w:lang w:val="en-US"/>
        </w:rPr>
        <w:t>“occupied territories”</w:t>
      </w:r>
      <w:r>
        <w:rPr>
          <w:rFonts w:hint="default" w:ascii="Times New Roman Regular" w:hAnsi="Times New Roman Regular" w:cs="Times New Roman Regular"/>
        </w:rPr>
        <w:t xml:space="preserve"> (Tunisia /tuːˈnɪʒə/, say). This coding procedure seems meaningful, because it is probably true that, during the Ottoman years, it would have been easier to colonize Tunisia than Turkey (p. 475). Third, the cumulative nature of the index is appealing, because there is ample historical evidence to suggest that cleavages within indigenous political units facilitated European penetration. If a shared history within a single polity reduces such cleavages, then European colonization should depend on the history of state development up to the time of European arrival and not just on the level of statehood at that particular moment (p. 475).</w:t>
      </w:r>
    </w:p>
    <w:p w14:paraId="57F52D1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承认国家历史指数的上限为公元1年，这在某些国家会排除数千年的国家历史。这被认为是自变量的测量误差来源，会使OLS回归中国家发展系数的估计值偏向零。这一局限性加上内生性问题，促使作者使用工具变量估计，其中工具变量（新石器革命/ˌniːəˈlɪθɪk/的时间）在时间上没有限制，因此工具变量估计可以缓解这一测量误差来源（第475页）。为了检验自变量的外部效度，作者检验了107个有两个变量数据的国家中，早期国家发展（截至1500年）与1500年人口密度之间的相关性。结果显示两者之间存在非常显著的正相关（t = 8.48），相关系数为0.57，这为早期国家发展的测量提供了一定的验证，因为人口密度较高的领土可能拥有更发达的国家制度（第475-476页）。</w:t>
      </w:r>
    </w:p>
    <w:p w14:paraId="699BC7B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 acknowledges that the State Antiquity Index is bounded above at A.D. 1, which in some countries excludes millennia of state history. This is recognized as a source of measurement error in the independent variable, which biases toward zero estimates of the coefficient on state development in OLS regressions. This limitation, in addition to endogeneity concerns, motivates the use of instrumental variable estimation, where the instrumental variable (timing of the Neolithic /ˌniːəˈlɪθɪk/ Revolution) is temporally unbounded such that IV estimation alleviates this source of measurement error (p. 475). To gauge the external validity of the independent variable, the author examined the correlation between early state development (up to 1500) and population density in 1500 for the 107 countries for which data are available for both variables. This revealed a very significant (t = 8.48) positive correlation of 0.57 between the two, providing some validation of the measure of early state development, because more densely populated territories were likely to have had more developed state institutions (p. 475-476).</w:t>
      </w:r>
    </w:p>
    <w:p w14:paraId="52B92EA5">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6BC7E13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Argument: What is the core argument about the relationship between the independent and dependent variable(s)? / 论点：关于自变量和因变量之间关系的核心论点是什么？</w:t>
      </w:r>
    </w:p>
    <w:p w14:paraId="613AA8A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本文的核心论点是，与源自欧洲历史的传统观点相反，</w:t>
      </w:r>
      <w:r>
        <w:rPr>
          <w:rStyle w:val="7"/>
          <w:rFonts w:hint="default" w:ascii="Times New Roman Regular" w:hAnsi="Times New Roman Regular" w:cs="Times New Roman Regular"/>
        </w:rPr>
        <w:t>欧洲以外地区的殖民前国家发展是民主发展的障碍，而非先导</w:t>
      </w:r>
      <w:r>
        <w:rPr>
          <w:rFonts w:hint="default" w:ascii="Times New Roman Regular" w:hAnsi="Times New Roman Regular" w:cs="Times New Roman Regular"/>
        </w:rPr>
        <w:t>。虽然学界普遍认为国家是民主的必要条件，欧洲的国家构建过程通过统治者与公民之间的财政讨价还价创造了有利于代议制议会的条件（第471页），但作者认为这一欧洲模式并未在其他地方复制。相反，在欧洲大陆以外，早期国家发展的历史结果是专制而非民主（第471页）。</w:t>
      </w:r>
    </w:p>
    <w:p w14:paraId="31A39E6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core argument of this article is that, contrary to the conventional wisdom derived from European history, </w:t>
      </w:r>
      <w:r>
        <w:rPr>
          <w:rStyle w:val="7"/>
          <w:rFonts w:hint="default" w:ascii="Times New Roman Regular" w:hAnsi="Times New Roman Regular" w:cs="Times New Roman Regular"/>
        </w:rPr>
        <w:t>precolonial state development outside Europe has been an impediment to the development of democracy rather than a precursor to it</w:t>
      </w:r>
      <w:r>
        <w:rPr>
          <w:rFonts w:hint="default" w:ascii="Times New Roman Regular" w:hAnsi="Times New Roman Regular" w:cs="Times New Roman Regular"/>
        </w:rPr>
        <w:t>. While there is scholarly agreement that statehood is a necessary condition for democracy and that the European state-building process created conditions conducive to representative assemblies through fiscal bargaining between rulers and citizens (p. 471), the author argues that this European pattern did not replicate itself elsewhere. Instead, outside the European continent, the historical consequence of an early development of statehood has been autocracy, not democracy (p. 471).</w:t>
      </w:r>
    </w:p>
    <w:p w14:paraId="2545F0E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一论点通过两步因果逻辑展开。首先，本土国家制度限制了欧洲殖民事业，阻碍了欧洲制度和思想的传播。一些国家强大到足以完全抵抗殖民；另一些国家拥有足够的国家基础设施，使殖民列强在很大程度上通过现有制度进行间接统治。因此，这两类国家都没有经历制度移植或大规模欧洲人定居（第471页）。其次，尽管欧洲人的定居和殖民本身并未输出民主，但确实带来了源自欧洲母国的治理制度形式以及定居者作为欧洲人的身份认同，这两者都促进了早期代议制度的传播（第474页）。因此，在殖民前国家发展程度较高的社会中，传统的专制统治模式更可能得到保留。而在殖民前国家发展程度较低的国家中，本土国家并不构成欧洲人定居和制度移植的障碍，使这些国家更可能走上民主政权轨道（第471页）。</w:t>
      </w:r>
    </w:p>
    <w:p w14:paraId="5A2DC55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argument proceeds through a two-step causal logic. First, indigenous state institutions constrained the European colonial endeavor and limited the diffusion of European institutions and ideas. Some countries were strong enough to resist colonization entirely; others had enough state infrastructure that the colonial powers would rule to a considerable degree through existing institutions in a system of indirect rule. Neither group therefore experienced institutional transplantation nor significant European settlement (p. 471). Second, European settlement and colonization, despite not exporting democracy per se, did bring institutional forms of governance from European countries of origin as well as settler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identities as Europeans, both of which facilitated the spread of early representative institutions (p. 474). In societies with more precolonial state development, it was therefore more likely that the traditional mode of rule—autocracy—was preserved. In countries with less precolonial state development, the indigenous state was not an obstacle to European settlement and institutional transplantation, making these countries more likely to embark on a democratic regime trajectory (p. 471).</w:t>
      </w:r>
    </w:p>
    <w:p w14:paraId="4CF81F7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一论点为国家构建影响后续政权发展的国内因素集合增添了一个外部因素——殖民时期欧洲影响的扩散（第472页）。作者指出，尽管分析聚焦于外部因素，但并未完全忽视国内动态：它表明漫长的国家历史可能使讨价还价的权力向控制国家机器的统治者倾斜，因为正如本土国家发展使统治者能够抵御欧洲人一样，它也必然促进了对内部反对派的镇压（第472页）。此外，分析表明，即使国家构建能够通过引发财政讨价还价博弈为议会制创造长期动力，这种效应在欧洲以外也不会很强——它被拒欧洲人于门外或被间接殖民的负面效应所主导（第472页）。</w:t>
      </w:r>
    </w:p>
    <w:p w14:paraId="00FC798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This argument adds an external factor—the diffusion of European influence during the colonial period—to the set of domestic factors that have been proposed to mediate the effect of statehood on subsequent regime developments (p. 472). The author notes that although the analysis focuses on an external factor, it is not wholly silent on domestic dynamics: it suggests that a long history of statehood might have shifted bargaining power toward the ruler in control of the state apparatus, because just as indigenous state development allowed rulers to fend off Europeans, it must have also facilitated the repression of internal opposition (p. 472). Furthermore, the analysis shows that even if state building can create a long-run impetus to parliamentarism by unleashing a fiscal bargaining game, this effect cannot be very strong outside Europe—it is dominated by the negative effect of having kept Europeans away or having been colonized with indirect rule (p. 472).</w:t>
      </w:r>
    </w:p>
    <w:p w14:paraId="46D5A4D5">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41E8F83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Mechanisms: What mechanisms are proposed to explain how the independent variable influences the outcome? / 机制：提出了哪些机制来解释自变量如何影响结果？</w:t>
      </w:r>
    </w:p>
    <w:p w14:paraId="7161884B">
      <w:pPr>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eastAsiaTheme="minorEastAsia"/>
          <w:kern w:val="2"/>
          <w:sz w:val="24"/>
          <w:szCs w:val="24"/>
          <w:lang w:val="en-US" w:eastAsia="zh-CN" w:bidi="ar-SA"/>
        </w:rPr>
      </w:pPr>
      <w:r>
        <w:rPr>
          <w:rFonts w:hint="eastAsia" w:ascii="Times New Roman Regular" w:hAnsi="Times New Roman Regular" w:cs="Times New Roman Regular" w:eastAsiaTheme="minorEastAsia"/>
          <w:kern w:val="2"/>
          <w:sz w:val="24"/>
          <w:szCs w:val="24"/>
          <w:lang w:val="en-US" w:eastAsia="zh-CN" w:bidi="ar-SA"/>
        </w:rPr>
        <w:t>作者提出了一套连贯的机制，将早期国家发展与当代专制联系起来，通过欧洲殖民和定居的中介作用运作。这些机制可以组织为两个连续阶段。</w:t>
      </w:r>
    </w:p>
    <w:p w14:paraId="1564C8A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 proposes a coherent set of mechanisms linking early state development to contemporary autocracy, operating through the mediating role of European colonization and settlement. These mechanisms can be organized into two sequential stages.</w:t>
      </w:r>
    </w:p>
    <w:p w14:paraId="24ADE63F">
      <w:pPr>
        <w:pStyle w:val="4"/>
        <w:keepNext w:val="0"/>
        <w:keepLines w:val="0"/>
        <w:widowControl/>
        <w:suppressLineNumbers w:val="0"/>
        <w:autoSpaceDE w:val="0"/>
        <w:autoSpaceDN/>
        <w:spacing w:before="0" w:beforeAutospacing="0" w:after="0" w:afterAutospacing="0"/>
        <w:ind w:left="0" w:right="0"/>
        <w:jc w:val="both"/>
        <w:rPr>
          <w:rFonts w:hint="default" w:ascii="Times New Roman Regular" w:hAnsi="Times New Roman Regular" w:eastAsia="宋体" w:cs="Times New Roman Regular"/>
          <w:kern w:val="2"/>
          <w:sz w:val="24"/>
          <w:szCs w:val="24"/>
        </w:rPr>
      </w:pPr>
      <w:r>
        <w:rPr>
          <w:rStyle w:val="10"/>
          <w:rFonts w:hint="eastAsia" w:ascii="宋体" w:hAnsi="宋体" w:eastAsia="宋体" w:cs="宋体"/>
          <w:b/>
          <w:bCs w:val="0"/>
          <w:kern w:val="2"/>
          <w:sz w:val="24"/>
          <w:szCs w:val="24"/>
          <w:lang w:val="en-US" w:eastAsia="zh-CN" w:bidi="ar"/>
        </w:rPr>
        <w:t>机制</w:t>
      </w:r>
      <w:r>
        <w:rPr>
          <w:rStyle w:val="10"/>
          <w:rFonts w:hint="default" w:ascii="Times New Roman Regular" w:hAnsi="Times New Roman Regular" w:eastAsia="宋体" w:cs="Times New Roman Regular"/>
          <w:b/>
          <w:bCs w:val="0"/>
          <w:kern w:val="2"/>
          <w:sz w:val="24"/>
          <w:szCs w:val="24"/>
          <w:lang w:val="en-US" w:eastAsia="zh-CN" w:bidi="ar"/>
        </w:rPr>
        <w:t>1</w:t>
      </w:r>
      <w:r>
        <w:rPr>
          <w:rStyle w:val="10"/>
          <w:rFonts w:hint="eastAsia" w:ascii="宋体" w:hAnsi="宋体" w:eastAsia="宋体" w:cs="宋体"/>
          <w:b/>
          <w:bCs w:val="0"/>
          <w:kern w:val="2"/>
          <w:sz w:val="24"/>
          <w:szCs w:val="24"/>
          <w:lang w:val="en-US" w:eastAsia="zh-CN" w:bidi="ar"/>
        </w:rPr>
        <w:t>：早期国家作为殖民和定居的障碍</w:t>
      </w:r>
    </w:p>
    <w:p w14:paraId="68FE0E05">
      <w:pPr>
        <w:pStyle w:val="4"/>
        <w:keepNext w:val="0"/>
        <w:keepLines w:val="0"/>
        <w:widowControl/>
        <w:suppressLineNumbers w:val="0"/>
        <w:autoSpaceDE w:val="0"/>
        <w:autoSpaceDN/>
        <w:spacing w:before="0" w:beforeAutospacing="0" w:after="0" w:afterAutospacing="0"/>
        <w:ind w:left="0" w:right="0"/>
        <w:jc w:val="both"/>
        <w:rPr>
          <w:rFonts w:hint="default" w:ascii="Times New Roman Regular" w:hAnsi="Times New Roman Regular" w:eastAsia="宋体" w:cs="Times New Roman Regular"/>
          <w:kern w:val="2"/>
          <w:sz w:val="24"/>
          <w:szCs w:val="24"/>
        </w:rPr>
      </w:pPr>
      <w:r>
        <w:rPr>
          <w:rFonts w:hint="eastAsia" w:ascii="宋体" w:hAnsi="宋体" w:eastAsia="宋体" w:cs="宋体"/>
          <w:kern w:val="2"/>
          <w:sz w:val="24"/>
          <w:szCs w:val="24"/>
          <w:lang w:val="en-US" w:eastAsia="zh-CN" w:bidi="ar"/>
        </w:rPr>
        <w:t>由类国家制度治理的领土更难被殖民，因为单一统治者下的集中权威使政体能够果断应对并组织协调抵抗（第</w:t>
      </w:r>
      <w:r>
        <w:rPr>
          <w:rFonts w:hint="default" w:ascii="Times New Roman Regular" w:hAnsi="Times New Roman Regular" w:eastAsia="宋体" w:cs="Times New Roman Regular"/>
          <w:kern w:val="2"/>
          <w:sz w:val="24"/>
          <w:szCs w:val="24"/>
          <w:lang w:val="en-US" w:eastAsia="zh-CN" w:bidi="ar"/>
        </w:rPr>
        <w:t>473</w:t>
      </w:r>
      <w:r>
        <w:rPr>
          <w:rFonts w:hint="eastAsia" w:ascii="宋体" w:hAnsi="宋体" w:eastAsia="宋体" w:cs="宋体"/>
          <w:kern w:val="2"/>
          <w:sz w:val="24"/>
          <w:szCs w:val="24"/>
          <w:lang w:val="en-US" w:eastAsia="zh-CN" w:bidi="ar"/>
        </w:rPr>
        <w:t>页）。作者借鉴了</w:t>
      </w:r>
      <w:r>
        <w:rPr>
          <w:rFonts w:hint="default" w:ascii="Times New Roman Regular" w:hAnsi="Times New Roman Regular" w:eastAsia="Times New Roman Regular" w:cs="Times New Roman Regular"/>
          <w:kern w:val="2"/>
          <w:sz w:val="24"/>
          <w:szCs w:val="24"/>
          <w:lang w:val="en-US" w:eastAsia="zh-CN" w:bidi="ar"/>
        </w:rPr>
        <w:t>Patricia Crone</w:t>
      </w:r>
      <w:r>
        <w:rPr>
          <w:rFonts w:hint="eastAsia" w:ascii="宋体" w:hAnsi="宋体" w:eastAsia="宋体" w:cs="宋体"/>
          <w:kern w:val="2"/>
          <w:sz w:val="24"/>
          <w:szCs w:val="24"/>
          <w:lang w:val="en-US" w:eastAsia="zh-CN" w:bidi="ar"/>
        </w:rPr>
        <w:t>（</w:t>
      </w:r>
      <w:r>
        <w:rPr>
          <w:rFonts w:hint="default" w:ascii="Times New Roman Regular" w:hAnsi="Times New Roman Regular" w:eastAsia="Times New Roman Regular" w:cs="Times New Roman Regular"/>
          <w:kern w:val="2"/>
          <w:sz w:val="24"/>
          <w:szCs w:val="24"/>
          <w:lang w:val="en-US" w:eastAsia="zh-CN" w:bidi="ar"/>
        </w:rPr>
        <w:t>1986</w:t>
      </w:r>
      <w:r>
        <w:rPr>
          <w:rFonts w:hint="eastAsia" w:ascii="宋体" w:hAnsi="宋体" w:eastAsia="宋体" w:cs="宋体"/>
          <w:kern w:val="2"/>
          <w:sz w:val="24"/>
          <w:szCs w:val="24"/>
          <w:lang w:val="en-US" w:eastAsia="zh-CN" w:bidi="ar"/>
        </w:rPr>
        <w:t>年）阐述的逻辑，指出防御是一种公共物品，自治政体或部落有动机搭便车于他人的防御努力。当权威集中在单一政体中时，搭便车更加困难。此外，如</w:t>
      </w:r>
      <w:r>
        <w:rPr>
          <w:rFonts w:hint="default" w:ascii="Times New Roman Regular" w:hAnsi="Times New Roman Regular" w:eastAsia="Times New Roman Regular" w:cs="Times New Roman Regular"/>
          <w:kern w:val="2"/>
          <w:sz w:val="24"/>
          <w:szCs w:val="24"/>
          <w:lang w:val="en-US" w:eastAsia="zh-CN" w:bidi="ar"/>
        </w:rPr>
        <w:t>Hendrik Spruyt</w:t>
      </w:r>
      <w:r>
        <w:rPr>
          <w:rFonts w:hint="eastAsia" w:ascii="宋体" w:hAnsi="宋体" w:eastAsia="宋体" w:cs="宋体"/>
          <w:kern w:val="2"/>
          <w:sz w:val="24"/>
          <w:szCs w:val="24"/>
          <w:lang w:val="en-US" w:eastAsia="zh-CN" w:bidi="ar"/>
        </w:rPr>
        <w:t>（</w:t>
      </w:r>
      <w:r>
        <w:rPr>
          <w:rFonts w:hint="default" w:ascii="Times New Roman Regular" w:hAnsi="Times New Roman Regular" w:eastAsia="Times New Roman Regular" w:cs="Times New Roman Regular"/>
          <w:kern w:val="2"/>
          <w:sz w:val="24"/>
          <w:szCs w:val="24"/>
          <w:lang w:val="en-US" w:eastAsia="zh-CN" w:bidi="ar"/>
        </w:rPr>
        <w:t>1994</w:t>
      </w:r>
      <w:r>
        <w:rPr>
          <w:rFonts w:hint="eastAsia" w:ascii="宋体" w:hAnsi="宋体" w:eastAsia="宋体" w:cs="宋体"/>
          <w:kern w:val="2"/>
          <w:sz w:val="24"/>
          <w:szCs w:val="24"/>
          <w:lang w:val="en-US" w:eastAsia="zh-CN" w:bidi="ar"/>
        </w:rPr>
        <w:t>年）所论，单一政体不太可能充满分裂和内部纷争，让殖民者无法利用分而治之的策略（第</w:t>
      </w:r>
      <w:r>
        <w:rPr>
          <w:rFonts w:hint="default" w:ascii="Times New Roman Regular" w:hAnsi="Times New Roman Regular" w:eastAsia="Times New Roman Regular" w:cs="Times New Roman Regular"/>
          <w:kern w:val="2"/>
          <w:sz w:val="24"/>
          <w:szCs w:val="24"/>
          <w:lang w:val="en-US" w:eastAsia="zh-CN" w:bidi="ar"/>
        </w:rPr>
        <w:t>473</w:t>
      </w:r>
      <w:r>
        <w:rPr>
          <w:rFonts w:hint="eastAsia" w:ascii="宋体" w:hAnsi="宋体" w:eastAsia="宋体" w:cs="宋体"/>
          <w:kern w:val="2"/>
          <w:sz w:val="24"/>
          <w:szCs w:val="24"/>
          <w:lang w:val="en-US" w:eastAsia="zh-CN" w:bidi="ar"/>
        </w:rPr>
        <w:t>页）。</w:t>
      </w:r>
    </w:p>
    <w:p w14:paraId="6F03858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Mechanism 1: Early Statehood as a Barrier to Colonization and Settlement</w:t>
      </w:r>
    </w:p>
    <w:p w14:paraId="1E263D5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Territories governed by state-like institutions were harder to colonize because centralized authority under a single ruler enabled polities to respond decisively and mount coordinated resistance (p. 473). The author draws on the logic articulated by Patricia Crone (1986), noting that defense is a public good, and autonomous polities or tribes had an incentive to free-ride on the defensive efforts of others. Free-riding is harder when authority is centralized in a single polity. Moreover, one-body polities are likely to be less fraught with disunity and internal strife for colonists to exploit in divide-and-conquer strategies, as argued by Hendrik Spruyt (1994) (p. 473).</w:t>
      </w:r>
    </w:p>
    <w:p w14:paraId="0FD12F6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作者为这一机制提供了大量历史证据。在北非（North Africa /ˈæfrɪkə/）和中东，欧洲人遇到了相对有组织的国家制度，他们无法将其殖民；16世纪初，西班牙（Spain /speɪn/）的查理五世（Charles V /tʃɑːrlz/）多次与奥斯曼人（Ottomans /ˈɒtəmənz/）争夺北非领土，但从未成功撼动奥斯曼据点（第473页）。1578年，葡萄牙人（Portuguese /ˌpɔːrtʃʊˈɡiːz/）在摩洛哥（Morocco /məˈrɒkəʊ/）的最后一个定居点在克萨尔·埃尔·凯比尔（Ksar El Kebir /ksɑːr el kəˈbɪr/）的灾难性战败后被放弃，塞巴斯蒂安国王（King Sebastian /səˈbæstʃən/）和8000名士兵在此战中阵亡（第473页）。</w:t>
      </w:r>
    </w:p>
    <w:p w14:paraId="23ABB96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 provides extensive historical evidence for this mechanism. In North Africa /ˈæfrɪkə/ and the Middle East, Europeans encountered comparatively organized state institutions which they were unable to colonize; in the early 16th century, Charles V /tʃɑːrlz/ of Spain /speɪn/ repeatedly fought the Ottomans /ˈɒtəmənz/ over territory in North Africa but never succeeded in dislodging the Ottoman stronghold (p. 473). In 1578, the last Portuguese /ˌpɔːrtʃʊˈɡiːz/ settlement in Morocco /məˈrɒkəʊ/ was abandoned after the disastrous defeat at Ksar El Kebir /ksɑːr el kəˈbɪr/, which cost the lives of King Sebastian /səˈbæstʃən/ and 8,000 soldiers (p. 473).</w:t>
      </w:r>
    </w:p>
    <w:p w14:paraId="34715D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在新大陆，欧洲人遇到了阿兹特克帝国（Aztec /ˈæztek/）和印加帝国（Inca /ˈɪŋkə/），它们相对年轻，没有形成对抗殖民者的统一战线。特拉斯卡拉（Tlaxcala /tlæsˈkɑːlə/）人与特诺奇蒂特兰（Tenochtitlan /teˌnɒtʃtɪˈtlɑːn/）统治者之间的冲突是埃尔南·科尔特斯（Hernán Cortés /ɛrˈnɑːn kɔːrˈtes/）征服阿兹特克首都的重要因素；当科尔特斯征服特诺奇蒂特兰时，不到350人的西班牙军队得到了约6000名特拉斯卡拉战士的加入（第473页）。在巴西（Brazil /brəˈzɪl/），葡萄牙人发现的部落社会缺乏中央集权国家的协调，它们之间的争斗与对抗欧洲人一样频繁（第473页）。</w:t>
      </w:r>
    </w:p>
    <w:p w14:paraId="699BAFB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In the New World, Europeans encountered the Aztec /ˈæztek/ and Inca /ˈɪŋkə/ empires, which were relatively young and did not present a unified front against colonists. Conflict between the people of Tlaxcala /tlæsˈkɑːlə/ and the rulers in Tenochtitlan /teˌnɒtʃtɪˈtlɑːn/ was an important factor in Hernán Corté</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/ɛrˈnɑːn kɔːrˈtes/ conquest of the Aztec capital; when Cortés conquered Tenochtitlan, the Spanish forces of fewer than 350 men were joined by some 6,000 Tlaxcalan warriors (p. 473). In Brazil /brəˈzɪl/, the Portuguese found tribal societies that lacked the coordination of a centralized state, fighting as much among themselves as against the Europeans (p. 473).</w:t>
      </w:r>
    </w:p>
    <w:p w14:paraId="65262A9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在撒哈拉以南非洲（sub-Saharan Africa /sʌb səˈhærən ˈæfrɪkə/），埃塞俄比亚（Ethiopia /ˌiːθiˈəʊpiə/）是非洲大陆上最古老的王国国家，也是唯一强大到足以避免被殖民的国家。历史学家斯文·鲁本森（Sven Rubenson /sven ˈruːbənsən/）将此归因于该国悠久的国家历史：</w:t>
      </w:r>
      <w:r>
        <w:rPr>
          <w:rFonts w:hint="default" w:ascii="Times New Roman Regular" w:hAnsi="Times New Roman Regular" w:cs="Times New Roman Regular"/>
          <w:lang w:val="en-US"/>
        </w:rPr>
        <w:t>“[埃塞俄比亚]是一个意识到共同身份的单一政体，其政治凝聚力和对相关问题的认识超出了埃塞俄比亚敌人的预期”</w:t>
      </w:r>
      <w:r>
        <w:rPr>
          <w:rFonts w:hint="default" w:ascii="Times New Roman Regular" w:hAnsi="Times New Roman Regular" w:cs="Times New Roman Regular"/>
        </w:rPr>
        <w:t>（第473页）。在亚洲（Asia /ˈeɪʒə/），日本（Japan /dʒəˈpæn/）的德川幕府（Tokugawa /toʊkuˈɡɑːwə/）足够强大，能够驱逐欧洲商人、传教士和定居者，禁止基督教并迫害本土皈依者，在锁国政策（Sakoku /sɑːˈkoʊku/）下将日本与欧洲影响近乎完全隔绝了两个世纪（第473页）。在中国（China /ˈtʃaɪnə/），当局严格限制欧洲商人的存在，只允许与政府授权的商会进行贸易（第473页）。</w:t>
      </w:r>
    </w:p>
    <w:p w14:paraId="61D8A53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In sub-Saharan Africa /sʌb səˈhærən ˈæfrɪkə/, Ethiopia /ˌiːθiˈəʊpiə/, the oldest kingdom-state on the continent, was the only country strong enough to avoid colonization. Historian Sven Rubenson /sven ˈruːbənsən/ attributed this to the country</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long history of statehood: </w:t>
      </w:r>
      <w:r>
        <w:rPr>
          <w:rFonts w:hint="default" w:ascii="Times New Roman Regular" w:hAnsi="Times New Roman Regular" w:cs="Times New Roman Regular"/>
          <w:lang w:val="en-US"/>
        </w:rPr>
        <w:t>“[Ethiopia] was [a] one body polity aware of one common identity and there was a greater political cohesion and awareness of the issues involved than the enemies of Ethiopia foresaw”</w:t>
      </w:r>
      <w:r>
        <w:rPr>
          <w:rFonts w:hint="default" w:ascii="Times New Roman Regular" w:hAnsi="Times New Roman Regular" w:cs="Times New Roman Regular"/>
        </w:rPr>
        <w:t xml:space="preserve"> (p. 473). In Asia /ˈeɪʒə/, the Tokugawa /toʊkuˈɡɑːwə/ shogunate in Japan /dʒəˈpæn/ was strong enough to evict European merchants, missionaries, and settlers; prohibit Christianity; and persecute indigenous converts, keeping Japan almost hermetically sealed off from European influence under the Sakoku /sɑːˈkoʊku/ policy for two centuries (p. 473). In China /ˈtʃaɪnə/, authorities greatly restricted European merchant presence and allowed trade only with a government-authorized merchant guild (p. 473).</w:t>
      </w:r>
    </w:p>
    <w:p w14:paraId="36B62E6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机制2：殖民策略与间接统治</w:t>
      </w:r>
    </w:p>
    <w:p w14:paraId="6F7B1ED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殖民前的国家发展不仅影响了哪些领土被殖民，还塑造了殖民策略。在已经存在类国家制度和权威结构的地方，宗主国统治可以叠加在现有框架之上，通过已建立的渠道在间接统治体系中进行治理（第473页）。作者引用Gerring等人（2011年）的观点，认为被殖民领土作为殖民列强代理人的能力取决于该政体的国家化程度——对于殖民列强来说，使用现有权威和国家基础设施比摧毁后重建要容易得多（第473页）。因此，殖民前国家制度较发达的领土不太可能被殖民，但如果被殖民，则更可能以间接统治的形式被殖民（第473页）。</w:t>
      </w:r>
    </w:p>
    <w:p w14:paraId="4A17D12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Mechanism 2: Colonization Strategy and Indirect Rule</w:t>
      </w:r>
    </w:p>
    <w:p w14:paraId="151F825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Precolonial state development not only affected which territories were colonized but also shaped the colonization strategy. Where state-like institutions and authority structures were already in place, metropolitan rule could superimpose itself on the existing framework and govern through the established channels in a system of indirect rule (p. 473). Citing Gerring et al. (2011), the author argues that the capacity of a colonized territory to serve as an agent of the colonial power is a function of how state-like the polity is—it was simply easier for a colonial power to use existing authority and state infrastructure than to destroy and rebuild from scratch (p. 473). Thus, territories with more developed precolonial state institutions were less likely to be colonized, but if they were colonized, they were more likely to be colonized with an indirect form of rule (p. 473).</w:t>
      </w:r>
    </w:p>
    <w:p w14:paraId="5305201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机制3：欧洲人定居与代议制度的传播</w:t>
      </w:r>
    </w:p>
    <w:p w14:paraId="2E313E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欧洲殖民和定居并未输出民主，因为当时没有一个殖民列强是民主国家。然而，欧洲定居者确实从他们的原籍国带来了治理制度形式以及他们作为欧洲人的身份认同——这两个因素都促进了早期代议制度的传播（第474页）。作者以西班牙王室为其海外领地颁布的《印度法律汇编》（Recopilación de las leyes de Indias）为例，该法典明确规定</w:t>
      </w:r>
      <w:r>
        <w:rPr>
          <w:rFonts w:hint="default" w:ascii="Times New Roman Regular" w:hAnsi="Times New Roman Regular" w:cs="Times New Roman Regular"/>
          <w:lang w:val="en-US"/>
        </w:rPr>
        <w:t>“卡斯蒂利亚（Castile /kæˈstiːl/）王国和印度群岛（Indies /ˈɪndiz/）王国同属一个王室，二者的法律和治理方式应尽可能一致”</w:t>
      </w:r>
      <w:r>
        <w:rPr>
          <w:rFonts w:hint="default" w:ascii="Times New Roman Regular" w:hAnsi="Times New Roman Regular" w:cs="Times New Roman Regular"/>
        </w:rPr>
        <w:t>（第474页）。</w:t>
      </w:r>
    </w:p>
    <w:p w14:paraId="131AB4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Mechanism 3: European Settlement and the Spread of Representative Institutions</w:t>
      </w:r>
    </w:p>
    <w:p w14:paraId="293A5A0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European colonization and settlement did not export democracy because none of the colonial powers were democratic at the time. However, European settlers did bring institutional forms of governance from their countries of origin, as well as their identity as Europeans—both factors facilitated the spread of early representative institutions (p. 474). The author provides the example of the Recopilación de las leyes de Indias, the body of laws issued by the Spanish Crown for its overseas possessions, which explicitly stated that </w:t>
      </w:r>
      <w:r>
        <w:rPr>
          <w:rFonts w:hint="default" w:ascii="Times New Roman Regular" w:hAnsi="Times New Roman Regular" w:cs="Times New Roman Regular"/>
          <w:lang w:val="en-US"/>
        </w:rPr>
        <w:t>“the Kingdoms of Castile /kæˈstiːl/ and of the Indies /ˈɪndiz/ are under one Crown, the laws and manner of government of one should conform as nearly as possible to those of the other”</w:t>
      </w:r>
      <w:r>
        <w:rPr>
          <w:rFonts w:hint="default" w:ascii="Times New Roman Regular" w:hAnsi="Times New Roman Regular" w:cs="Times New Roman Regular"/>
        </w:rPr>
        <w:t xml:space="preserve"> (p. 474).</w:t>
      </w:r>
    </w:p>
    <w:p w14:paraId="571DC516">
      <w:pPr>
        <w:pStyle w:val="4"/>
        <w:keepNext w:val="0"/>
        <w:keepLines w:val="0"/>
        <w:widowControl/>
        <w:suppressLineNumbers w:val="0"/>
        <w:autoSpaceDE w:val="0"/>
        <w:autoSpaceDN/>
        <w:spacing w:before="0" w:beforeAutospacing="0" w:after="0" w:afterAutospacing="0"/>
        <w:ind w:left="0" w:right="0"/>
        <w:jc w:val="left"/>
        <w:rPr>
          <w:rFonts w:hint="default" w:ascii="Times New Roman Regular" w:hAnsi="Times New Roman Regular" w:eastAsia="Times New Roman" w:cs="Times New Roman Regular"/>
          <w:kern w:val="0"/>
          <w:sz w:val="24"/>
          <w:szCs w:val="24"/>
        </w:rPr>
      </w:pPr>
      <w:r>
        <w:rPr>
          <w:rFonts w:hint="default" w:ascii="Times New Roman" w:hAnsi="Times New Roman" w:eastAsia="Times New Roman" w:cs="Times New Roman"/>
          <w:kern w:val="0"/>
          <w:sz w:val="24"/>
          <w:szCs w:val="24"/>
          <w:lang w:val="en-US" w:eastAsia="zh-CN" w:bidi="ar"/>
        </w:rPr>
        <w:t>欧洲法院的权威远在三千英里之外；定居者因土地易于获得和其有产者地位而获得权力；他们带着自己作为英国人、西班牙人和葡萄牙人的身份认同。无论母国授予什么政治权利，他们都认为同样的权利应该适用于海外（第</w:t>
      </w:r>
      <w:r>
        <w:rPr>
          <w:rFonts w:hint="default" w:ascii="Times New Roman Regular" w:hAnsi="Times New Roman Regular" w:eastAsia="Times New Roman" w:cs="Times New Roman Regular"/>
          <w:kern w:val="0"/>
          <w:sz w:val="24"/>
          <w:szCs w:val="24"/>
          <w:lang w:val="en-US" w:eastAsia="zh-CN" w:bidi="ar"/>
        </w:rPr>
        <w:t>474</w:t>
      </w:r>
      <w:r>
        <w:rPr>
          <w:rFonts w:hint="default" w:ascii="Times New Roman" w:hAnsi="Times New Roman" w:eastAsia="Times New Roman" w:cs="Times New Roman"/>
          <w:kern w:val="0"/>
          <w:sz w:val="24"/>
          <w:szCs w:val="24"/>
          <w:lang w:val="en-US" w:eastAsia="zh-CN" w:bidi="ar"/>
        </w:rPr>
        <w:t>页）。定居者与其原籍国保持</w:t>
      </w:r>
      <w:r>
        <w:rPr>
          <w:rFonts w:hint="default" w:ascii="Times New Roman Regular" w:hAnsi="Times New Roman Regular" w:eastAsia="Times New Roman Regular" w:cs="Times New Roman Regular"/>
          <w:kern w:val="0"/>
          <w:sz w:val="24"/>
          <w:szCs w:val="24"/>
          <w:lang w:val="en-US" w:eastAsia="zh-CN" w:bidi="ar"/>
        </w:rPr>
        <w:t>“</w:t>
      </w:r>
      <w:r>
        <w:rPr>
          <w:rFonts w:hint="default" w:ascii="Times New Roman" w:hAnsi="Times New Roman" w:eastAsia="Times New Roman" w:cs="Times New Roman"/>
          <w:kern w:val="0"/>
          <w:sz w:val="24"/>
          <w:szCs w:val="24"/>
          <w:lang w:val="en-US" w:eastAsia="zh-CN" w:bidi="ar"/>
        </w:rPr>
        <w:t>沟通和交流</w:t>
      </w:r>
      <w:r>
        <w:rPr>
          <w:rFonts w:hint="default" w:ascii="Times New Roman Regular" w:hAnsi="Times New Roman Regular" w:eastAsia="Times New Roman Regular" w:cs="Times New Roman Regular"/>
          <w:kern w:val="0"/>
          <w:sz w:val="24"/>
          <w:szCs w:val="24"/>
          <w:lang w:val="en-US" w:eastAsia="zh-CN" w:bidi="ar"/>
        </w:rPr>
        <w:t>”</w:t>
      </w:r>
      <w:r>
        <w:rPr>
          <w:rFonts w:hint="default" w:ascii="Times New Roman" w:hAnsi="Times New Roman" w:eastAsia="Times New Roman" w:cs="Times New Roman"/>
          <w:kern w:val="0"/>
          <w:sz w:val="24"/>
          <w:szCs w:val="24"/>
          <w:lang w:val="en-US" w:eastAsia="zh-CN" w:bidi="ar"/>
        </w:rPr>
        <w:t>，受到那里事件的影响。伯纳德</w:t>
      </w:r>
      <w:r>
        <w:rPr>
          <w:rFonts w:hint="default" w:ascii="Times New Roman Regular" w:hAnsi="Times New Roman Regular" w:eastAsia="Times New Roman Regular" w:cs="Times New Roman Regular"/>
          <w:kern w:val="0"/>
          <w:sz w:val="24"/>
          <w:szCs w:val="24"/>
          <w:lang w:val="en-US" w:eastAsia="zh-CN" w:bidi="ar"/>
        </w:rPr>
        <w:t>·</w:t>
      </w:r>
      <w:r>
        <w:rPr>
          <w:rFonts w:hint="default" w:ascii="Times New Roman" w:hAnsi="Times New Roman" w:eastAsia="Times New Roman" w:cs="Times New Roman"/>
          <w:kern w:val="0"/>
          <w:sz w:val="24"/>
          <w:szCs w:val="24"/>
          <w:lang w:val="en-US" w:eastAsia="zh-CN" w:bidi="ar"/>
        </w:rPr>
        <w:t>贝林（</w:t>
      </w:r>
      <w:r>
        <w:rPr>
          <w:rFonts w:hint="default" w:ascii="Times New Roman Regular" w:hAnsi="Times New Roman Regular" w:eastAsia="Times New Roman Regular" w:cs="Times New Roman Regular"/>
          <w:kern w:val="0"/>
          <w:sz w:val="24"/>
          <w:szCs w:val="24"/>
          <w:lang w:val="en-US" w:eastAsia="zh-CN" w:bidi="ar"/>
        </w:rPr>
        <w:t>Bernard Bailyn /ˈbeɪlɪn/</w:t>
      </w:r>
      <w:r>
        <w:rPr>
          <w:rFonts w:hint="default" w:ascii="Times New Roman" w:hAnsi="Times New Roman" w:eastAsia="Times New Roman" w:cs="Times New Roman"/>
          <w:kern w:val="0"/>
          <w:sz w:val="24"/>
          <w:szCs w:val="24"/>
          <w:lang w:val="en-US" w:eastAsia="zh-CN" w:bidi="ar"/>
        </w:rPr>
        <w:t>，</w:t>
      </w:r>
      <w:r>
        <w:rPr>
          <w:rFonts w:hint="default" w:ascii="Times New Roman Regular" w:hAnsi="Times New Roman Regular" w:eastAsia="Times New Roman Regular" w:cs="Times New Roman Regular"/>
          <w:kern w:val="0"/>
          <w:sz w:val="24"/>
          <w:szCs w:val="24"/>
          <w:lang w:val="en-US" w:eastAsia="zh-CN" w:bidi="ar"/>
        </w:rPr>
        <w:t>1967</w:t>
      </w:r>
      <w:r>
        <w:rPr>
          <w:rFonts w:hint="default" w:ascii="Times New Roman" w:hAnsi="Times New Roman" w:eastAsia="Times New Roman" w:cs="Times New Roman"/>
          <w:kern w:val="0"/>
          <w:sz w:val="24"/>
          <w:szCs w:val="24"/>
          <w:lang w:val="en-US" w:eastAsia="zh-CN" w:bidi="ar"/>
        </w:rPr>
        <w:t>年）展示了北美定居者殖民地的反对派思想如何主要受到</w:t>
      </w:r>
      <w:r>
        <w:rPr>
          <w:rFonts w:hint="default" w:ascii="Times New Roman Regular" w:hAnsi="Times New Roman Regular" w:eastAsia="Times New Roman Regular" w:cs="Times New Roman Regular"/>
          <w:kern w:val="0"/>
          <w:sz w:val="24"/>
          <w:szCs w:val="24"/>
          <w:lang w:val="en-US" w:eastAsia="zh-CN" w:bidi="ar"/>
        </w:rPr>
        <w:t>17</w:t>
      </w:r>
      <w:r>
        <w:rPr>
          <w:rFonts w:hint="default" w:ascii="Times New Roman" w:hAnsi="Times New Roman" w:eastAsia="Times New Roman" w:cs="Times New Roman"/>
          <w:kern w:val="0"/>
          <w:sz w:val="24"/>
          <w:szCs w:val="24"/>
          <w:lang w:val="en-US" w:eastAsia="zh-CN" w:bidi="ar"/>
        </w:rPr>
        <w:t>世纪末和</w:t>
      </w:r>
      <w:r>
        <w:rPr>
          <w:rFonts w:hint="default" w:ascii="Times New Roman Regular" w:hAnsi="Times New Roman Regular" w:eastAsia="Times New Roman Regular" w:cs="Times New Roman Regular"/>
          <w:kern w:val="0"/>
          <w:sz w:val="24"/>
          <w:szCs w:val="24"/>
          <w:lang w:val="en-US" w:eastAsia="zh-CN" w:bidi="ar"/>
        </w:rPr>
        <w:t>18</w:t>
      </w:r>
      <w:r>
        <w:rPr>
          <w:rFonts w:hint="default" w:ascii="Times New Roman" w:hAnsi="Times New Roman" w:eastAsia="Times New Roman" w:cs="Times New Roman"/>
          <w:kern w:val="0"/>
          <w:sz w:val="24"/>
          <w:szCs w:val="24"/>
          <w:lang w:val="en-US" w:eastAsia="zh-CN" w:bidi="ar"/>
        </w:rPr>
        <w:t>世纪初英格兰（</w:t>
      </w:r>
      <w:r>
        <w:rPr>
          <w:rFonts w:hint="default" w:ascii="Times New Roman Regular" w:hAnsi="Times New Roman Regular" w:eastAsia="Times New Roman Regular" w:cs="Times New Roman Regular"/>
          <w:kern w:val="0"/>
          <w:sz w:val="24"/>
          <w:szCs w:val="24"/>
          <w:lang w:val="en-US" w:eastAsia="zh-CN" w:bidi="ar"/>
        </w:rPr>
        <w:t>England /ˈɪŋɡlənd/</w:t>
      </w:r>
      <w:r>
        <w:rPr>
          <w:rFonts w:hint="default" w:ascii="Times New Roman" w:hAnsi="Times New Roman" w:eastAsia="Times New Roman" w:cs="Times New Roman"/>
          <w:kern w:val="0"/>
          <w:sz w:val="24"/>
          <w:szCs w:val="24"/>
          <w:lang w:val="en-US" w:eastAsia="zh-CN" w:bidi="ar"/>
        </w:rPr>
        <w:t>）辉格党（</w:t>
      </w:r>
      <w:r>
        <w:rPr>
          <w:rFonts w:hint="default" w:ascii="Times New Roman Regular" w:hAnsi="Times New Roman Regular" w:eastAsia="Times New Roman Regular" w:cs="Times New Roman Regular"/>
          <w:kern w:val="0"/>
          <w:sz w:val="24"/>
          <w:szCs w:val="24"/>
          <w:lang w:val="en-US" w:eastAsia="zh-CN" w:bidi="ar"/>
        </w:rPr>
        <w:t>Whig /wɪɡ/</w:t>
      </w:r>
      <w:r>
        <w:rPr>
          <w:rFonts w:hint="default" w:ascii="Times New Roman" w:hAnsi="Times New Roman" w:eastAsia="Times New Roman" w:cs="Times New Roman"/>
          <w:kern w:val="0"/>
          <w:sz w:val="24"/>
          <w:szCs w:val="24"/>
          <w:lang w:val="en-US" w:eastAsia="zh-CN" w:bidi="ar"/>
        </w:rPr>
        <w:t>）反对派政治著作的启发（第</w:t>
      </w:r>
      <w:r>
        <w:rPr>
          <w:rFonts w:hint="default" w:ascii="Times New Roman Regular" w:hAnsi="Times New Roman Regular" w:eastAsia="Times New Roman Regular" w:cs="Times New Roman Regular"/>
          <w:kern w:val="0"/>
          <w:sz w:val="24"/>
          <w:szCs w:val="24"/>
          <w:lang w:val="en-US" w:eastAsia="zh-CN" w:bidi="ar"/>
        </w:rPr>
        <w:t>474</w:t>
      </w:r>
      <w:r>
        <w:rPr>
          <w:rFonts w:hint="default" w:ascii="Times New Roman" w:hAnsi="Times New Roman" w:eastAsia="Times New Roman" w:cs="Times New Roman"/>
          <w:kern w:val="0"/>
          <w:sz w:val="24"/>
          <w:szCs w:val="24"/>
          <w:lang w:val="en-US" w:eastAsia="zh-CN" w:bidi="ar"/>
        </w:rPr>
        <w:t>页）。传递给欧洲定居者的欧洲理想构成了美国革命和新大陆第一个民主国家的基础。在新大陆的各个地方</w:t>
      </w:r>
      <w:r>
        <w:rPr>
          <w:rFonts w:hint="default" w:ascii="Times New Roman Regular" w:hAnsi="Times New Roman Regular" w:eastAsia="Times New Roman Regular" w:cs="Times New Roman Regular"/>
          <w:kern w:val="0"/>
          <w:sz w:val="24"/>
          <w:szCs w:val="24"/>
          <w:lang w:val="en-US" w:eastAsia="zh-CN" w:bidi="ar"/>
        </w:rPr>
        <w:t>——</w:t>
      </w:r>
      <w:r>
        <w:rPr>
          <w:rFonts w:hint="default" w:ascii="Times New Roman" w:hAnsi="Times New Roman" w:eastAsia="Times New Roman" w:cs="Times New Roman"/>
          <w:kern w:val="0"/>
          <w:sz w:val="24"/>
          <w:szCs w:val="24"/>
          <w:lang w:val="en-US" w:eastAsia="zh-CN" w:bidi="ar"/>
        </w:rPr>
        <w:t>除了海地（</w:t>
      </w:r>
      <w:r>
        <w:rPr>
          <w:rFonts w:hint="default" w:ascii="Times New Roman Regular" w:hAnsi="Times New Roman Regular" w:eastAsia="Times New Roman Regular" w:cs="Times New Roman Regular"/>
          <w:kern w:val="0"/>
          <w:sz w:val="24"/>
          <w:szCs w:val="24"/>
          <w:lang w:val="en-US" w:eastAsia="zh-CN" w:bidi="ar"/>
        </w:rPr>
        <w:t>Haiti /ˈheɪti/</w:t>
      </w:r>
      <w:r>
        <w:rPr>
          <w:rFonts w:hint="default" w:ascii="Times New Roman" w:hAnsi="Times New Roman" w:eastAsia="Times New Roman" w:cs="Times New Roman"/>
          <w:kern w:val="0"/>
          <w:sz w:val="24"/>
          <w:szCs w:val="24"/>
          <w:lang w:val="en-US" w:eastAsia="zh-CN" w:bidi="ar"/>
        </w:rPr>
        <w:t>）</w:t>
      </w:r>
      <w:r>
        <w:rPr>
          <w:rFonts w:hint="default" w:ascii="Times New Roman Regular" w:hAnsi="Times New Roman Regular" w:eastAsia="Times New Roman Regular" w:cs="Times New Roman Regular"/>
          <w:kern w:val="0"/>
          <w:sz w:val="24"/>
          <w:szCs w:val="24"/>
          <w:lang w:val="en-US" w:eastAsia="zh-CN" w:bidi="ar"/>
        </w:rPr>
        <w:t>——</w:t>
      </w:r>
      <w:r>
        <w:rPr>
          <w:rFonts w:hint="default" w:ascii="Times New Roman" w:hAnsi="Times New Roman" w:eastAsia="Times New Roman" w:cs="Times New Roman"/>
          <w:kern w:val="0"/>
          <w:sz w:val="24"/>
          <w:szCs w:val="24"/>
          <w:lang w:val="en-US" w:eastAsia="zh-CN" w:bidi="ar"/>
        </w:rPr>
        <w:t>拒绝君主制原则并倡导共和政府的民族主义领袖都来自欧洲定居者社区（第</w:t>
      </w:r>
      <w:r>
        <w:rPr>
          <w:rFonts w:hint="default" w:ascii="Times New Roman Regular" w:hAnsi="Times New Roman Regular" w:eastAsia="Times New Roman Regular" w:cs="Times New Roman Regular"/>
          <w:kern w:val="0"/>
          <w:sz w:val="24"/>
          <w:szCs w:val="24"/>
          <w:lang w:val="en-US" w:eastAsia="zh-CN" w:bidi="ar"/>
        </w:rPr>
        <w:t>474</w:t>
      </w:r>
      <w:r>
        <w:rPr>
          <w:rFonts w:hint="default" w:ascii="Times New Roman" w:hAnsi="Times New Roman" w:eastAsia="Times New Roman" w:cs="Times New Roman"/>
          <w:kern w:val="0"/>
          <w:sz w:val="24"/>
          <w:szCs w:val="24"/>
          <w:lang w:val="en-US" w:eastAsia="zh-CN" w:bidi="ar"/>
        </w:rPr>
        <w:t>页）。</w:t>
      </w:r>
    </w:p>
    <w:p w14:paraId="1643D04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authority of European courts was three thousand miles away; settlers were empowered by the easy availability of land and their status as propertied men; and they took with them their identities as English, Spaniards, and Portuguese. Whatever political right was granted in their motherlands, they felt the same right should apply overseas as well (p. 474). The settlers were in </w:t>
      </w:r>
      <w:r>
        <w:rPr>
          <w:rFonts w:hint="default" w:ascii="Times New Roman Regular" w:hAnsi="Times New Roman Regular" w:cs="Times New Roman Regular"/>
          <w:lang w:val="en-US"/>
        </w:rPr>
        <w:t>“communication and communion”</w:t>
      </w:r>
      <w:r>
        <w:rPr>
          <w:rFonts w:hint="default" w:ascii="Times New Roman Regular" w:hAnsi="Times New Roman Regular" w:cs="Times New Roman Regular"/>
        </w:rPr>
        <w:t xml:space="preserve"> with their countries of origin and were influenced by events there. Bernard Bailyn /ˈbeɪlɪn/ (1967) shows how opposition thought in the North American settler colonies was inspired primarily by the political writings of the Whig /wɪɡ/ opposition in England /ˈɪŋɡlənd/ in the late 17th and early 18th centuries (p. 474). European ideals transmitted to European settlers underlay the American Revolution and the first democracy in the New World. Everywhere in the New World—except Haiti /ˈheɪti/—nationalist leaders who rejected the monarchical principle and advocated republican government were from the European settler community (p. 474).</w:t>
      </w:r>
    </w:p>
    <w:p w14:paraId="41A19A1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机制4：间接殖民统治与威权持续</w:t>
      </w:r>
    </w:p>
    <w:p w14:paraId="416CC48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还有一类中间情况——被殖民但没有定居者且采用相对间接殖民统治形式的国家。在这些地方，宗主国通过现有的政治权威模式进行统治，并允许相当程度的地方政治自主权。这意味着殖民统治者往往会强化传统的权威形式并中止地方政权动态（第474页）。间接殖民统治不利于民主的后续发展，因为（a）制度扩散有限，（b）欧洲人定居和思想扩散有限，（c）对本土政治制度的纳入往往会强化现有的威权权威结构（第475页）。</w:t>
      </w:r>
    </w:p>
    <w:p w14:paraId="4255936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Mechanism 4: Indirect Colonial Rule and Authoritarian Persistence</w:t>
      </w:r>
    </w:p>
    <w:p w14:paraId="1F443FC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There is an intermediate category—countries that were colonized without settlement and with a relatively indirect form of colonial rule. Here, metropolitan powers ruled through the existing pattern of political authority and allowed substantial local political discretion. This meant that colonial rulers would often reinforce traditional forms of authority and suspend local regime dynamics (p. 474). Indirect colonial rule was not conducive to the subsequent development of democracy because (a) there was only limited institutional diffusion, (b) there was limited European settlement and ideational diffusion, and (c) the incorporation of indigenous political institutions would often reinforce existing authoritarian authority structures (p. 475).</w:t>
      </w:r>
    </w:p>
    <w:p w14:paraId="626022C7">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39F1839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Data: What data is used to test the argument? / 数据：使用什么数据来检验论点？</w:t>
      </w:r>
    </w:p>
    <w:p w14:paraId="429D572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使用了一个涵盖欧洲以外111个国家（有国家历史指数得分）的综合数据集。样本不限于前殖民地，因为强大到足以避免被殖民的国家更可能保持专制，这是论点的重要组成部分（第476页）。研究涵盖了广泛的地理范围，包括非洲、亚洲、美洲和中东，明确排除欧洲以聚焦非欧洲经验。</w:t>
      </w:r>
    </w:p>
    <w:p w14:paraId="1039CF1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 employs a comprehensive dataset covering 111 countries outside Europe for which State Antiquity Index scores are available. The sample is not restricted to former colonies because it is an integral part of the argument that countries strong enough to avoid colonization are likely to have remained autocratic (p. 476). The study covers a broad geographic scope including Africa, Asia, the Americas, and the Middle East, with the explicit exclusion of Europe to focus on the non-European experience.</w:t>
      </w:r>
    </w:p>
    <w:p w14:paraId="751ABCD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主要变量的测量：</w:t>
      </w:r>
    </w:p>
    <w:p w14:paraId="59FBC16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早期国家发展（主要自变量）：</w:t>
      </w:r>
      <w:r>
        <w:rPr>
          <w:rFonts w:hint="default" w:ascii="Times New Roman Regular" w:hAnsi="Times New Roman Regular" w:cs="Times New Roman Regular"/>
        </w:rPr>
        <w:t>使用Bockstette和Putterman（2007年）的国家历史指数（第3版），计算截至1500年的数值。该指数对公元1年至1950年的每个半世纪在三个维度（政府水平、本地与外国控制、领土覆盖）上评分，将分数相乘，并以5%的折现率求和（第475-476页）。</w:t>
      </w:r>
    </w:p>
    <w:p w14:paraId="144BB228">
      <w:pPr>
        <w:pStyle w:val="4"/>
        <w:keepNext w:val="0"/>
        <w:keepLines w:val="0"/>
        <w:widowControl/>
        <w:suppressLineNumbers w:val="0"/>
        <w:autoSpaceDE w:val="0"/>
        <w:autoSpaceDN/>
        <w:spacing w:before="0" w:beforeAutospacing="0" w:after="0" w:afterAutospacing="0"/>
        <w:ind w:left="0" w:right="0"/>
        <w:jc w:val="left"/>
        <w:rPr>
          <w:rFonts w:hint="default" w:ascii="Times New Roman Regular" w:hAnsi="Times New Roman Regular" w:cs="Times New Roman Regular"/>
        </w:rPr>
      </w:pPr>
      <w:r>
        <w:rPr>
          <w:rFonts w:hint="default" w:ascii="Times New Roman Regular" w:hAnsi="Times New Roman Regular" w:eastAsia="Times New Roman" w:cs="Times New Roman Regular"/>
          <w:i/>
          <w:iCs w:val="0"/>
          <w:kern w:val="0"/>
          <w:sz w:val="24"/>
          <w:szCs w:val="24"/>
          <w:lang w:val="en-US" w:eastAsia="zh-CN" w:bidi="ar"/>
        </w:rPr>
        <w:t>Early State Development (Main Independent Variable):</w:t>
      </w:r>
      <w:r>
        <w:rPr>
          <w:rFonts w:hint="default" w:ascii="Times New Roman Regular" w:hAnsi="Times New Roman Regular" w:eastAsia="Times New Roman" w:cs="Times New Roman Regular"/>
          <w:kern w:val="0"/>
          <w:sz w:val="24"/>
          <w:szCs w:val="24"/>
          <w:lang w:val="en-US" w:eastAsia="zh-CN" w:bidi="ar"/>
        </w:rPr>
        <w:t xml:space="preserve"> The State Antiquity Index (Version 3) by Bockstette and Putterman (2007) is used, with values calculated up to the year 1500. The index scores each half-century from year 1 to 1950 on three dimensions (level of government, local versus foreign control, territorial coverage), multiplies scores, and sums with a 5% discount rate (pp. 475-476).</w:t>
      </w:r>
    </w:p>
    <w:p w14:paraId="7A5D196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民主（主要因变量）：</w:t>
      </w:r>
      <w:r>
        <w:rPr>
          <w:rFonts w:hint="default" w:ascii="Times New Roman Regular" w:hAnsi="Times New Roman Regular" w:cs="Times New Roman Regular"/>
        </w:rPr>
        <w:t>采用三种测量方式：（1）1991-2007年Polity IV的polity2平均值（主要测量指标）；（2）Cheibub、Gandhi和Vreeland（2009年）的二元ACLP指标；（3）Gerring等人（2005年）的民主存量，测量1900年以来累积的民主经验（第476页）。</w:t>
      </w:r>
    </w:p>
    <w:p w14:paraId="6F0375A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Democracy (Main Dependent Variable):</w:t>
      </w:r>
      <w:r>
        <w:rPr>
          <w:rFonts w:hint="default" w:ascii="Times New Roman Regular" w:hAnsi="Times New Roman Regular" w:cs="Times New Roman Regular"/>
        </w:rPr>
        <w:t xml:space="preserve"> Three measures are employed: (1) Polity IV</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polity2 averaged over 1991-2007 (primary measure); (2) the binary ACLP indicator from Cheibub, Gandhi, and Vreeland (2009); and (3) Democracy stock from Gerring et al. (2005) measuring accumulated democratic experience since 1900 (p. 476).</w:t>
      </w:r>
    </w:p>
    <w:p w14:paraId="2E26BBB3">
      <w:pPr>
        <w:pStyle w:val="4"/>
        <w:keepNext w:val="0"/>
        <w:keepLines w:val="0"/>
        <w:widowControl/>
        <w:suppressLineNumbers w:val="0"/>
        <w:autoSpaceDE w:val="0"/>
        <w:autoSpaceDN/>
        <w:spacing w:before="0" w:beforeAutospacing="0" w:after="0" w:afterAutospacing="0"/>
        <w:ind w:left="0" w:right="0"/>
        <w:jc w:val="left"/>
        <w:rPr>
          <w:rFonts w:hint="default" w:ascii="Times New Roman Regular" w:hAnsi="Times New Roman Regular" w:eastAsia="Times New Roman" w:cs="Times New Roman Regular"/>
          <w:kern w:val="0"/>
          <w:sz w:val="24"/>
          <w:szCs w:val="24"/>
        </w:rPr>
      </w:pPr>
      <w:r>
        <w:rPr>
          <w:rFonts w:hint="default" w:ascii="Times New Roman" w:hAnsi="Times New Roman" w:eastAsia="Times New Roman" w:cs="Times New Roman"/>
          <w:i/>
          <w:iCs w:val="0"/>
          <w:kern w:val="0"/>
          <w:sz w:val="24"/>
          <w:szCs w:val="24"/>
          <w:lang w:val="en-US" w:eastAsia="zh-CN" w:bidi="ar"/>
        </w:rPr>
        <w:t>工具变量：</w:t>
      </w:r>
      <w:r>
        <w:rPr>
          <w:rFonts w:hint="default" w:ascii="Times New Roman Regular" w:hAnsi="Times New Roman Regular" w:eastAsia="Times New Roman" w:cs="Times New Roman Regular"/>
          <w:kern w:val="0"/>
          <w:sz w:val="24"/>
          <w:szCs w:val="24"/>
          <w:lang w:val="en-US" w:eastAsia="zh-CN" w:bidi="ar"/>
        </w:rPr>
        <w:t xml:space="preserve"> </w:t>
      </w:r>
      <w:r>
        <w:rPr>
          <w:rFonts w:hint="default" w:ascii="Times New Roman" w:hAnsi="Times New Roman" w:eastAsia="Times New Roman" w:cs="Times New Roman"/>
          <w:kern w:val="0"/>
          <w:sz w:val="24"/>
          <w:szCs w:val="24"/>
          <w:lang w:val="en-US" w:eastAsia="zh-CN" w:bidi="ar"/>
        </w:rPr>
        <w:t>新石器革命的时间</w:t>
      </w:r>
      <w:r>
        <w:rPr>
          <w:rFonts w:hint="default" w:ascii="Times New Roman Regular" w:hAnsi="Times New Roman Regular" w:eastAsia="Times New Roman Regular" w:cs="Times New Roman Regular"/>
          <w:kern w:val="0"/>
          <w:sz w:val="24"/>
          <w:szCs w:val="24"/>
          <w:lang w:val="en-US" w:eastAsia="zh-CN" w:bidi="ar"/>
        </w:rPr>
        <w:t>——</w:t>
      </w:r>
      <w:r>
        <w:rPr>
          <w:rFonts w:hint="default" w:ascii="Times New Roman" w:hAnsi="Times New Roman" w:eastAsia="Times New Roman" w:cs="Times New Roman"/>
          <w:kern w:val="0"/>
          <w:sz w:val="24"/>
          <w:szCs w:val="24"/>
          <w:lang w:val="en-US" w:eastAsia="zh-CN" w:bidi="ar"/>
        </w:rPr>
        <w:t>大约</w:t>
      </w:r>
      <w:r>
        <w:rPr>
          <w:rFonts w:hint="default" w:ascii="Times New Roman Regular" w:hAnsi="Times New Roman Regular" w:eastAsia="Times New Roman Regular" w:cs="Times New Roman Regular"/>
          <w:kern w:val="0"/>
          <w:sz w:val="24"/>
          <w:szCs w:val="24"/>
          <w:lang w:val="en-US" w:eastAsia="zh-CN" w:bidi="ar"/>
        </w:rPr>
        <w:t>10000</w:t>
      </w:r>
      <w:r>
        <w:rPr>
          <w:rFonts w:hint="default" w:ascii="Times New Roman" w:hAnsi="Times New Roman" w:eastAsia="Times New Roman" w:cs="Times New Roman"/>
          <w:kern w:val="0"/>
          <w:sz w:val="24"/>
          <w:szCs w:val="24"/>
          <w:lang w:val="en-US" w:eastAsia="zh-CN" w:bidi="ar"/>
        </w:rPr>
        <w:t>年前从采集狩猎向农耕的历史性转变</w:t>
      </w:r>
      <w:r>
        <w:rPr>
          <w:rFonts w:hint="default" w:ascii="Times New Roman Regular" w:hAnsi="Times New Roman Regular" w:eastAsia="Times New Roman Regular" w:cs="Times New Roman Regular"/>
          <w:kern w:val="0"/>
          <w:sz w:val="24"/>
          <w:szCs w:val="24"/>
          <w:lang w:val="en-US" w:eastAsia="zh-CN" w:bidi="ar"/>
        </w:rPr>
        <w:t>——</w:t>
      </w:r>
      <w:r>
        <w:rPr>
          <w:rFonts w:hint="default" w:ascii="Times New Roman" w:hAnsi="Times New Roman" w:eastAsia="Times New Roman" w:cs="Times New Roman"/>
          <w:kern w:val="0"/>
          <w:sz w:val="24"/>
          <w:szCs w:val="24"/>
          <w:lang w:val="en-US" w:eastAsia="zh-CN" w:bidi="ar"/>
        </w:rPr>
        <w:t>被用作殖民前国家发展的外生变异来源。新石器革命时间的数据来自</w:t>
      </w:r>
      <w:r>
        <w:rPr>
          <w:rFonts w:hint="default" w:ascii="Times New Roman Regular" w:hAnsi="Times New Roman Regular" w:eastAsia="Times New Roman Regular" w:cs="Times New Roman Regular"/>
          <w:kern w:val="0"/>
          <w:sz w:val="24"/>
          <w:szCs w:val="24"/>
          <w:lang w:val="en-US" w:eastAsia="zh-CN" w:bidi="ar"/>
        </w:rPr>
        <w:t>Putterman</w:t>
      </w:r>
      <w:r>
        <w:rPr>
          <w:rFonts w:hint="default" w:ascii="Times New Roman" w:hAnsi="Times New Roman" w:eastAsia="Times New Roman" w:cs="Times New Roman"/>
          <w:kern w:val="0"/>
          <w:sz w:val="24"/>
          <w:szCs w:val="24"/>
          <w:lang w:val="en-US" w:eastAsia="zh-CN" w:bidi="ar"/>
        </w:rPr>
        <w:t>和</w:t>
      </w:r>
      <w:r>
        <w:rPr>
          <w:rFonts w:hint="default" w:ascii="Times New Roman Regular" w:hAnsi="Times New Roman Regular" w:eastAsia="Times New Roman Regular" w:cs="Times New Roman Regular"/>
          <w:kern w:val="0"/>
          <w:sz w:val="24"/>
          <w:szCs w:val="24"/>
          <w:lang w:val="en-US" w:eastAsia="zh-CN" w:bidi="ar"/>
        </w:rPr>
        <w:t>Trainor</w:t>
      </w:r>
      <w:r>
        <w:rPr>
          <w:rFonts w:hint="default" w:ascii="Times New Roman" w:hAnsi="Times New Roman" w:eastAsia="Times New Roman" w:cs="Times New Roman"/>
          <w:kern w:val="0"/>
          <w:sz w:val="24"/>
          <w:szCs w:val="24"/>
          <w:lang w:val="en-US" w:eastAsia="zh-CN" w:bidi="ar"/>
        </w:rPr>
        <w:t>（</w:t>
      </w:r>
      <w:r>
        <w:rPr>
          <w:rFonts w:hint="default" w:ascii="Times New Roman Regular" w:hAnsi="Times New Roman Regular" w:eastAsia="Times New Roman Regular" w:cs="Times New Roman Regular"/>
          <w:kern w:val="0"/>
          <w:sz w:val="24"/>
          <w:szCs w:val="24"/>
          <w:lang w:val="en-US" w:eastAsia="zh-CN" w:bidi="ar"/>
        </w:rPr>
        <w:t>2006</w:t>
      </w:r>
      <w:r>
        <w:rPr>
          <w:rFonts w:hint="default" w:ascii="Times New Roman" w:hAnsi="Times New Roman" w:eastAsia="Times New Roman" w:cs="Times New Roman"/>
          <w:kern w:val="0"/>
          <w:sz w:val="24"/>
          <w:szCs w:val="24"/>
          <w:lang w:val="en-US" w:eastAsia="zh-CN" w:bidi="ar"/>
        </w:rPr>
        <w:t>年）。识别策略基于一个简单的想法：从狩猎采集向定居农业的早期转变预示着国家制度的早期发展（第</w:t>
      </w:r>
      <w:r>
        <w:rPr>
          <w:rFonts w:hint="default" w:ascii="Times New Roman Regular" w:hAnsi="Times New Roman Regular" w:eastAsia="Times New Roman Regular" w:cs="Times New Roman Regular"/>
          <w:kern w:val="0"/>
          <w:sz w:val="24"/>
          <w:szCs w:val="24"/>
          <w:lang w:val="en-US" w:eastAsia="zh-CN" w:bidi="ar"/>
        </w:rPr>
        <w:t>480-481</w:t>
      </w:r>
      <w:r>
        <w:rPr>
          <w:rFonts w:hint="default" w:ascii="Times New Roman" w:hAnsi="Times New Roman" w:eastAsia="Times New Roman" w:cs="Times New Roman"/>
          <w:kern w:val="0"/>
          <w:sz w:val="24"/>
          <w:szCs w:val="24"/>
          <w:lang w:val="en-US" w:eastAsia="zh-CN" w:bidi="ar"/>
        </w:rPr>
        <w:t>页）。</w:t>
      </w:r>
    </w:p>
    <w:p w14:paraId="0B83928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Instrumental Variable:</w:t>
      </w:r>
      <w:r>
        <w:rPr>
          <w:rFonts w:hint="default" w:ascii="Times New Roman Regular" w:hAnsi="Times New Roman Regular" w:cs="Times New Roman Regular"/>
        </w:rPr>
        <w:t xml:space="preserve"> The timing of the Neolithic Revolution—the historical transition from foraging to farming approximately 10,000 years ago—is used as a source of exogenous variation in precolonial state development. Data on the timing of the Neolithic Revolution are from Putterman and Trainor (2006). The identification strategy is based on the simple idea that an early transition from hunting-gathering to settled agriculture predicts an early development of state institutions (pp. 480-481).</w:t>
      </w:r>
    </w:p>
    <w:p w14:paraId="384AC97D">
      <w:pPr>
        <w:pStyle w:val="4"/>
        <w:keepNext w:val="0"/>
        <w:keepLines w:val="0"/>
        <w:widowControl/>
        <w:suppressLineNumbers w:val="0"/>
        <w:autoSpaceDE w:val="0"/>
        <w:autoSpaceDN/>
        <w:spacing w:before="0" w:beforeAutospacing="0" w:after="0" w:afterAutospacing="0"/>
        <w:ind w:left="0" w:right="0"/>
        <w:jc w:val="left"/>
        <w:rPr>
          <w:rFonts w:hint="default" w:ascii="Times New Roman Regular" w:hAnsi="Times New Roman Regular" w:eastAsia="Times New Roman" w:cs="Times New Roman Regular"/>
          <w:kern w:val="0"/>
          <w:sz w:val="24"/>
          <w:szCs w:val="24"/>
        </w:rPr>
      </w:pPr>
      <w:r>
        <w:rPr>
          <w:rFonts w:hint="default" w:ascii="Times New Roman" w:hAnsi="Times New Roman" w:eastAsia="Times New Roman" w:cs="Times New Roman"/>
          <w:i/>
          <w:iCs w:val="0"/>
          <w:kern w:val="0"/>
          <w:sz w:val="24"/>
          <w:szCs w:val="24"/>
          <w:lang w:val="en-US" w:eastAsia="zh-CN" w:bidi="ar"/>
        </w:rPr>
        <w:t>欧洲殖民和定居（中介变量）：</w:t>
      </w:r>
      <w:r>
        <w:rPr>
          <w:rFonts w:hint="default" w:ascii="Times New Roman" w:hAnsi="Times New Roman" w:eastAsia="Times New Roman" w:cs="Times New Roman"/>
          <w:kern w:val="0"/>
          <w:sz w:val="24"/>
          <w:szCs w:val="24"/>
          <w:lang w:val="en-US" w:eastAsia="zh-CN" w:bidi="ar"/>
        </w:rPr>
        <w:t>使用三个代理变量来衡量定居者的渗透和影响：（</w:t>
      </w:r>
      <w:r>
        <w:rPr>
          <w:rFonts w:hint="default" w:ascii="Times New Roman Regular" w:hAnsi="Times New Roman Regular" w:eastAsia="Times New Roman" w:cs="Times New Roman Regular"/>
          <w:kern w:val="0"/>
          <w:sz w:val="24"/>
          <w:szCs w:val="24"/>
          <w:lang w:val="en-US" w:eastAsia="zh-CN" w:bidi="ar"/>
        </w:rPr>
        <w:t>1</w:t>
      </w:r>
      <w:r>
        <w:rPr>
          <w:rFonts w:hint="default" w:ascii="Times New Roman" w:hAnsi="Times New Roman" w:eastAsia="Times New Roman" w:cs="Times New Roman"/>
          <w:kern w:val="0"/>
          <w:sz w:val="24"/>
          <w:szCs w:val="24"/>
          <w:lang w:val="en-US" w:eastAsia="zh-CN" w:bidi="ar"/>
        </w:rPr>
        <w:t>）以主要欧洲殖民列强语言</w:t>
      </w:r>
      <w:r>
        <w:rPr>
          <w:rFonts w:hint="default" w:ascii="Times New Roman Regular" w:hAnsi="Times New Roman Regular" w:eastAsia="Times New Roman Regular" w:cs="Times New Roman Regular"/>
          <w:kern w:val="0"/>
          <w:sz w:val="24"/>
          <w:szCs w:val="24"/>
          <w:lang w:val="en-US" w:eastAsia="zh-CN" w:bidi="ar"/>
        </w:rPr>
        <w:t>——</w:t>
      </w:r>
      <w:r>
        <w:rPr>
          <w:rFonts w:hint="default" w:ascii="Times New Roman" w:hAnsi="Times New Roman" w:eastAsia="Times New Roman" w:cs="Times New Roman"/>
          <w:kern w:val="0"/>
          <w:sz w:val="24"/>
          <w:szCs w:val="24"/>
          <w:lang w:val="en-US" w:eastAsia="zh-CN" w:bidi="ar"/>
        </w:rPr>
        <w:t>英语、法语、德语、葡萄牙语或西班牙语</w:t>
      </w:r>
      <w:r>
        <w:rPr>
          <w:rFonts w:hint="default" w:ascii="Times New Roman Regular" w:hAnsi="Times New Roman Regular" w:eastAsia="Times New Roman Regular" w:cs="Times New Roman Regular"/>
          <w:kern w:val="0"/>
          <w:sz w:val="24"/>
          <w:szCs w:val="24"/>
          <w:lang w:val="en-US" w:eastAsia="zh-CN" w:bidi="ar"/>
        </w:rPr>
        <w:t>——</w:t>
      </w:r>
      <w:r>
        <w:rPr>
          <w:rFonts w:hint="default" w:ascii="Times New Roman" w:hAnsi="Times New Roman" w:eastAsia="Times New Roman" w:cs="Times New Roman"/>
          <w:kern w:val="0"/>
          <w:sz w:val="24"/>
          <w:szCs w:val="24"/>
          <w:lang w:val="en-US" w:eastAsia="zh-CN" w:bidi="ar"/>
        </w:rPr>
        <w:t>为母语的人口比例（来自</w:t>
      </w:r>
      <w:r>
        <w:rPr>
          <w:rFonts w:hint="default" w:ascii="Times New Roman Regular" w:hAnsi="Times New Roman Regular" w:eastAsia="Times New Roman Regular" w:cs="Times New Roman Regular"/>
          <w:kern w:val="0"/>
          <w:sz w:val="24"/>
          <w:szCs w:val="24"/>
          <w:lang w:val="en-US" w:eastAsia="zh-CN" w:bidi="ar"/>
        </w:rPr>
        <w:t>Hall</w:t>
      </w:r>
      <w:r>
        <w:rPr>
          <w:rFonts w:hint="default" w:ascii="Times New Roman" w:hAnsi="Times New Roman" w:eastAsia="Times New Roman" w:cs="Times New Roman"/>
          <w:kern w:val="0"/>
          <w:sz w:val="24"/>
          <w:szCs w:val="24"/>
          <w:lang w:val="en-US" w:eastAsia="zh-CN" w:bidi="ar"/>
        </w:rPr>
        <w:t>和</w:t>
      </w:r>
      <w:r>
        <w:rPr>
          <w:rFonts w:hint="default" w:ascii="Times New Roman Regular" w:hAnsi="Times New Roman Regular" w:eastAsia="Times New Roman Regular" w:cs="Times New Roman Regular"/>
          <w:kern w:val="0"/>
          <w:sz w:val="24"/>
          <w:szCs w:val="24"/>
          <w:lang w:val="en-US" w:eastAsia="zh-CN" w:bidi="ar"/>
        </w:rPr>
        <w:t>Jones 1999</w:t>
      </w:r>
      <w:r>
        <w:rPr>
          <w:rFonts w:hint="default" w:ascii="Times New Roman" w:hAnsi="Times New Roman" w:eastAsia="Times New Roman" w:cs="Times New Roman"/>
          <w:kern w:val="0"/>
          <w:sz w:val="24"/>
          <w:szCs w:val="24"/>
          <w:lang w:val="en-US" w:eastAsia="zh-CN" w:bidi="ar"/>
        </w:rPr>
        <w:t>年）；（</w:t>
      </w:r>
      <w:r>
        <w:rPr>
          <w:rFonts w:hint="default" w:ascii="Times New Roman Regular" w:hAnsi="Times New Roman Regular" w:eastAsia="Times New Roman Regular" w:cs="Times New Roman Regular"/>
          <w:kern w:val="0"/>
          <w:sz w:val="24"/>
          <w:szCs w:val="24"/>
          <w:lang w:val="en-US" w:eastAsia="zh-CN" w:bidi="ar"/>
        </w:rPr>
        <w:t>2</w:t>
      </w:r>
      <w:r>
        <w:rPr>
          <w:rFonts w:hint="default" w:ascii="Times New Roman" w:hAnsi="Times New Roman" w:eastAsia="Times New Roman" w:cs="Times New Roman"/>
          <w:kern w:val="0"/>
          <w:sz w:val="24"/>
          <w:szCs w:val="24"/>
          <w:lang w:val="en-US" w:eastAsia="zh-CN" w:bidi="ar"/>
        </w:rPr>
        <w:t>）欧洲血统人口比例（根据</w:t>
      </w:r>
      <w:r>
        <w:rPr>
          <w:rFonts w:hint="default" w:ascii="Times New Roman Regular" w:hAnsi="Times New Roman Regular" w:eastAsia="Times New Roman Regular" w:cs="Times New Roman Regular"/>
          <w:kern w:val="0"/>
          <w:sz w:val="24"/>
          <w:szCs w:val="24"/>
          <w:lang w:val="en-US" w:eastAsia="zh-CN" w:bidi="ar"/>
        </w:rPr>
        <w:t>Putterman</w:t>
      </w:r>
      <w:r>
        <w:rPr>
          <w:rFonts w:hint="default" w:ascii="Times New Roman" w:hAnsi="Times New Roman" w:eastAsia="Times New Roman" w:cs="Times New Roman"/>
          <w:kern w:val="0"/>
          <w:sz w:val="24"/>
          <w:szCs w:val="24"/>
          <w:lang w:val="en-US" w:eastAsia="zh-CN" w:bidi="ar"/>
        </w:rPr>
        <w:t>和</w:t>
      </w:r>
      <w:r>
        <w:rPr>
          <w:rFonts w:hint="default" w:ascii="Times New Roman Regular" w:hAnsi="Times New Roman Regular" w:eastAsia="Times New Roman Regular" w:cs="Times New Roman Regular"/>
          <w:kern w:val="0"/>
          <w:sz w:val="24"/>
          <w:szCs w:val="24"/>
          <w:lang w:val="en-US" w:eastAsia="zh-CN" w:bidi="ar"/>
        </w:rPr>
        <w:t>Weil 2008</w:t>
      </w:r>
      <w:r>
        <w:rPr>
          <w:rFonts w:hint="default" w:ascii="Times New Roman" w:hAnsi="Times New Roman" w:eastAsia="Times New Roman" w:cs="Times New Roman"/>
          <w:kern w:val="0"/>
          <w:sz w:val="24"/>
          <w:szCs w:val="24"/>
          <w:lang w:val="en-US" w:eastAsia="zh-CN" w:bidi="ar"/>
        </w:rPr>
        <w:t>年计算）；（</w:t>
      </w:r>
      <w:r>
        <w:rPr>
          <w:rFonts w:hint="default" w:ascii="Times New Roman Regular" w:hAnsi="Times New Roman Regular" w:eastAsia="Times New Roman Regular" w:cs="Times New Roman Regular"/>
          <w:kern w:val="0"/>
          <w:sz w:val="24"/>
          <w:szCs w:val="24"/>
          <w:lang w:val="en-US" w:eastAsia="zh-CN" w:bidi="ar"/>
        </w:rPr>
        <w:t>3</w:t>
      </w:r>
      <w:r>
        <w:rPr>
          <w:rFonts w:hint="default" w:ascii="Times New Roman" w:hAnsi="Times New Roman" w:eastAsia="Times New Roman" w:cs="Times New Roman"/>
          <w:kern w:val="0"/>
          <w:sz w:val="24"/>
          <w:szCs w:val="24"/>
          <w:lang w:val="en-US" w:eastAsia="zh-CN" w:bidi="ar"/>
        </w:rPr>
        <w:t>）殖民统治持续时间，以</w:t>
      </w:r>
      <w:r>
        <w:rPr>
          <w:rFonts w:hint="default" w:ascii="Times New Roman Regular" w:hAnsi="Times New Roman Regular" w:eastAsia="Times New Roman Regular" w:cs="Times New Roman Regular"/>
          <w:kern w:val="0"/>
          <w:sz w:val="24"/>
          <w:szCs w:val="24"/>
          <w:lang w:val="en-US" w:eastAsia="zh-CN" w:bidi="ar"/>
        </w:rPr>
        <w:t>100</w:t>
      </w:r>
      <w:r>
        <w:rPr>
          <w:rFonts w:hint="default" w:ascii="Times New Roman" w:hAnsi="Times New Roman" w:eastAsia="Times New Roman" w:cs="Times New Roman"/>
          <w:kern w:val="0"/>
          <w:sz w:val="24"/>
          <w:szCs w:val="24"/>
          <w:lang w:val="en-US" w:eastAsia="zh-CN" w:bidi="ar"/>
        </w:rPr>
        <w:t>年为单位（来自</w:t>
      </w:r>
      <w:r>
        <w:rPr>
          <w:rFonts w:hint="default" w:ascii="Times New Roman Regular" w:hAnsi="Times New Roman Regular" w:eastAsia="Times New Roman Regular" w:cs="Times New Roman Regular"/>
          <w:kern w:val="0"/>
          <w:sz w:val="24"/>
          <w:szCs w:val="24"/>
          <w:lang w:val="en-US" w:eastAsia="zh-CN" w:bidi="ar"/>
        </w:rPr>
        <w:t>Olsson 2009</w:t>
      </w:r>
      <w:r>
        <w:rPr>
          <w:rFonts w:hint="default" w:ascii="Times New Roman" w:hAnsi="Times New Roman" w:eastAsia="Times New Roman" w:cs="Times New Roman"/>
          <w:kern w:val="0"/>
          <w:sz w:val="24"/>
          <w:szCs w:val="24"/>
          <w:lang w:val="en-US" w:eastAsia="zh-CN" w:bidi="ar"/>
        </w:rPr>
        <w:t>年）。作者倾向于用语言而非血统来衡量定居者影响，因为前者的测量误差可能更小（第</w:t>
      </w:r>
      <w:r>
        <w:rPr>
          <w:rFonts w:hint="default" w:ascii="Times New Roman Regular" w:hAnsi="Times New Roman Regular" w:eastAsia="Times New Roman Regular" w:cs="Times New Roman Regular"/>
          <w:kern w:val="0"/>
          <w:sz w:val="24"/>
          <w:szCs w:val="24"/>
          <w:lang w:val="en-US" w:eastAsia="zh-CN" w:bidi="ar"/>
        </w:rPr>
        <w:t>476</w:t>
      </w:r>
      <w:r>
        <w:rPr>
          <w:rFonts w:hint="default" w:ascii="Times New Roman" w:hAnsi="Times New Roman" w:eastAsia="Times New Roman" w:cs="Times New Roman"/>
          <w:kern w:val="0"/>
          <w:sz w:val="24"/>
          <w:szCs w:val="24"/>
          <w:lang w:val="en-US" w:eastAsia="zh-CN" w:bidi="ar"/>
        </w:rPr>
        <w:t>页）。</w:t>
      </w:r>
    </w:p>
    <w:p w14:paraId="3C80BB7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European Colonization and Settlement (Mediating Variables):</w:t>
      </w:r>
      <w:r>
        <w:rPr>
          <w:rFonts w:hint="default" w:ascii="Times New Roman Regular" w:hAnsi="Times New Roman Regular" w:cs="Times New Roman Regular"/>
        </w:rPr>
        <w:t xml:space="preserve"> Three proxies are used for settler penetration and influence: (1) the fraction of the population speaking as their first language the language of one of the main European colonial powers—English, French, German, Portuguese, or Spanish (from Hall and Jones 1999); (2) the fraction of the population of European descent (calculated from Putterman and Weil 2008); and (3) the duration of colonial rule in 100 years (from Olsson 2009). The author preferred measuring settler influence by language instead of descendancy because the former is likely to be measured with less error (p. 476).</w:t>
      </w:r>
    </w:p>
    <w:p w14:paraId="3BBA5F6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间接殖民统治：</w:t>
      </w:r>
      <w:r>
        <w:rPr>
          <w:rFonts w:hint="default" w:ascii="Times New Roman Regular" w:hAnsi="Times New Roman Regular" w:cs="Times New Roman Regular"/>
        </w:rPr>
        <w:t xml:space="preserve"> 按照Matthew Lange（2004年，附录A）的建议，间接殖民统治的代理变量是殖民当局认可的习惯法案件数量除以案件总数。这一测量指标仅存在于33个前英国殖民地。由于殖民统治形式与定居者数量高度系统性相关，作者使用定居测量指标来预测缺失值国家的间接统治程度。间接统治程度与说欧洲语言人口比例之间的相关系数为−0.61（t = −7.61）（第476页）。</w:t>
      </w:r>
    </w:p>
    <w:p w14:paraId="72E84D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Indirect Colonial Rule:</w:t>
      </w:r>
      <w:r>
        <w:rPr>
          <w:rFonts w:hint="default" w:ascii="Times New Roman Regular" w:hAnsi="Times New Roman Regular" w:cs="Times New Roman Regular"/>
        </w:rPr>
        <w:t xml:space="preserve"> As suggested by Matthew Lange (2004, Appendix A), a proxy for indirect colonial rule is the number of colonially recognized customary court cases divided by the total number of court cases. This measure only exists for 33 former British colonies. Because the form of colonial rule varied very systematically with the number of settlers, the author used settlement measures to predict the extent of indirect rule for countries with missing values. The correlation between the extent of indirect rule and the fraction of the population speaking a European language is −0.61 (t = −7.61) (p. 476).</w:t>
      </w:r>
    </w:p>
    <w:p w14:paraId="28700412">
      <w:pPr>
        <w:pStyle w:val="4"/>
        <w:keepNext w:val="0"/>
        <w:keepLines w:val="0"/>
        <w:widowControl/>
        <w:suppressLineNumbers w:val="0"/>
        <w:autoSpaceDE w:val="0"/>
        <w:autoSpaceDN/>
        <w:spacing w:before="0" w:beforeAutospacing="0" w:after="0" w:afterAutospacing="0"/>
        <w:ind w:left="0" w:right="0"/>
        <w:jc w:val="left"/>
        <w:rPr>
          <w:rFonts w:hint="default" w:ascii="Times New Roman Regular" w:hAnsi="Times New Roman Regular" w:eastAsia="Times New Roman" w:cs="Times New Roman Regular"/>
          <w:kern w:val="0"/>
          <w:sz w:val="24"/>
          <w:szCs w:val="24"/>
        </w:rPr>
      </w:pPr>
      <w:r>
        <w:rPr>
          <w:rFonts w:hint="default" w:ascii="Times New Roman" w:hAnsi="Times New Roman" w:eastAsia="Times New Roman" w:cs="Times New Roman"/>
          <w:i/>
          <w:iCs w:val="0"/>
          <w:kern w:val="0"/>
          <w:sz w:val="24"/>
          <w:szCs w:val="24"/>
          <w:lang w:val="en-US" w:eastAsia="zh-CN" w:bidi="ar"/>
        </w:rPr>
        <w:t>控制变量：</w:t>
      </w:r>
      <w:r>
        <w:rPr>
          <w:rFonts w:hint="default" w:ascii="Times New Roman Regular" w:hAnsi="Times New Roman Regular" w:eastAsia="Times New Roman" w:cs="Times New Roman Regular"/>
          <w:kern w:val="0"/>
          <w:sz w:val="24"/>
          <w:szCs w:val="24"/>
          <w:lang w:val="en-US" w:eastAsia="zh-CN" w:bidi="ar"/>
        </w:rPr>
        <w:t xml:space="preserve"> </w:t>
      </w:r>
      <w:r>
        <w:rPr>
          <w:rFonts w:hint="default" w:ascii="Times New Roman" w:hAnsi="Times New Roman" w:eastAsia="Times New Roman" w:cs="Times New Roman"/>
          <w:kern w:val="0"/>
          <w:sz w:val="24"/>
          <w:szCs w:val="24"/>
          <w:lang w:val="en-US" w:eastAsia="zh-CN" w:bidi="ar"/>
        </w:rPr>
        <w:t>研究包括从民主化替代理论中提取的众多控制变量：纬度（来自</w:t>
      </w:r>
      <w:r>
        <w:rPr>
          <w:rFonts w:hint="default" w:ascii="Times New Roman Regular" w:hAnsi="Times New Roman Regular" w:eastAsia="Times New Roman" w:cs="Times New Roman Regular"/>
          <w:kern w:val="0"/>
          <w:sz w:val="24"/>
          <w:szCs w:val="24"/>
          <w:lang w:val="en-US" w:eastAsia="zh-CN" w:bidi="ar"/>
        </w:rPr>
        <w:t>Rodrik</w:t>
      </w:r>
      <w:r>
        <w:rPr>
          <w:rFonts w:hint="default" w:ascii="Times New Roman" w:hAnsi="Times New Roman" w:eastAsia="Times New Roman" w:cs="Times New Roman"/>
          <w:kern w:val="0"/>
          <w:sz w:val="24"/>
          <w:szCs w:val="24"/>
          <w:lang w:val="en-US" w:eastAsia="zh-CN" w:bidi="ar"/>
        </w:rPr>
        <w:t>、</w:t>
      </w:r>
      <w:r>
        <w:rPr>
          <w:rFonts w:hint="default" w:ascii="Times New Roman Regular" w:hAnsi="Times New Roman Regular" w:eastAsia="Times New Roman Regular" w:cs="Times New Roman Regular"/>
          <w:kern w:val="0"/>
          <w:sz w:val="24"/>
          <w:szCs w:val="24"/>
          <w:lang w:val="en-US" w:eastAsia="zh-CN" w:bidi="ar"/>
        </w:rPr>
        <w:t>Subramanian</w:t>
      </w:r>
      <w:r>
        <w:rPr>
          <w:rFonts w:hint="default" w:ascii="Times New Roman" w:hAnsi="Times New Roman" w:eastAsia="Times New Roman" w:cs="Times New Roman"/>
          <w:kern w:val="0"/>
          <w:sz w:val="24"/>
          <w:szCs w:val="24"/>
          <w:lang w:val="en-US" w:eastAsia="zh-CN" w:bidi="ar"/>
        </w:rPr>
        <w:t>和</w:t>
      </w:r>
      <w:r>
        <w:rPr>
          <w:rFonts w:hint="default" w:ascii="Times New Roman Regular" w:hAnsi="Times New Roman Regular" w:eastAsia="Times New Roman Regular" w:cs="Times New Roman Regular"/>
          <w:kern w:val="0"/>
          <w:sz w:val="24"/>
          <w:szCs w:val="24"/>
          <w:lang w:val="en-US" w:eastAsia="zh-CN" w:bidi="ar"/>
        </w:rPr>
        <w:t>Trebbi 2004</w:t>
      </w:r>
      <w:r>
        <w:rPr>
          <w:rFonts w:hint="default" w:ascii="Times New Roman" w:hAnsi="Times New Roman" w:eastAsia="Times New Roman" w:cs="Times New Roman"/>
          <w:kern w:val="0"/>
          <w:sz w:val="24"/>
          <w:szCs w:val="24"/>
          <w:lang w:val="en-US" w:eastAsia="zh-CN" w:bidi="ar"/>
        </w:rPr>
        <w:t>年）；</w:t>
      </w:r>
      <w:r>
        <w:rPr>
          <w:rFonts w:hint="default" w:ascii="Times New Roman Regular" w:hAnsi="Times New Roman Regular" w:eastAsia="Times New Roman Regular" w:cs="Times New Roman Regular"/>
          <w:kern w:val="0"/>
          <w:sz w:val="24"/>
          <w:szCs w:val="24"/>
          <w:lang w:val="en-US" w:eastAsia="zh-CN" w:bidi="ar"/>
        </w:rPr>
        <w:t>1500</w:t>
      </w:r>
      <w:r>
        <w:rPr>
          <w:rFonts w:hint="default" w:ascii="Times New Roman" w:hAnsi="Times New Roman" w:eastAsia="Times New Roman" w:cs="Times New Roman"/>
          <w:kern w:val="0"/>
          <w:sz w:val="24"/>
          <w:szCs w:val="24"/>
          <w:lang w:val="en-US" w:eastAsia="zh-CN" w:bidi="ar"/>
        </w:rPr>
        <w:t>年人口密度（来自</w:t>
      </w:r>
      <w:r>
        <w:rPr>
          <w:rFonts w:hint="default" w:ascii="Times New Roman Regular" w:hAnsi="Times New Roman Regular" w:eastAsia="Times New Roman Regular" w:cs="Times New Roman Regular"/>
          <w:kern w:val="0"/>
          <w:sz w:val="24"/>
          <w:szCs w:val="24"/>
          <w:lang w:val="en-US" w:eastAsia="zh-CN" w:bidi="ar"/>
        </w:rPr>
        <w:t>Acemoglu</w:t>
      </w:r>
      <w:r>
        <w:rPr>
          <w:rFonts w:hint="default" w:ascii="Times New Roman" w:hAnsi="Times New Roman" w:eastAsia="Times New Roman" w:cs="Times New Roman"/>
          <w:kern w:val="0"/>
          <w:sz w:val="24"/>
          <w:szCs w:val="24"/>
          <w:lang w:val="en-US" w:eastAsia="zh-CN" w:bidi="ar"/>
        </w:rPr>
        <w:t>、</w:t>
      </w:r>
      <w:r>
        <w:rPr>
          <w:rFonts w:hint="default" w:ascii="Times New Roman Regular" w:hAnsi="Times New Roman Regular" w:eastAsia="Times New Roman Regular" w:cs="Times New Roman Regular"/>
          <w:kern w:val="0"/>
          <w:sz w:val="24"/>
          <w:szCs w:val="24"/>
          <w:lang w:val="en-US" w:eastAsia="zh-CN" w:bidi="ar"/>
        </w:rPr>
        <w:t>Johnson</w:t>
      </w:r>
      <w:r>
        <w:rPr>
          <w:rFonts w:hint="default" w:ascii="Times New Roman" w:hAnsi="Times New Roman" w:eastAsia="Times New Roman" w:cs="Times New Roman"/>
          <w:kern w:val="0"/>
          <w:sz w:val="24"/>
          <w:szCs w:val="24"/>
          <w:lang w:val="en-US" w:eastAsia="zh-CN" w:bidi="ar"/>
        </w:rPr>
        <w:t>和</w:t>
      </w:r>
      <w:r>
        <w:rPr>
          <w:rFonts w:hint="default" w:ascii="Times New Roman Regular" w:hAnsi="Times New Roman Regular" w:eastAsia="Times New Roman Regular" w:cs="Times New Roman Regular"/>
          <w:kern w:val="0"/>
          <w:sz w:val="24"/>
          <w:szCs w:val="24"/>
          <w:lang w:val="en-US" w:eastAsia="zh-CN" w:bidi="ar"/>
        </w:rPr>
        <w:t>Robinson 2002</w:t>
      </w:r>
      <w:r>
        <w:rPr>
          <w:rFonts w:hint="default" w:ascii="Times New Roman" w:hAnsi="Times New Roman" w:eastAsia="Times New Roman" w:cs="Times New Roman"/>
          <w:kern w:val="0"/>
          <w:sz w:val="24"/>
          <w:szCs w:val="24"/>
          <w:lang w:val="en-US" w:eastAsia="zh-CN" w:bidi="ar"/>
        </w:rPr>
        <w:t>年）；定居者死亡率（来自</w:t>
      </w:r>
      <w:r>
        <w:rPr>
          <w:rFonts w:hint="default" w:ascii="Times New Roman Regular" w:hAnsi="Times New Roman Regular" w:eastAsia="Times New Roman Regular" w:cs="Times New Roman Regular"/>
          <w:kern w:val="0"/>
          <w:sz w:val="24"/>
          <w:szCs w:val="24"/>
          <w:lang w:val="en-US" w:eastAsia="zh-CN" w:bidi="ar"/>
        </w:rPr>
        <w:t>Acemoglu</w:t>
      </w:r>
      <w:r>
        <w:rPr>
          <w:rFonts w:hint="default" w:ascii="Times New Roman" w:hAnsi="Times New Roman" w:eastAsia="Times New Roman" w:cs="Times New Roman"/>
          <w:kern w:val="0"/>
          <w:sz w:val="24"/>
          <w:szCs w:val="24"/>
          <w:lang w:val="en-US" w:eastAsia="zh-CN" w:bidi="ar"/>
        </w:rPr>
        <w:t>、</w:t>
      </w:r>
      <w:r>
        <w:rPr>
          <w:rFonts w:hint="default" w:ascii="Times New Roman Regular" w:hAnsi="Times New Roman Regular" w:eastAsia="Times New Roman Regular" w:cs="Times New Roman Regular"/>
          <w:kern w:val="0"/>
          <w:sz w:val="24"/>
          <w:szCs w:val="24"/>
          <w:lang w:val="en-US" w:eastAsia="zh-CN" w:bidi="ar"/>
        </w:rPr>
        <w:t>Johnson</w:t>
      </w:r>
      <w:r>
        <w:rPr>
          <w:rFonts w:hint="default" w:ascii="Times New Roman" w:hAnsi="Times New Roman" w:eastAsia="Times New Roman" w:cs="Times New Roman"/>
          <w:kern w:val="0"/>
          <w:sz w:val="24"/>
          <w:szCs w:val="24"/>
          <w:lang w:val="en-US" w:eastAsia="zh-CN" w:bidi="ar"/>
        </w:rPr>
        <w:t>和</w:t>
      </w:r>
      <w:r>
        <w:rPr>
          <w:rFonts w:hint="default" w:ascii="Times New Roman Regular" w:hAnsi="Times New Roman Regular" w:eastAsia="Times New Roman Regular" w:cs="Times New Roman Regular"/>
          <w:kern w:val="0"/>
          <w:sz w:val="24"/>
          <w:szCs w:val="24"/>
          <w:lang w:val="en-US" w:eastAsia="zh-CN" w:bidi="ar"/>
        </w:rPr>
        <w:t>Robinson 2001</w:t>
      </w:r>
      <w:r>
        <w:rPr>
          <w:rFonts w:hint="default" w:ascii="Times New Roman" w:hAnsi="Times New Roman" w:eastAsia="Times New Roman" w:cs="Times New Roman"/>
          <w:kern w:val="0"/>
          <w:sz w:val="24"/>
          <w:szCs w:val="24"/>
          <w:lang w:val="en-US" w:eastAsia="zh-CN" w:bidi="ar"/>
        </w:rPr>
        <w:t>年）；地形崎岖度和山地地形；降水量及其波动性；土壤质量指标；温度和湿度测量；人均</w:t>
      </w:r>
      <w:r>
        <w:rPr>
          <w:rFonts w:hint="default" w:ascii="Times New Roman Regular" w:hAnsi="Times New Roman Regular" w:eastAsia="Times New Roman Regular" w:cs="Times New Roman Regular"/>
          <w:kern w:val="0"/>
          <w:sz w:val="24"/>
          <w:szCs w:val="24"/>
          <w:lang w:val="en-US" w:eastAsia="zh-CN" w:bidi="ar"/>
        </w:rPr>
        <w:t>GDP</w:t>
      </w:r>
      <w:r>
        <w:rPr>
          <w:rFonts w:hint="default" w:ascii="Times New Roman" w:hAnsi="Times New Roman" w:eastAsia="Times New Roman" w:cs="Times New Roman"/>
          <w:kern w:val="0"/>
          <w:sz w:val="24"/>
          <w:szCs w:val="24"/>
          <w:lang w:val="en-US" w:eastAsia="zh-CN" w:bidi="ar"/>
        </w:rPr>
        <w:t>；城市化率；受教育程度；民族、宗教和语言分化程度；新教和穆斯林多数国家虚拟变量；以及包括燃料出口和钻石矿藏在内的自然资源指标（第</w:t>
      </w:r>
      <w:r>
        <w:rPr>
          <w:rFonts w:hint="default" w:ascii="Times New Roman Regular" w:hAnsi="Times New Roman Regular" w:eastAsia="Times New Roman Regular" w:cs="Times New Roman Regular"/>
          <w:kern w:val="0"/>
          <w:sz w:val="24"/>
          <w:szCs w:val="24"/>
          <w:lang w:val="en-US" w:eastAsia="zh-CN" w:bidi="ar"/>
        </w:rPr>
        <w:t>490-491</w:t>
      </w:r>
      <w:r>
        <w:rPr>
          <w:rFonts w:hint="default" w:ascii="Times New Roman" w:hAnsi="Times New Roman" w:eastAsia="Times New Roman" w:cs="Times New Roman"/>
          <w:kern w:val="0"/>
          <w:sz w:val="24"/>
          <w:szCs w:val="24"/>
          <w:lang w:val="en-US" w:eastAsia="zh-CN" w:bidi="ar"/>
        </w:rPr>
        <w:t>页）。</w:t>
      </w:r>
    </w:p>
    <w:p w14:paraId="45641F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Control Variables:</w:t>
      </w:r>
      <w:r>
        <w:rPr>
          <w:rFonts w:hint="default" w:ascii="Times New Roman Regular" w:hAnsi="Times New Roman Regular" w:cs="Times New Roman Regular"/>
        </w:rPr>
        <w:t xml:space="preserve"> The study includes numerous controls drawn from alternative theories of democratization: latitude (from Rodrik, Subramanian, and Trebbi 2004); population density in 1500 (from Acemoglu, Johnson, and Robinson 2002); settler mortality (from Acemoglu, Johnson, and Robinson 2001); terrain ruggedness and mountainous terrain; precipitation and precipitation volatility; soil quality indicators; temperature and humidity measures; GDP per capita; urbanization; educational attainment; ethnic, religious, and linguistic fractionalization; Protestant and Muslim majority dummies; and natural resource indicators including fuel exports and diamond deposits (pp. 490-491).</w:t>
      </w:r>
    </w:p>
    <w:p w14:paraId="3F28DE53">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474B290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Methods: What methods are employed to assess the argument? What assumptions must hold for these methods to be valid? / 方法：使用什么方法来评估论点？这些方法有效需要满足什么假设？</w:t>
      </w:r>
    </w:p>
    <w:p w14:paraId="1114D67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作者采用多方法策略，将普通最小二乘法（OLS）回归与工具变量（IV）估计相结合，以解决描述性和因果性问题。</w:t>
      </w:r>
    </w:p>
    <w:p w14:paraId="0FFDACA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 employs a multi-method approach combining ordinary least squares (OLS) regression with instrumental variable (IV) estimation to address both descriptive and causal questions.</w:t>
      </w:r>
    </w:p>
    <w:p w14:paraId="600943C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普通最小二乘法（OLS）：</w:t>
      </w:r>
    </w:p>
    <w:p w14:paraId="2F7E313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基线分析使用民主对早期国家发展的OLS回归，对应方程：Di = αD + δSSi + βDXi + εDi，其中Di是国家i的民主程度，Si是国家i的早期国家发展，Xi是控制变量向量。感兴趣的系数是δS，它测量截至1500年的国家发展与当前民主水平之间的关联（第476页）。表1报告的OLS系数显示，欧洲以外地区民主与殖民前国家发展之间存在高度显著的无条件相关性，为−5.47，R²表明当代民主水平变异中多达十分之一与五个多世纪前的国家发展变异相关（第476页）。</w:t>
      </w:r>
    </w:p>
    <w:p w14:paraId="3DF402D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Ordinary Least Squares (OLS):</w:t>
      </w:r>
    </w:p>
    <w:p w14:paraId="1F46A8F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baseline analysis uses OLS regressions of democracy on early state development, corresponding to the equation: Di = αD + δSSi + βDXi + εDi, where Di is democracy in country i, Si is early state development in country i, and Xi is a vector of controls. The coefficient of interest is δS, which measures the association between state development up to 1500 and current levels of democracy (p. 476). Table 1 reports OLS coefficients showing a highly significant unconditional correlation of −5.47 between democracy and precolonial state development outside Europe, with R² showing that as much as one-tenth of the variation in contemporary levels of democracy is associated with variation in state development more than five centuries ago (p. 476).</w:t>
      </w:r>
    </w:p>
    <w:p w14:paraId="1796AEA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工具变量（IV）估计：</w:t>
      </w:r>
    </w:p>
    <w:p w14:paraId="01DFF9F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为解决内生性问题，作者使用两阶段最小二乘法（2SLS）估计，以新石器革命的时间作为早期国家发展的工具变量。内生性问题包括：（1）逆向因果——国家的治理方式影响其作为国家存续的概率；（2）遗漏变量偏误——未观察到的文化和历史因素可能同时影响国家历史和政权轨迹；（3）国家历史指数的测量误差，该指数上限为公元1年，在一些国家排除了数千年的国家历史）。</w:t>
      </w:r>
    </w:p>
    <w:p w14:paraId="200B74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第一阶段方程为：Si = αS + δTTi + βSXi + εSi，其中Ti是国家i的新石器转型时间。识别策略基于一个简单的想法：从狩猎采集向定居农业的早期转变通过增加粮食生产、人口密度、专业化、社会分层和政治组织，预示着国家制度的早期发展。</w:t>
      </w:r>
    </w:p>
    <w:p w14:paraId="390BD1D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Instrumental Variable (IV) Estimation:</w:t>
      </w:r>
    </w:p>
    <w:p w14:paraId="1F55465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To address endogeneity concerns, the author uses two-stage least squares (2SLS) estimation with the timing of the Neolithic Revolution as an instrumental variable for early state development. The endogeneity concerns include: (1) reverse causality—the way a state is governed affects the probability that it will survive as a state; (2) omitted variable bias—unobserved cultural and historical factors might affect both state history and regime trajectory; and (3) measurement error in the State Antiquity Index, which is bounded above at A.D. 1 and excludes millennia of state history in some countries (pp. 480-481).</w:t>
      </w:r>
    </w:p>
    <w:p w14:paraId="1A536F5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first-stage equation is: Si = αS + δTTi + βSXi + εSi, where Ti is the timing of the Neolithic transition in country i. The identification strategy is based on the simple idea that an early transition from hunting-gathering to settled agriculture predicts an early development of state institutions through increased food production, population density, specialization, social stratification, and political organization (pp. 480-481).</w:t>
      </w:r>
    </w:p>
    <w:p w14:paraId="32C134F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IV有效性的假设：</w:t>
      </w:r>
    </w:p>
    <w:p w14:paraId="5CADA91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2SLS方法的有效性取决于排除性限制——即在控制分析中包含的变量后，新石器革命的时间对民主没有通过早期国家发展之外的其他影响（第481页）。作者进行了几项测试来检验这一假设：</w:t>
      </w:r>
    </w:p>
    <w:p w14:paraId="2514FE8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Regular" w:hAnsi="Times New Roman Regular" w:cs="Times New Roman Regular"/>
        </w:rPr>
      </w:pPr>
      <w:r>
        <w:rPr>
          <w:rStyle w:val="8"/>
          <w:rFonts w:hint="eastAsia" w:ascii="Times New Roman Regular" w:hAnsi="Times New Roman Regular" w:cs="Times New Roman Regular"/>
          <w:lang w:val="en-US" w:eastAsia="zh-CN"/>
        </w:rPr>
        <w:t xml:space="preserve">1. </w:t>
      </w:r>
      <w:r>
        <w:rPr>
          <w:rStyle w:val="8"/>
          <w:rFonts w:hint="default" w:ascii="Times New Roman Regular" w:hAnsi="Times New Roman Regular" w:cs="Times New Roman Regular"/>
        </w:rPr>
        <w:t>地理和气候控制：</w:t>
      </w:r>
      <w:r>
        <w:rPr>
          <w:rFonts w:hint="default" w:ascii="Times New Roman Regular" w:hAnsi="Times New Roman Regular" w:cs="Times New Roman Regular"/>
        </w:rPr>
        <w:t xml:space="preserve"> 作者纳入了崎岖度、降水量及其波动性、土壤质量、温度和湿度的测量，以解释影响新石器革命时间的因素可能通过其他渠道影响政权轨迹的可能性（第481页）。</w:t>
      </w:r>
    </w:p>
    <w:p w14:paraId="1EE9A6B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Regular" w:hAnsi="Times New Roman Regular" w:cs="Times New Roman Regular"/>
        </w:rPr>
      </w:pPr>
      <w:r>
        <w:rPr>
          <w:rStyle w:val="8"/>
          <w:rFonts w:hint="eastAsia" w:ascii="Times New Roman Regular" w:hAnsi="Times New Roman Regular" w:cs="Times New Roman Regular"/>
          <w:lang w:val="en-US" w:eastAsia="zh-CN"/>
        </w:rPr>
        <w:t xml:space="preserve">2. </w:t>
      </w:r>
      <w:r>
        <w:rPr>
          <w:rStyle w:val="8"/>
          <w:rFonts w:hint="default" w:ascii="Times New Roman Regular" w:hAnsi="Times New Roman Regular" w:cs="Times New Roman Regular"/>
        </w:rPr>
        <w:t>直接效应测试：</w:t>
      </w:r>
      <w:r>
        <w:rPr>
          <w:rFonts w:hint="default" w:ascii="Times New Roman Regular" w:hAnsi="Times New Roman Regular" w:cs="Times New Roman Regular"/>
        </w:rPr>
        <w:t xml:space="preserve"> 在OLS回归中，将新石器革命的时间与早期国家发展一起作为回归变量。如果农业革命存在独立效应，预期该变量将显著——但在几乎所有模型中它都不显著（第483页）。</w:t>
      </w:r>
    </w:p>
    <w:p w14:paraId="7BDE1C4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Regular" w:hAnsi="Times New Roman Regular" w:cs="Times New Roman Regular"/>
        </w:rPr>
      </w:pPr>
      <w:r>
        <w:rPr>
          <w:rStyle w:val="8"/>
          <w:rFonts w:hint="eastAsia" w:ascii="Times New Roman Regular" w:hAnsi="Times New Roman Regular" w:cs="Times New Roman Regular"/>
          <w:lang w:val="en-US" w:eastAsia="zh-CN"/>
        </w:rPr>
        <w:t xml:space="preserve">3. </w:t>
      </w:r>
      <w:r>
        <w:rPr>
          <w:rStyle w:val="8"/>
          <w:rFonts w:hint="default" w:ascii="Times New Roman Regular" w:hAnsi="Times New Roman Regular" w:cs="Times New Roman Regular"/>
        </w:rPr>
        <w:t>三阶段最小二乘法（3SLS）：</w:t>
      </w:r>
      <w:r>
        <w:rPr>
          <w:rFonts w:hint="default" w:ascii="Times New Roman Regular" w:hAnsi="Times New Roman Regular" w:cs="Times New Roman Regular"/>
        </w:rPr>
        <w:t xml:space="preserve"> 为了消除潜在混淆文化因素的影响，作者受Ashraf和Michalopoulos（2010年）启发，用气候波动性测量作为新石器革命时间的工具变量。他们的研究表明，气候波动性和地理因素解释了新石器革命时间跨国变异的90%（第483页）。</w:t>
      </w:r>
    </w:p>
    <w:p w14:paraId="22024F0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Assumptions for IV Validity:</w:t>
      </w:r>
    </w:p>
    <w:p w14:paraId="39E8948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validity of the 2SLS approach depends on the exclusion restriction—the assumption that, conditional on the controls included in the analyses, the timing of the Neolithic Revolution has no effect on democracy other than through its effect on early state development (p. 481). The author conducts several tests to examine this assumption:</w:t>
      </w:r>
    </w:p>
    <w:p w14:paraId="5A5F8E0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Regular" w:hAnsi="Times New Roman Regular" w:cs="Times New Roman Regular"/>
        </w:rPr>
      </w:pPr>
      <w:r>
        <w:rPr>
          <w:rStyle w:val="8"/>
          <w:rFonts w:hint="eastAsia" w:ascii="Times New Roman Regular" w:hAnsi="Times New Roman Regular" w:cs="Times New Roman Regular"/>
          <w:lang w:val="en-US" w:eastAsia="zh-CN"/>
        </w:rPr>
        <w:t xml:space="preserve">1. </w:t>
      </w:r>
      <w:r>
        <w:rPr>
          <w:rStyle w:val="8"/>
          <w:rFonts w:hint="default" w:ascii="Times New Roman Regular" w:hAnsi="Times New Roman Regular" w:cs="Times New Roman Regular"/>
        </w:rPr>
        <w:t>Geographic and climatic controls:</w:t>
      </w:r>
      <w:r>
        <w:rPr>
          <w:rFonts w:hint="default" w:ascii="Times New Roman Regular" w:hAnsi="Times New Roman Regular" w:cs="Times New Roman Regular"/>
        </w:rPr>
        <w:t xml:space="preserve"> The author includes measures of ruggedness, precipitation and precipitation volatility, soil quality, temperature, and humidity to account for the possibility that factors affecting the timing of the Neolithic Revolution might also influence regime trajectories through other channels (p. 481).</w:t>
      </w:r>
    </w:p>
    <w:p w14:paraId="2BAAC79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Regular" w:hAnsi="Times New Roman Regular" w:cs="Times New Roman Regular"/>
        </w:rPr>
      </w:pPr>
      <w:r>
        <w:rPr>
          <w:rStyle w:val="8"/>
          <w:rFonts w:hint="eastAsia" w:ascii="Times New Roman Regular" w:hAnsi="Times New Roman Regular" w:cs="Times New Roman Regular"/>
          <w:lang w:val="en-US" w:eastAsia="zh-CN"/>
        </w:rPr>
        <w:t xml:space="preserve">2. </w:t>
      </w:r>
      <w:r>
        <w:rPr>
          <w:rStyle w:val="8"/>
          <w:rFonts w:hint="default" w:ascii="Times New Roman Regular" w:hAnsi="Times New Roman Regular" w:cs="Times New Roman Regular"/>
        </w:rPr>
        <w:t>Direct effect test:</w:t>
      </w:r>
      <w:r>
        <w:rPr>
          <w:rFonts w:hint="default" w:ascii="Times New Roman Regular" w:hAnsi="Times New Roman Regular" w:cs="Times New Roman Regular"/>
        </w:rPr>
        <w:t xml:space="preserve"> The timing of the Neolithic Revolution is included as a regressor alongside early state development in OLS regressions. If there were an independent effect of the agricultural revolution, one would expect this variable to be significant—but it is insignificant in almost all models (p. 483).</w:t>
      </w:r>
    </w:p>
    <w:p w14:paraId="4FC9D4D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Regular" w:hAnsi="Times New Roman Regular" w:cs="Times New Roman Regular"/>
        </w:rPr>
      </w:pPr>
      <w:r>
        <w:rPr>
          <w:rStyle w:val="8"/>
          <w:rFonts w:hint="eastAsia" w:ascii="Times New Roman Regular" w:hAnsi="Times New Roman Regular" w:cs="Times New Roman Regular"/>
          <w:lang w:val="en-US" w:eastAsia="zh-CN"/>
        </w:rPr>
        <w:t xml:space="preserve">3. </w:t>
      </w:r>
      <w:r>
        <w:rPr>
          <w:rStyle w:val="8"/>
          <w:rFonts w:hint="default" w:ascii="Times New Roman Regular" w:hAnsi="Times New Roman Regular" w:cs="Times New Roman Regular"/>
        </w:rPr>
        <w:t>Three-stage least squares (3SLS):</w:t>
      </w:r>
      <w:r>
        <w:rPr>
          <w:rFonts w:hint="default" w:ascii="Times New Roman Regular" w:hAnsi="Times New Roman Regular" w:cs="Times New Roman Regular"/>
        </w:rPr>
        <w:t xml:space="preserve"> To purge estimates of potentially confounding cultural factors, the author instruments the timing of the Neolithic Revolution with measures of climate volatility, inspired by Ashraf and Michalopoulos (2010), who show that climate volatility and geographic factors explain as much as 90% of the cross-country variation in the timing of the Neolithic Revolution (p. 483).</w:t>
      </w:r>
    </w:p>
    <w:p w14:paraId="0642431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稳健性检验：</w:t>
      </w:r>
    </w:p>
    <w:p w14:paraId="0F4D9D5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作者进行了广泛的稳健性检验，包括：（1）不同的样本限制，排除非洲和中东、美洲或欧洲分支国家（澳大利亚/ɒˈstreɪliə/、加拿大/ˈkænədə/、新西兰/njuː ˈziːlənd/、美国）；（2）纳入区域虚拟变量；（3）不同的民主测量指标；（4）控制定居者死亡率；（5）排除高杠杆或高DFBETA观测值；（6）民主的替代理论，包括现代化（人均GDP、城市化、教育）、分化程度、宗教和自然资源。</w:t>
      </w:r>
    </w:p>
    <w:p w14:paraId="7CC993B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Robustness Checks:</w:t>
      </w:r>
    </w:p>
    <w:p w14:paraId="040D94C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 conducts extensive robustness checks including: (1) different sample restrictions excluding Africa and the Middle East, the Americas, or European offshoots (Australia /ɒˈstreɪliə/, Canada /ˈkænədə/, New Zealand /njuː ˈziːlənd/, United States); (2) inclusion of regional dummies; (3) different democracy measures; (4) controls for settler mortality; (5) excluding high-leverage or high-DFBETA observations; and (6) alternative theories of democracy including modernization (GDP per capita, urbanization, education), fractionalization, religion, and natural resources (pp. 477-479, 486-488).</w:t>
      </w:r>
    </w:p>
    <w:p w14:paraId="44F1C3ED">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578BDCB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Contribution: What would academia see as the reading</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main contribution? / 贡献：学界会认为本文的主要贡献是什么？</w:t>
      </w:r>
    </w:p>
    <w:p w14:paraId="39BB1A6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This article makes several significant contributions to political science and related disciplines that would be recognized by scholars in the field.</w:t>
      </w:r>
    </w:p>
    <w:p w14:paraId="35D2AAC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1. Documenting a New Stylized Fact:</w:t>
      </w:r>
    </w:p>
    <w:p w14:paraId="39089A3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negative association between early state development and contemporary democracy outside Europe is identified by the author as a stylized fact that, to his knowledge, is new to the social sciences (p. 472). This empirical pattern challenges the prevailing narrative derived from European history that state-building processes lead to representative institutions through fiscal bargaining.</w:t>
      </w:r>
    </w:p>
    <w:p w14:paraId="6FC440A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2. Theoretical Innovation—Adding an External Factor to State-Regime Dynamics:</w:t>
      </w:r>
    </w:p>
    <w:p w14:paraId="2CC3510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To the set of domestic factors that have been proposed to mediate the effect of statehood on subsequent regime developments, this article adds an external one—the diffusion of European influence during the colonial period (p. 472). This represents a significant theoretical contribution by showing that the relationship between state formation and regime type is conditional on the broader international context, particularly the patterns of colonization and settlement.</w:t>
      </w:r>
    </w:p>
    <w:p w14:paraId="3156243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本文对政治学及相关学科做出了几项重要贡献，将被该领域的学者所认可。</w:t>
      </w:r>
    </w:p>
    <w:p w14:paraId="20690F2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1. 记录一个新的典型事实：</w:t>
      </w:r>
    </w:p>
    <w:p w14:paraId="684D595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指出，欧洲以外地区早期国家发展与当代民主之间的负相关关系是一个据其所知对社会科学而言全新的典型事实（第472页）。这一经验模式挑战了源自欧洲历史的主流叙事，即国家构建过程通过财政讨价还价导向代议制度。</w:t>
      </w:r>
    </w:p>
    <w:p w14:paraId="35BD96E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2. 理论创新——为国家-政权动态增添外部因素：</w:t>
      </w:r>
    </w:p>
    <w:p w14:paraId="43101E8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为学界提出的影响国家构建对后续政权发展作用的国内因素集合增添了一个外部因素——殖民时期欧洲影响的扩散（第472页）。这代表了重要的理论贡献，表明国家形成与政权类型之间的关系取决于更广泛的国际背景，特别是殖民和定居的模式。</w:t>
      </w:r>
    </w:p>
    <w:p w14:paraId="03DD829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3. Challenging the Universality of European State Formation Theory:</w:t>
      </w:r>
    </w:p>
    <w:p w14:paraId="0922872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finding directly challenges the applicability of European state formation theories to non-European contexts. While scholars like Tilly (1975), Bates (1991), and North (1990) have argued that state building in Europe was conducive to representative assemblies through the fiscal bargaining process, this article shows that the opposite pattern holds outside Europe (p. 471). The analysis demonstrates that even if state building can create a long-run impetus to parliamentarism by unleashing a fiscal bargaining game, this effect cannot be very strong outside Europe—it is dominated by the negative effect of having kept Europeans away or having been colonized with indirect rule (p. 472).</w:t>
      </w:r>
    </w:p>
    <w:p w14:paraId="4CDA5C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4. Refining the Reversal of Fortune Literature:</w:t>
      </w:r>
    </w:p>
    <w:p w14:paraId="02915E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finding is tangent to the important result that European colonialism caused a reversal in levels of development among former colonies (Acemoglu, Johnson, and Robinson 2001; 2002). While clearly related, there are important differences: the sample is not limited to former colonies (speaking to persistence of authoritarianism in old states that resisted colonization), and the author emphasizes a distinctly political factor—state development—in shaping European colonization and settlement patterns, whereas Engerman and Sokoloff (2002) focus on factor endowments and Acemoglu, Johnson, and Robinson (2001) focus on the disease environment (p. 472).</w:t>
      </w:r>
    </w:p>
    <w:p w14:paraId="561DE23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7"/>
          <w:rFonts w:hint="default" w:ascii="Times New Roman Regular" w:hAnsi="Times New Roman Regular" w:cs="Times New Roman Regular"/>
        </w:rPr>
        <w:t>3. 挑战欧洲国家形成理论的普遍性：</w:t>
      </w:r>
    </w:p>
    <w:p w14:paraId="1D58005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一发现直接挑战了欧洲国家形成理论在非欧洲背景下的适用性。虽然Tilly（1975年）、Bates（1991年）和North（1990年）等学者认为欧洲的国家构建通过财政讨价还价过程有利于代议制议会，但本文表明欧洲以外存在相反的模式（第471页）。分析表明，即使国家构建能够通过引发财政讨价还价博弈为议会制创造长期动力，这种效应在欧洲以外也不会很强——它被拒欧洲人于门外或被间接殖民的负面效应所主导（第472页）。</w:t>
      </w:r>
    </w:p>
    <w:p w14:paraId="5E3B06D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4. 完善</w:t>
      </w:r>
      <w:r>
        <w:rPr>
          <w:rStyle w:val="7"/>
          <w:rFonts w:hint="default" w:ascii="Times New Roman Regular" w:hAnsi="Times New Roman Regular" w:cs="Times New Roman Regular"/>
          <w:lang w:val="en-US"/>
        </w:rPr>
        <w:t>“财富逆转”</w:t>
      </w:r>
      <w:r>
        <w:rPr>
          <w:rStyle w:val="7"/>
          <w:rFonts w:hint="default" w:ascii="Times New Roman Regular" w:hAnsi="Times New Roman Regular" w:cs="Times New Roman Regular"/>
        </w:rPr>
        <w:t>文献：</w:t>
      </w:r>
    </w:p>
    <w:p w14:paraId="235EA4D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这一发现与一个重要结果相关，即欧洲殖民主义导致了前殖民地发展水平的逆转（Acemoglu、Johnson和Robinson 2001年、2002年）。虽然明显相关，但存在重要差异：样本不限于前殖民地（涉及抵抗殖民的古老国家中威权主义的持续），作者强调了一个明显的政治因素——国家发展——在塑造欧洲殖民和定居模式中的作用，而Engerman和Sokoloff（2002年）关注要素禀赋，Acemoglu、Johnson和Robinson（2001年）关注疾病环境（第472页）。</w:t>
      </w:r>
    </w:p>
    <w:p w14:paraId="081418B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5. Methodological Contribution—Creative Instrumental Variable Strategy:</w:t>
      </w:r>
    </w:p>
    <w:p w14:paraId="76FAFE9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use of the timing of the Neolithic Revolution as an instrument for early state development represents a creative identification strategy that allows for credible causal inference. The approach draws on deep historical and archaeological evidence to construct an instrument that is plausibly exogenous to contemporary political outcomes, and the author conducts extensive tests of the exclusion restriction (pp. 480-483).</w:t>
      </w:r>
    </w:p>
    <w:p w14:paraId="035DEB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6. Policy Relevance:</w:t>
      </w:r>
    </w:p>
    <w:p w14:paraId="2847E24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At the most practical level, the findings underscore that state building and democratization are distinct processes, reminding practitioners that the latter does not follow automatically from the former (p. 489). This has direct implications for contemporary state-building efforts in places like Afghanistan /æfˈɡænɪstæn/ and Iraq /ɪˈrɑːk/, where processes of state building and regime formation happen simultaneously (p. 489).</w:t>
      </w:r>
    </w:p>
    <w:p w14:paraId="056A97B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7"/>
          <w:rFonts w:hint="default" w:ascii="Times New Roman Regular" w:hAnsi="Times New Roman Regular" w:cs="Times New Roman Regular"/>
        </w:rPr>
        <w:t>5. 方法论贡献——创新性工具变量策略：</w:t>
      </w:r>
    </w:p>
    <w:p w14:paraId="5483B7E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使用新石器革命的时间作为早期国家发展的工具变量代表了一种创新性的识别策略，使可信的因果推断成为可能。该方法利用深厚的历史和考古证据构建了一个对当代政治结果可能外生的工具变量，作者对排除性限制进行了广泛测试（第480-483页）。</w:t>
      </w:r>
    </w:p>
    <w:p w14:paraId="3CF10C2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6. 政策相关性：</w:t>
      </w:r>
    </w:p>
    <w:p w14:paraId="5CB8DD6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在最实际的层面上，研究发现强调国家构建和民主化是不同的过程，提醒实践者后者不会自动跟随前者（第489页）。这对阿富汗（Afghanistan /æfˈɡænɪstæn/）和伊拉克（Iraq /ɪˈrɑːk/）等地当代的国家构建努力具有直接影响，在这些地方，国家构建和政权形成过程同时发生（第489页）。</w:t>
      </w:r>
    </w:p>
    <w:p w14:paraId="1049B041">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4760A48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Suggestions: What would professional scholars and researchers identify as limitations and how would they suggest improvements? / 建议：专业学者和研究者会指出哪些局限性，他们会提出什么改进建议？</w:t>
      </w:r>
    </w:p>
    <w:p w14:paraId="4D58B61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Professional scholars and researchers would likely identify several limitations in this study and propose corresponding improvements.</w:t>
      </w:r>
    </w:p>
    <w:p w14:paraId="189AB2B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1. The Exclusion Restriction Concern:</w:t>
      </w:r>
    </w:p>
    <w:p w14:paraId="63131A5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While the author conducts extensive tests, the exclusion restriction for the instrumental variable remains a potential concern. The timing of the Neolithic Revolution may affect contemporary democracy through channels other than state development—for example, through persistent cultural traits, human capital accumulation, or technological diffusion patterns. Scholars might suggest additional controls for cultural variables or alternative instruments that are more clearly excludable.</w:t>
      </w:r>
    </w:p>
    <w:p w14:paraId="557E9B1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2. Limited Measure of Indirect Rule:</w:t>
      </w:r>
    </w:p>
    <w:p w14:paraId="34E6046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direct measure of indirect rule (colonially recognized customary court cases) exists only for 33 former British colonies (p. 476). The author addresses this by using settlement measures to predict indirect rule for countries with missing values, but this introduces measurement error. Future research could develop more comprehensive measures of colonial governance styles across different colonial powers.</w:t>
      </w:r>
    </w:p>
    <w:p w14:paraId="4AB240B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专业学者和研究者可能会指出本研究的几个局限性并提出相应的改进建议。</w:t>
      </w:r>
    </w:p>
    <w:p w14:paraId="41DAAB9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1. 排除性限制的担忧：</w:t>
      </w:r>
    </w:p>
    <w:p w14:paraId="4BCBD55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尽管作者进行了广泛的测试，工具变量的排除性限制仍然是一个潜在问题。新石器革命的时间可能通过国家发展以外的渠道影响当代民主——例如，通过持久的文化特征、人力资本积累或技术扩散模式。学者可能会建议增加文化变量的控制或使用更明确可排除的替代工具变量。</w:t>
      </w:r>
    </w:p>
    <w:p w14:paraId="174FFF0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2. 间接统治测量的局限：</w:t>
      </w:r>
    </w:p>
    <w:p w14:paraId="358D326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间接统治的直接测量指标（殖民当局认可的习惯法案件）仅存在于33个前英国殖民地（第476页）。作者通过使用定居测量指标来预测缺失值国家的间接统治程度来解决这一问题，但这引入了测量误差。未来研究可以开发更全面的殖民治理风格测量指标，涵盖不同的殖民列强。</w:t>
      </w:r>
    </w:p>
    <w:p w14:paraId="13212E6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3. European Exceptionalism Assumption:</w:t>
      </w:r>
    </w:p>
    <w:p w14:paraId="771CCC1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argument implicitly assumes that European institutional forms were uniquely conducive to democracy. Scholars from post-colonial studies or comparative political theory might question this assumption and suggest examining indigenous institutional forms that may have had democratic or participatory elements independent of European influence.</w:t>
      </w:r>
    </w:p>
    <w:p w14:paraId="314B678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4. Temporal Scope of the Dependent Variable:</w:t>
      </w:r>
    </w:p>
    <w:p w14:paraId="1A5CB0E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primary dependent variable (polity2 averaged 1991-2007) captures a relatively narrow window. Scholars might suggest examining longer-term democratic development or alternative periods to ensure findings are not artifacts of the specific post-Cold War context.</w:t>
      </w:r>
    </w:p>
    <w:p w14:paraId="7154204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5. Mechanism Specification:</w:t>
      </w:r>
    </w:p>
    <w:p w14:paraId="0A18E1A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While the two-step mechanism (early statehood → colonization patterns → regime outcomes) is compelling, the micro-dynamics remain somewhat underspecified. The author acknowledges this, noting that </w:t>
      </w:r>
      <w:r>
        <w:rPr>
          <w:rFonts w:hint="default" w:ascii="Times New Roman Regular" w:hAnsi="Times New Roman Regular" w:cs="Times New Roman Regular"/>
          <w:lang w:val="en-US"/>
        </w:rPr>
        <w:t>“the microdynamics of how a long history of state institutions translates into authoritarian regime persistence is an important area for future study”</w:t>
      </w:r>
      <w:r>
        <w:rPr>
          <w:rFonts w:hint="default" w:ascii="Times New Roman Regular" w:hAnsi="Times New Roman Regular" w:cs="Times New Roman Regular"/>
        </w:rPr>
        <w:t xml:space="preserve"> (p. 489). Scholars might suggest case study methods or process tracing to elaborate these mechanisms.</w:t>
      </w:r>
    </w:p>
    <w:p w14:paraId="4C0D78D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7"/>
          <w:rFonts w:hint="default" w:ascii="Times New Roman Regular" w:hAnsi="Times New Roman Regular" w:cs="Times New Roman Regular"/>
        </w:rPr>
        <w:t>3. 欧洲例外论假设：</w:t>
      </w:r>
    </w:p>
    <w:p w14:paraId="080BD3B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该论点隐含地假设欧洲制度形式对民主具有独特的促进作用。后殖民研究或比较政治理论的学者可能会质疑这一假设，并建议考察独立于欧洲影响而可能具有民主或参与性元素的本土制度形式。</w:t>
      </w:r>
    </w:p>
    <w:p w14:paraId="1FEB562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4. 因变量的时间范围：</w:t>
      </w:r>
    </w:p>
    <w:p w14:paraId="75038F1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主要因变量（1991-2007年polity2平均值）捕捉的时间窗口相对较窄。学者可能建议考察更长期的民主发展或替代时期，以确保发现不是特定后冷战背景的人为产物。</w:t>
      </w:r>
    </w:p>
    <w:p w14:paraId="24726EA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5. 机制的具体化：</w:t>
      </w:r>
    </w:p>
    <w:p w14:paraId="203CD36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虽然两步机制（早期国家→殖民模式→政权结果）令人信服，但微观动态仍然有些不够明确。作者承认这一点，指出</w:t>
      </w:r>
      <w:r>
        <w:rPr>
          <w:rFonts w:hint="default" w:ascii="Times New Roman Regular" w:hAnsi="Times New Roman Regular" w:cs="Times New Roman Regular"/>
          <w:lang w:val="en-US"/>
        </w:rPr>
        <w:t>“漫长国家制度历史如何转化为威权政权持续的微观动态是未来研究的重要领域”</w:t>
      </w:r>
      <w:r>
        <w:rPr>
          <w:rFonts w:hint="default" w:ascii="Times New Roman Regular" w:hAnsi="Times New Roman Regular" w:cs="Times New Roman Regular"/>
        </w:rPr>
        <w:t>（第489页）。学者可能建议使用案例研究方法或过程追踪来阐述这些机制。</w:t>
      </w:r>
    </w:p>
    <w:p w14:paraId="07EA84F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6. Selection Effects in Colonization:</w:t>
      </w:r>
    </w:p>
    <w:p w14:paraId="20060CE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pattern of colonization may have been influenced by factors other than state development that also affect democracy. For example, resource endowments might have attracted colonial interest while simultaneously affecting political development. While the author controls for natural resources, scholars might suggest more sophisticated approaches to address selection into colonization.</w:t>
      </w:r>
    </w:p>
    <w:p w14:paraId="50F7D90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7. Heterogeneity Analysis:</w:t>
      </w:r>
    </w:p>
    <w:p w14:paraId="65954D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treatment effect of early statehood may vary across regions or time periods. Scholars might suggest exploring heterogeneous effects—for example, whether the mechanism operates differently in Asia versus Africa, or in countries colonized in the 16th versus 19th centuries.</w:t>
      </w:r>
    </w:p>
    <w:p w14:paraId="24B638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7"/>
          <w:rFonts w:hint="default" w:ascii="Times New Roman Regular" w:hAnsi="Times New Roman Regular" w:cs="Times New Roman Regular"/>
        </w:rPr>
        <w:t>6. 殖民的选择效应：</w:t>
      </w:r>
    </w:p>
    <w:p w14:paraId="4EC4BE2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殖民模式可能受到国家发展以外的因素影响，而这些因素也影响民主。例如，资源禀赋可能吸引了殖民兴趣，同时也影响政治发展。虽然作者控制了自然资源，学者可能建议采用更复杂的方法来解决殖民选择问题。</w:t>
      </w:r>
    </w:p>
    <w:p w14:paraId="491C06C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7. 异质性分析：</w:t>
      </w:r>
    </w:p>
    <w:p w14:paraId="32F294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早期国家的处理效应可能因地区或时期而异。学者可能建议探索异质性效应——例如，该机制在亚洲与非洲、或在16世纪与19世纪被殖民的国家中是否有不同的运作方式。</w:t>
      </w:r>
    </w:p>
    <w:p w14:paraId="3C00C0C6">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054A385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Extensions: What would professional scholars and researchers propose as potential extensions or new research questions? / 延伸：专业学者和研究者会提出哪些潜在的研究延伸或新研究问题？</w:t>
      </w:r>
    </w:p>
    <w:p w14:paraId="42737B6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Professional scholars and researchers would likely propose several promising extensions and new research questions inspired by this study.</w:t>
      </w:r>
    </w:p>
    <w:p w14:paraId="1D89A4F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1. Micro-level Mechanisms of Authoritarian Persistence:</w:t>
      </w:r>
    </w:p>
    <w:p w14:paraId="511B08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As the author acknowledges, understanding </w:t>
      </w:r>
      <w:r>
        <w:rPr>
          <w:rFonts w:hint="default" w:ascii="Times New Roman Regular" w:hAnsi="Times New Roman Regular" w:cs="Times New Roman Regular"/>
          <w:lang w:val="en-US"/>
        </w:rPr>
        <w:t>“more fully how the development of state structures affects the way states come to be governed”</w:t>
      </w:r>
      <w:r>
        <w:rPr>
          <w:rFonts w:hint="default" w:ascii="Times New Roman Regular" w:hAnsi="Times New Roman Regular" w:cs="Times New Roman Regular"/>
        </w:rPr>
        <w:t xml:space="preserve"> and </w:t>
      </w:r>
      <w:r>
        <w:rPr>
          <w:rFonts w:hint="default" w:ascii="Times New Roman Regular" w:hAnsi="Times New Roman Regular" w:cs="Times New Roman Regular"/>
          <w:lang w:val="en-US"/>
        </w:rPr>
        <w:t>“the microdynamics of how a long history of state institutions translates into authoritarian regime persistence is an important area for future study”</w:t>
      </w:r>
      <w:r>
        <w:rPr>
          <w:rFonts w:hint="default" w:ascii="Times New Roman Regular" w:hAnsi="Times New Roman Regular" w:cs="Times New Roman Regular"/>
        </w:rPr>
        <w:t xml:space="preserve"> (p. 489). Future research could examine: How do bureaucratic elites in old states maintain control? How do historical narratives of state continuity legitimize authoritarian rule? What role do state-society relations developed over centuries play in regime maintenance?</w:t>
      </w:r>
    </w:p>
    <w:p w14:paraId="3CD3622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2. Subnational Analysis:</w:t>
      </w:r>
    </w:p>
    <w:p w14:paraId="04CC0D0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country-level analysis could be extended to subnational units. Within countries, regions with different histories of state control may exhibit different political trajectories. This would allow researchers to hold many country-level factors constant while examining the effect of variation in historical state presence.</w:t>
      </w:r>
    </w:p>
    <w:p w14:paraId="79B6709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专业学者和研究者可能会提出几个由本研究启发的有前景的延伸方向和新研究问题。</w:t>
      </w:r>
    </w:p>
    <w:p w14:paraId="4F27BA7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1. 威权持续的微观机制：</w:t>
      </w:r>
    </w:p>
    <w:p w14:paraId="32B6ECC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正如作者所承认的，</w:t>
      </w:r>
      <w:r>
        <w:rPr>
          <w:rFonts w:hint="default" w:ascii="Times New Roman Regular" w:hAnsi="Times New Roman Regular" w:cs="Times New Roman Regular"/>
          <w:lang w:val="en-US"/>
        </w:rPr>
        <w:t>“更全面地理解国家结构的发展如何影响国家的治理方式”</w:t>
      </w:r>
      <w:r>
        <w:rPr>
          <w:rFonts w:hint="default" w:ascii="Times New Roman Regular" w:hAnsi="Times New Roman Regular" w:cs="Times New Roman Regular"/>
        </w:rPr>
        <w:t>以及</w:t>
      </w:r>
      <w:r>
        <w:rPr>
          <w:rFonts w:hint="default" w:ascii="Times New Roman Regular" w:hAnsi="Times New Roman Regular" w:cs="Times New Roman Regular"/>
          <w:lang w:val="en-US"/>
        </w:rPr>
        <w:t>“漫长国家制度历史如何转化为威权政权持续的微观动态是未来研究的重要领域”</w:t>
      </w:r>
      <w:r>
        <w:rPr>
          <w:rFonts w:hint="default" w:ascii="Times New Roman Regular" w:hAnsi="Times New Roman Regular" w:cs="Times New Roman Regular"/>
        </w:rPr>
        <w:t>（第489页）。未来研究可以考察：古老国家的官僚精英如何维持控制？国家延续性的历史叙事如何为威权统治提供合法性？数百年来发展的国家-社会关系在政权维持中扮演什么角色？</w:t>
      </w:r>
    </w:p>
    <w:p w14:paraId="694618E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2. 次国家层面分析：</w:t>
      </w:r>
    </w:p>
    <w:p w14:paraId="25079EA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国家层面的分析可以延伸到次国家单元。在国家内部，具有不同国家控制历史的地区可能表现出不同的政治轨迹。这将使研究者能够在保持许多国家层面因素不变的情况下考察历史上国家存在变异的影响。</w:t>
      </w:r>
    </w:p>
    <w:p w14:paraId="7E4E5A8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3. Comparative Colonial Governance:</w:t>
      </w:r>
    </w:p>
    <w:p w14:paraId="7CBC1F5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finding that indirect colonial rule preserved autocracy could be extended by systematically comparing different forms of colonial governance across colonial powers. How did French, British, Spanish, Portuguese, and Dutch colonial strategies differ in their interaction with existing state structures? How do these differences explain variation in post-colonial political development?</w:t>
      </w:r>
    </w:p>
    <w:p w14:paraId="179CA7B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4. Contemporary State-Building and Democracy Promotion:</w:t>
      </w:r>
    </w:p>
    <w:p w14:paraId="1265D4A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article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conclusion that </w:t>
      </w:r>
      <w:r>
        <w:rPr>
          <w:rFonts w:hint="default" w:ascii="Times New Roman Regular" w:hAnsi="Times New Roman Regular" w:cs="Times New Roman Regular"/>
          <w:lang w:val="en-US"/>
        </w:rPr>
        <w:t>“state building and democratization are distinct processes”</w:t>
      </w:r>
      <w:r>
        <w:rPr>
          <w:rFonts w:hint="default" w:ascii="Times New Roman Regular" w:hAnsi="Times New Roman Regular" w:cs="Times New Roman Regular"/>
        </w:rPr>
        <w:t xml:space="preserve"> (p. 489) opens questions about contemporary interventions. How should international actors approach state-building in ways that do not inadvertently strengthen authoritarian capacities? What institutional designs might promote both effective governance and democratic accountability?</w:t>
      </w:r>
    </w:p>
    <w:p w14:paraId="684AFA4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7"/>
          <w:rFonts w:hint="default" w:ascii="Times New Roman Regular" w:hAnsi="Times New Roman Regular" w:cs="Times New Roman Regular"/>
        </w:rPr>
        <w:t>3. 殖民治理的比较研究：</w:t>
      </w:r>
    </w:p>
    <w:p w14:paraId="789B7D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间接殖民统治保留专制这一发现可以通过系统比较不同殖民列强的殖民治理形式来延伸。法国、英国、西班牙、葡萄牙和荷兰的殖民策略在与现有国家结构的互动方面有何不同？这些差异如何解释后殖民政治发展的变异？</w:t>
      </w:r>
    </w:p>
    <w:p w14:paraId="5A28BA1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4. 当代国家构建与民主推广：</w:t>
      </w:r>
    </w:p>
    <w:p w14:paraId="50D98F6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文章关于</w:t>
      </w:r>
      <w:r>
        <w:rPr>
          <w:rFonts w:hint="default" w:ascii="Times New Roman Regular" w:hAnsi="Times New Roman Regular" w:cs="Times New Roman Regular"/>
          <w:lang w:val="en-US"/>
        </w:rPr>
        <w:t>“国家构建和民主化是不同过程”</w:t>
      </w:r>
      <w:r>
        <w:rPr>
          <w:rFonts w:hint="default" w:ascii="Times New Roman Regular" w:hAnsi="Times New Roman Regular" w:cs="Times New Roman Regular"/>
        </w:rPr>
        <w:t>的结论（第489页）引出了关于当代干预的问题。国际行为者应该如何以不无意中加强威权能力的方式进行国家构建？什么样的制度设计可能同时促进有效治理和民主问责？</w:t>
      </w:r>
    </w:p>
    <w:p w14:paraId="5517BF3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5. The Role of Post-Colonial Elites:</w:t>
      </w:r>
    </w:p>
    <w:p w14:paraId="3F553BD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Future research could examine how post-colonial elites—whether drawn from traditional authorities preserved under indirect rule or from settler communities—shaped regime trajectories. This connects to broader questions about elite formation and circulation in post-colonial states.</w:t>
      </w:r>
    </w:p>
    <w:p w14:paraId="7310B43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6. Decolonization Processes:</w:t>
      </w:r>
    </w:p>
    <w:p w14:paraId="6FB99FE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timing and manner of decolonization varied significantly across territories. Future research could examine whether the mechanisms identified in this study were mediated by decolonization processes—for example, whether violent versus negotiated independence transitions affected the relationship between early statehood and democratic development.</w:t>
      </w:r>
    </w:p>
    <w:p w14:paraId="52EAEBA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7. Beyond Democracy: Other Outcomes:</w:t>
      </w:r>
    </w:p>
    <w:p w14:paraId="1133372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framework could be extended to examine how early statehood, mediated by colonial experiences, affects other outcomes such as economic development, state capacity, public goods provision, or patterns of violence and civil conflict.</w:t>
      </w:r>
    </w:p>
    <w:p w14:paraId="28A19E6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7"/>
          <w:rFonts w:hint="default" w:ascii="Times New Roman Regular" w:hAnsi="Times New Roman Regular" w:cs="Times New Roman Regular"/>
        </w:rPr>
        <w:t>5. 后殖民精英的作用：</w:t>
      </w:r>
    </w:p>
    <w:p w14:paraId="5D8429A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未来研究可以考察后殖民精英——无论是来自间接统治下保留的传统权威还是来自定居者社区——如何塑造政权轨迹。这与后殖民国家精英形成和流动的更广泛问题相关。</w:t>
      </w:r>
    </w:p>
    <w:p w14:paraId="740804D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6. 去殖民化过程：</w:t>
      </w:r>
    </w:p>
    <w:p w14:paraId="491FFB6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去殖民化的时间和方式在不同领土之间存在显著差异。未来研究可以考察本研究中识别的机制是否受到去殖民化过程的中介——例如，暴力与谈判独立过渡是否影响了早期国家与民主发展之间的关系。</w:t>
      </w:r>
    </w:p>
    <w:p w14:paraId="5B38D73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7. 超越民主：其他结果：</w:t>
      </w:r>
    </w:p>
    <w:p w14:paraId="144D275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该框架可以延伸到考察早期国家（以殖民经历为中介）如何影响其他结果，如经济发展、国家能力、公共物品供给，或暴力和内战模式。</w:t>
      </w:r>
    </w:p>
    <w:p w14:paraId="34A0F77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8. Reverse Cases and Anomalies:</w:t>
      </w:r>
    </w:p>
    <w:p w14:paraId="30E0824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 briefly discusses outliers such as Japan /dʒəˈpæn/, India /ˈɪndiə/, and Swaziland /ˈswɑːzɪlænd/ (pp. 479-480). Future research could systematically examine cases that defy the general pattern to identify additional factors that can override the autocratic legacy of early statehood or the democratic effects of European settlement.</w:t>
      </w:r>
    </w:p>
    <w:p w14:paraId="463C91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9. Path Dependence and Critical Junctures:</w:t>
      </w:r>
    </w:p>
    <w:p w14:paraId="36ACC2A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historical institutionalist framework underlying this study could be developed further by examining specific critical junctures where the relationship between state history and regime type was consolidated or transformed. This connects to broader theoretical debates about path dependence and institutional change.</w:t>
      </w:r>
    </w:p>
    <w:p w14:paraId="529D92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7"/>
          <w:rFonts w:hint="default" w:ascii="Times New Roman Regular" w:hAnsi="Times New Roman Regular" w:cs="Times New Roman Regular"/>
        </w:rPr>
        <w:t>8. 反向案例与异常：</w:t>
      </w:r>
    </w:p>
    <w:p w14:paraId="46FC3AD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作者简要讨论了日本（Japan /dʒəˈpæn/）、印度（India /ˈɪndiə/）和斯威士兰（Swaziland /ˈswɑːzɪlænd/）等异常值（第479-480页）。未来研究可以系统地考察违背一般模式的案例，以识别能够压倒早期国家专制遗产或欧洲定居民主效应的额外因素。</w:t>
      </w:r>
    </w:p>
    <w:p w14:paraId="7FC9200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9. 路径依赖与关键节点：</w:t>
      </w:r>
    </w:p>
    <w:p w14:paraId="59DBEDA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本研究所依据的历史制度主义框架可以通过考察国家历史与政权类型关系巩固或转变的特定关键节点来进一步发展。这与关于路径依赖和制度变迁的更广泛理论争论相关。</w:t>
      </w:r>
    </w:p>
    <w:p w14:paraId="0E3D4D2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Lecture Notes: Critical Review of Persistence Literature</w:t>
      </w:r>
    </w:p>
    <w:p w14:paraId="1FE774D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讲义：持续性研究文献批判性综述</w:t>
      </w:r>
    </w:p>
    <w:p w14:paraId="6CE145BA">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2CDED23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Literature Name / 文献名称</w:t>
      </w:r>
    </w:p>
    <w:p w14:paraId="238B36A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rPr>
        <w:t>“History Never Really Says Goodbye: A Critical Review of the Persistence Literature”</w:t>
      </w:r>
    </w:p>
    <w:p w14:paraId="6711BD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《历史从未真正说再见：持续性文献的批判性综述》</w:t>
      </w:r>
    </w:p>
    <w:p w14:paraId="429390D8">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71B281A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Author(s) / 作者</w:t>
      </w:r>
    </w:p>
    <w:p w14:paraId="31510B8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Leticia Arroyo Abad /ləˈtiːʃə əˈrɔɪoʊ əˈbɑːd/ (Department of Economics, City University of New York &amp; CEPR) and Noel Maurer /noʊˈɛl ˈmɔːrər/ (Department of International Business, George Washington University /ˈwɒʃɪŋtən/).</w:t>
      </w:r>
    </w:p>
    <w:p w14:paraId="37C459D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莱蒂西娅·阿罗约·阿巴德（Leticia Arroyo Abad /ləˈtiːʃə əˈrɔɪoʊ əˈbɑːd/，纽约市立大学经济学系及欧洲经济政策研究中心）与诺埃尔·毛勒（Noel Maurer /noʊˈɛl ˈmɔːrər/，乔治·华盛顿大学（George Washington University /ˈwɒʃɪŋtən/）国际商务系）。</w:t>
      </w:r>
    </w:p>
    <w:p w14:paraId="6D51537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516DCA6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Published Year / 发表年份</w:t>
      </w:r>
    </w:p>
    <w:p w14:paraId="6D5F42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2021, published in the </w:t>
      </w:r>
      <w:r>
        <w:rPr>
          <w:rStyle w:val="8"/>
          <w:rFonts w:hint="default" w:ascii="Times New Roman Regular" w:hAnsi="Times New Roman Regular" w:cs="Times New Roman Regular"/>
        </w:rPr>
        <w:t>Journal of Historical Political Economy</w:t>
      </w:r>
      <w:r>
        <w:rPr>
          <w:rFonts w:hint="default" w:ascii="Times New Roman Regular" w:hAnsi="Times New Roman Regular" w:cs="Times New Roman Regular"/>
        </w:rPr>
        <w:t>, Volume 1, pages 31–68.</w:t>
      </w:r>
    </w:p>
    <w:p w14:paraId="19F1B2A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2021年，发表于《历史政治经济学杂志》（</w:t>
      </w:r>
      <w:r>
        <w:rPr>
          <w:rStyle w:val="8"/>
          <w:rFonts w:hint="default" w:ascii="Times New Roman Regular" w:hAnsi="Times New Roman Regular" w:cs="Times New Roman Regular"/>
        </w:rPr>
        <w:t>Journal of Historical Political Economy</w:t>
      </w:r>
      <w:r>
        <w:rPr>
          <w:rFonts w:hint="default" w:ascii="Times New Roman Regular" w:hAnsi="Times New Roman Regular" w:cs="Times New Roman Regular"/>
        </w:rPr>
        <w:t>），第1卷，第31–68页。</w:t>
      </w:r>
    </w:p>
    <w:p w14:paraId="2704E9B0">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34D4F04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DV: What is the main dependent variable? / 因变量：主要因变量是什么？</w:t>
      </w:r>
    </w:p>
    <w:p w14:paraId="01BF97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本文是一篇方法论综述文章，而非具有独立因变量的实证研究。然而，它考察了持续性研究通常如何将当代经济和政治结果作为因变量。作者指出，持续性研究通常</w:t>
      </w:r>
      <w:r>
        <w:rPr>
          <w:rFonts w:hint="default" w:ascii="Times New Roman Regular" w:hAnsi="Times New Roman Regular" w:cs="Times New Roman Regular"/>
          <w:lang w:val="en-US"/>
        </w:rPr>
        <w:t>“将当前的结果变量对历史变量进行回归”</w:t>
      </w:r>
      <w:r>
        <w:rPr>
          <w:rFonts w:hint="default" w:ascii="Times New Roman Regular" w:hAnsi="Times New Roman Regular" w:cs="Times New Roman Regular"/>
        </w:rPr>
        <w:t>（第32页）。被综述文献中常见的因变量包括：人均国内生产总值、收入水平、教育程度、政治态度、投票行为、信任水平、公共产品供给以及不平等程度的衡量指标。作者区分了</w:t>
      </w:r>
      <w:r>
        <w:rPr>
          <w:rFonts w:hint="default" w:ascii="Times New Roman Regular" w:hAnsi="Times New Roman Regular" w:cs="Times New Roman Regular"/>
          <w:lang w:val="en-US"/>
        </w:rPr>
        <w:t>“苹果对橘子”</w:t>
      </w:r>
      <w:r>
        <w:rPr>
          <w:rFonts w:hint="default" w:ascii="Times New Roman Regular" w:hAnsi="Times New Roman Regular" w:cs="Times New Roman Regular"/>
        </w:rPr>
        <w:t>研究（以经济变量作为因变量）和</w:t>
      </w:r>
      <w:r>
        <w:rPr>
          <w:rFonts w:hint="default" w:ascii="Times New Roman Regular" w:hAnsi="Times New Roman Regular" w:cs="Times New Roman Regular"/>
          <w:lang w:val="en-US"/>
        </w:rPr>
        <w:t>“苹果对苹果”</w:t>
      </w:r>
      <w:r>
        <w:rPr>
          <w:rFonts w:hint="default" w:ascii="Times New Roman Regular" w:hAnsi="Times New Roman Regular" w:cs="Times New Roman Regular"/>
        </w:rPr>
        <w:t>研究（以非经济结果如政治或文化变量作为因变量）（第34页）。</w:t>
      </w:r>
    </w:p>
    <w:p w14:paraId="6EB378C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This paper is a methodological review article rather than an empirical study with its own dependent variable. However, it examines how persistence studies generally employ contemporary economic and political outcomes as dependent variables. The authors note that persistence studies typically regress </w:t>
      </w:r>
      <w:r>
        <w:rPr>
          <w:rFonts w:hint="default" w:ascii="Times New Roman Regular" w:hAnsi="Times New Roman Regular" w:cs="Times New Roman Regular"/>
          <w:lang w:val="en-US"/>
        </w:rPr>
        <w:t>“a current day outcome on a historical variable”</w:t>
      </w:r>
      <w:r>
        <w:rPr>
          <w:rFonts w:hint="default" w:ascii="Times New Roman Regular" w:hAnsi="Times New Roman Regular" w:cs="Times New Roman Regular"/>
        </w:rPr>
        <w:t xml:space="preserve"> (p. 32). Common dependent variables in the reviewed literature include: GDP per capita, income levels, educational attainment, political attitudes, voting behavior, trust levels, provision of public goods, and measures of inequality. The authors distinguish between </w:t>
      </w:r>
      <w:r>
        <w:rPr>
          <w:rFonts w:hint="default" w:ascii="Times New Roman Regular" w:hAnsi="Times New Roman Regular" w:cs="Times New Roman Regular"/>
          <w:lang w:val="en-US"/>
        </w:rPr>
        <w:t>“apples to oranges”</w:t>
      </w:r>
      <w:r>
        <w:rPr>
          <w:rFonts w:hint="default" w:ascii="Times New Roman Regular" w:hAnsi="Times New Roman Regular" w:cs="Times New Roman Regular"/>
        </w:rPr>
        <w:t xml:space="preserve"> studies that use economic variables on the left-hand side and </w:t>
      </w:r>
      <w:r>
        <w:rPr>
          <w:rFonts w:hint="default" w:ascii="Times New Roman Regular" w:hAnsi="Times New Roman Regular" w:cs="Times New Roman Regular"/>
          <w:lang w:val="en-US"/>
        </w:rPr>
        <w:t>“apples to apples”</w:t>
      </w:r>
      <w:r>
        <w:rPr>
          <w:rFonts w:hint="default" w:ascii="Times New Roman Regular" w:hAnsi="Times New Roman Regular" w:cs="Times New Roman Regular"/>
        </w:rPr>
        <w:t xml:space="preserve"> studies that use non-economic outcomes such as political or cultural variables (p. 34).</w:t>
      </w:r>
    </w:p>
    <w:p w14:paraId="17F3FEB5">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6207457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IV: What is the main independent variable? / 自变量：主要自变量是什么？</w:t>
      </w:r>
    </w:p>
    <w:p w14:paraId="1447B99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As a review article, this paper does not propose its own independent variable. Instead, it surveys the historical </w:t>
      </w:r>
      <w:r>
        <w:rPr>
          <w:rFonts w:hint="default" w:ascii="Times New Roman Regular" w:hAnsi="Times New Roman Regular" w:cs="Times New Roman Regular"/>
          <w:lang w:val="en-US"/>
        </w:rPr>
        <w:t>“treatment”</w:t>
      </w:r>
      <w:r>
        <w:rPr>
          <w:rFonts w:hint="default" w:ascii="Times New Roman Regular" w:hAnsi="Times New Roman Regular" w:cs="Times New Roman Regular"/>
        </w:rPr>
        <w:t xml:space="preserve"> variables used in persistence studies. The authors identify that persistence studies search for </w:t>
      </w:r>
      <w:r>
        <w:rPr>
          <w:rFonts w:hint="default" w:ascii="Times New Roman Regular" w:hAnsi="Times New Roman Regular" w:cs="Times New Roman Regular"/>
          <w:lang w:val="en-US"/>
        </w:rPr>
        <w:t>“deep historical roots of current phenomena”</w:t>
      </w:r>
      <w:r>
        <w:rPr>
          <w:rFonts w:hint="default" w:ascii="Times New Roman Regular" w:hAnsi="Times New Roman Regular" w:cs="Times New Roman Regular"/>
        </w:rPr>
        <w:t xml:space="preserve"> (p. 32). Key independent variables discussed in the reviewed literature include: colonial institutions and origins (Acemoglu et al. 2001; Engerman and Sokoloff 1997), the slave trade (Nunn 2008), precolonial ethnic distributions (Murdock 1959), pre-Columbian population density, genetic diversity (Ashraf and Galor 2013), technology adoption in ancient times (Comin et al. 2010), and various colonial-era policies such as the mita forced labor system in Peru (Dell 2010) or landlord systems in British India (Banerjee and Iyer 2005). The authors note that some studies trace treatments back millennia, asking questions like </w:t>
      </w:r>
      <w:r>
        <w:rPr>
          <w:rFonts w:hint="default" w:ascii="Times New Roman Regular" w:hAnsi="Times New Roman Regular" w:cs="Times New Roman Regular"/>
          <w:lang w:val="en-US"/>
        </w:rPr>
        <w:t>“Was the Wealth of Nations Determined in 1000 B.C.?”</w:t>
      </w:r>
      <w:r>
        <w:rPr>
          <w:rFonts w:hint="default" w:ascii="Times New Roman Regular" w:hAnsi="Times New Roman Regular" w:cs="Times New Roman Regular"/>
        </w:rPr>
        <w:t xml:space="preserve"> (p. 44).</w:t>
      </w:r>
    </w:p>
    <w:p w14:paraId="01CCA89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作为一篇综述文章，本文并未提出自己的自变量。相反，它调查了持续性研究中使用的历史</w:t>
      </w:r>
      <w:r>
        <w:rPr>
          <w:rFonts w:hint="default" w:ascii="Times New Roman Regular" w:hAnsi="Times New Roman Regular" w:cs="Times New Roman Regular"/>
          <w:lang w:val="en-US"/>
        </w:rPr>
        <w:t>“处理”</w:t>
      </w:r>
      <w:r>
        <w:rPr>
          <w:rFonts w:hint="default" w:ascii="Times New Roman Regular" w:hAnsi="Times New Roman Regular" w:cs="Times New Roman Regular"/>
        </w:rPr>
        <w:t>变量。作者指出，持续性研究寻求</w:t>
      </w:r>
      <w:r>
        <w:rPr>
          <w:rFonts w:hint="default" w:ascii="Times New Roman Regular" w:hAnsi="Times New Roman Regular" w:cs="Times New Roman Regular"/>
          <w:lang w:val="en-US"/>
        </w:rPr>
        <w:t>“当前现象的深层历史根源”</w:t>
      </w:r>
      <w:r>
        <w:rPr>
          <w:rFonts w:hint="default" w:ascii="Times New Roman Regular" w:hAnsi="Times New Roman Regular" w:cs="Times New Roman Regular"/>
        </w:rPr>
        <w:t>（第32页）。被综述文献中讨论的关键自变量包括：殖民制度与起源（阿西莫格鲁等人2001年；恩格曼与索科洛夫1997年）、奴隶贸易（努恩2008年）、前殖民时期族群分布（默多克1959年）、前哥伦布时期人口密度、遗传多样性（阿什拉夫与加洛尔2013年）、古代技术采用（科明等人2010年），以及各种殖民时期政策，如秘鲁的米塔（mita）强制劳动制度（戴尔2010年）或英属印度的地主制度（班纳吉与艾耶尔2005年）。作者指出，一些研究将处理效应追溯到数千年前，提出诸如</w:t>
      </w:r>
      <w:r>
        <w:rPr>
          <w:rFonts w:hint="default" w:ascii="Times New Roman Regular" w:hAnsi="Times New Roman Regular" w:cs="Times New Roman Regular"/>
          <w:lang w:val="en-US"/>
        </w:rPr>
        <w:t>“国富是否在公元前1000年就已注定？”</w:t>
      </w:r>
      <w:r>
        <w:rPr>
          <w:rFonts w:hint="default" w:ascii="Times New Roman Regular" w:hAnsi="Times New Roman Regular" w:cs="Times New Roman Regular"/>
        </w:rPr>
        <w:t>这样的问题（第44页）。</w:t>
      </w:r>
    </w:p>
    <w:p w14:paraId="589E4B00">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212A55C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Stateness: How is the </w:t>
      </w:r>
      <w:r>
        <w:rPr>
          <w:rFonts w:hint="default" w:ascii="Times New Roman Regular" w:hAnsi="Times New Roman Regular" w:cs="Times New Roman Regular"/>
          <w:lang w:val="en-US"/>
        </w:rPr>
        <w:t>“state”</w:t>
      </w:r>
      <w:r>
        <w:rPr>
          <w:rFonts w:hint="default" w:ascii="Times New Roman Regular" w:hAnsi="Times New Roman Regular" w:cs="Times New Roman Regular"/>
        </w:rPr>
        <w:t xml:space="preserve"> and/or </w:t>
      </w:r>
      <w:r>
        <w:rPr>
          <w:rFonts w:hint="default" w:ascii="Times New Roman Regular" w:hAnsi="Times New Roman Regular" w:cs="Times New Roman Regular"/>
          <w:lang w:val="en-US"/>
        </w:rPr>
        <w:t>“state building”</w:t>
      </w:r>
      <w:r>
        <w:rPr>
          <w:rFonts w:hint="default" w:ascii="Times New Roman Regular" w:hAnsi="Times New Roman Regular" w:cs="Times New Roman Regular"/>
        </w:rPr>
        <w:t xml:space="preserve"> conceptualized and measured? / 国家性：如何概念化和测量</w:t>
      </w:r>
      <w:r>
        <w:rPr>
          <w:rFonts w:hint="default" w:ascii="Times New Roman Regular" w:hAnsi="Times New Roman Regular" w:cs="Times New Roman Regular"/>
          <w:lang w:val="en-US"/>
        </w:rPr>
        <w:t>“国家”</w:t>
      </w:r>
      <w:r>
        <w:rPr>
          <w:rFonts w:hint="default" w:ascii="Times New Roman Regular" w:hAnsi="Times New Roman Regular" w:cs="Times New Roman Regular"/>
        </w:rPr>
        <w:t>和/或</w:t>
      </w:r>
      <w:r>
        <w:rPr>
          <w:rFonts w:hint="default" w:ascii="Times New Roman Regular" w:hAnsi="Times New Roman Regular" w:cs="Times New Roman Regular"/>
          <w:lang w:val="en-US"/>
        </w:rPr>
        <w:t>“国家建构”</w:t>
      </w:r>
      <w:r>
        <w:rPr>
          <w:rFonts w:hint="default" w:ascii="Times New Roman Regular" w:hAnsi="Times New Roman Regular" w:cs="Times New Roman Regular"/>
        </w:rPr>
        <w:t>？</w:t>
      </w:r>
    </w:p>
    <w:p w14:paraId="6D4391D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While this review article does not focus specifically on state formation theory, it engages with several dimensions of how states and state-building are treated in persistence studies. The authors discuss how institutional persistence relates to state capacity and governance. They note that social science fundamentally </w:t>
      </w:r>
      <w:r>
        <w:rPr>
          <w:rFonts w:hint="default" w:ascii="Times New Roman Regular" w:hAnsi="Times New Roman Regular" w:cs="Times New Roman Regular"/>
          <w:lang w:val="en-US"/>
        </w:rPr>
        <w:t>“assumes the persistence of human institutions”</w:t>
      </w:r>
      <w:r>
        <w:rPr>
          <w:rFonts w:hint="default" w:ascii="Times New Roman Regular" w:hAnsi="Times New Roman Regular" w:cs="Times New Roman Regular"/>
        </w:rPr>
        <w:t xml:space="preserve"> because </w:t>
      </w:r>
      <w:r>
        <w:rPr>
          <w:rFonts w:hint="default" w:ascii="Times New Roman Regular" w:hAnsi="Times New Roman Regular" w:cs="Times New Roman Regular"/>
          <w:lang w:val="en-US"/>
        </w:rPr>
        <w:t>“rules that can change suddenly and randomly are no rules at all”</w:t>
      </w:r>
      <w:r>
        <w:rPr>
          <w:rFonts w:hint="default" w:ascii="Times New Roman Regular" w:hAnsi="Times New Roman Regular" w:cs="Times New Roman Regular"/>
        </w:rPr>
        <w:t xml:space="preserve"> (p. 33). A constitution, for instance, </w:t>
      </w:r>
      <w:r>
        <w:rPr>
          <w:rFonts w:hint="default" w:ascii="Times New Roman Regular" w:hAnsi="Times New Roman Regular" w:cs="Times New Roman Regular"/>
          <w:lang w:val="en-US"/>
        </w:rPr>
        <w:t>“cannot shape political behavior if politicians can change the procedures that govern lawmaking at their whim”</w:t>
      </w:r>
      <w:r>
        <w:rPr>
          <w:rFonts w:hint="default" w:ascii="Times New Roman Regular" w:hAnsi="Times New Roman Regular" w:cs="Times New Roman Regular"/>
        </w:rPr>
        <w:t xml:space="preserve"> (p. 33). The paper references Douglass North</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framework explaining how institutions might change slowly over time (p. 33).</w:t>
      </w:r>
    </w:p>
    <w:p w14:paraId="5577B4A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Several state-related concepts appear throughout the review. First, colonial state formation is central to many persistence studies, particularly the distinction between </w:t>
      </w:r>
      <w:r>
        <w:rPr>
          <w:rFonts w:hint="default" w:ascii="Times New Roman Regular" w:hAnsi="Times New Roman Regular" w:cs="Times New Roman Regular"/>
          <w:lang w:val="en-US"/>
        </w:rPr>
        <w:t>“extractive”</w:t>
      </w:r>
      <w:r>
        <w:rPr>
          <w:rFonts w:hint="default" w:ascii="Times New Roman Regular" w:hAnsi="Times New Roman Regular" w:cs="Times New Roman Regular"/>
        </w:rPr>
        <w:t xml:space="preserve"> and </w:t>
      </w:r>
      <w:r>
        <w:rPr>
          <w:rFonts w:hint="default" w:ascii="Times New Roman Regular" w:hAnsi="Times New Roman Regular" w:cs="Times New Roman Regular"/>
          <w:lang w:val="en-US"/>
        </w:rPr>
        <w:t>“inclusive”</w:t>
      </w:r>
      <w:r>
        <w:rPr>
          <w:rFonts w:hint="default" w:ascii="Times New Roman Regular" w:hAnsi="Times New Roman Regular" w:cs="Times New Roman Regular"/>
        </w:rPr>
        <w:t xml:space="preserve"> institutions created by European colonizers (Acemoglu et al. 2001, discussed on p. 34). The authors examine how the factor endowments of different colonies shaped institutions governing </w:t>
      </w:r>
      <w:r>
        <w:rPr>
          <w:rFonts w:hint="default" w:ascii="Times New Roman Regular" w:hAnsi="Times New Roman Regular" w:cs="Times New Roman Regular"/>
          <w:lang w:val="en-US"/>
        </w:rPr>
        <w:t>“property rights and market transactions”</w:t>
      </w:r>
      <w:r>
        <w:rPr>
          <w:rFonts w:hint="default" w:ascii="Times New Roman Regular" w:hAnsi="Times New Roman Regular" w:cs="Times New Roman Regular"/>
        </w:rPr>
        <w:t xml:space="preserve"> (p. 33). Second, the paper discusses precolonial state structures, noting debates about whether the slave trade destabilized precolonial African states (p. 54) and Igor Kopytoff</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/ˈkɒpɪtɒf/ criticism of Murdock</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/ˈmɜːrdɒk/ ethnic mapping (pp. 39-40). Third, post-colonial state capacity is addressed through studies examining how different colonial legacies affected later state development, such as Miguel</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(2004) comparison of nation-building policies in Kenya /ˈkenjə/ versus Tanzania /ˌtænzəˈniːə/ (p. 37) and Backhaus</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(2019) study of educational convergence in Poland /ˈpoʊlənd/ after the partition era (p. 37).</w:t>
      </w:r>
    </w:p>
    <w:p w14:paraId="77F2C43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also discuss mechanisms through which state capacity persists or changes. Suryanarayan and White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study shows how white elites in the American South </w:t>
      </w:r>
      <w:r>
        <w:rPr>
          <w:rFonts w:hint="default" w:ascii="Times New Roman Regular" w:hAnsi="Times New Roman Regular" w:cs="Times New Roman Regular"/>
          <w:lang w:val="en-US"/>
        </w:rPr>
        <w:t>“deliberately weakened the institutions that enabled efficient tax collection”</w:t>
      </w:r>
      <w:r>
        <w:rPr>
          <w:rFonts w:hint="default" w:ascii="Times New Roman Regular" w:hAnsi="Times New Roman Regular" w:cs="Times New Roman Regular"/>
        </w:rPr>
        <w:t xml:space="preserve"> to prevent redistribution (p. 49). Guardado</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(2018) study examines whether corrupt colonial officials—measured by the prices the Spanish imperial government offered for governorships—had long-term consequences for governance (pp. 56-57). The paper thus treats states not as static entities but as evolving institutional configurations shaped by historical contingencies and critical junctures.</w:t>
      </w:r>
    </w:p>
    <w:p w14:paraId="271C97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虽然这篇综述文章并未专门聚焦于国家形成理论，但它涉及持续性研究中如何处理国家和国家建构的若干维度。作者讨论了制度持续性如何与国家能力和治理相关联。他们指出，社会科学从根本上</w:t>
      </w:r>
      <w:r>
        <w:rPr>
          <w:rFonts w:hint="default" w:ascii="Times New Roman Regular" w:hAnsi="Times New Roman Regular" w:cs="Times New Roman Regular"/>
          <w:lang w:val="en-US"/>
        </w:rPr>
        <w:t>“假定人类制度的持续性”</w:t>
      </w:r>
      <w:r>
        <w:rPr>
          <w:rFonts w:hint="default" w:ascii="Times New Roman Regular" w:hAnsi="Times New Roman Regular" w:cs="Times New Roman Regular"/>
        </w:rPr>
        <w:t>，因为</w:t>
      </w:r>
      <w:r>
        <w:rPr>
          <w:rFonts w:hint="default" w:ascii="Times New Roman Regular" w:hAnsi="Times New Roman Regular" w:cs="Times New Roman Regular"/>
          <w:lang w:val="en-US"/>
        </w:rPr>
        <w:t>“能够突然和随机改变的规则根本不是规则”</w:t>
      </w:r>
      <w:r>
        <w:rPr>
          <w:rFonts w:hint="default" w:ascii="Times New Roman Regular" w:hAnsi="Times New Roman Regular" w:cs="Times New Roman Regular"/>
        </w:rPr>
        <w:t>（第33页）。例如，宪法</w:t>
      </w:r>
      <w:r>
        <w:rPr>
          <w:rFonts w:hint="default" w:ascii="Times New Roman Regular" w:hAnsi="Times New Roman Regular" w:cs="Times New Roman Regular"/>
          <w:lang w:val="en-US"/>
        </w:rPr>
        <w:t>“如果政客能够随心所欲地改变立法程序，就无法塑造政治行为”</w:t>
      </w:r>
      <w:r>
        <w:rPr>
          <w:rFonts w:hint="default" w:ascii="Times New Roman Regular" w:hAnsi="Times New Roman Regular" w:cs="Times New Roman Regular"/>
        </w:rPr>
        <w:t>（第33页）。文章引用了道格拉斯·诺斯解释制度如何随时间缓慢变化的框架（第33页）。</w:t>
      </w:r>
    </w:p>
    <w:p w14:paraId="17731EE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整篇综述中出现了若干与国家相关的概念。首先，殖民国家形成是许多持续性研究的核心，特别是欧洲殖民者创建的</w:t>
      </w:r>
      <w:r>
        <w:rPr>
          <w:rFonts w:hint="default" w:ascii="Times New Roman Regular" w:hAnsi="Times New Roman Regular" w:cs="Times New Roman Regular"/>
          <w:lang w:val="en-US"/>
        </w:rPr>
        <w:t>“榨取性”</w:t>
      </w:r>
      <w:r>
        <w:rPr>
          <w:rFonts w:hint="default" w:ascii="Times New Roman Regular" w:hAnsi="Times New Roman Regular" w:cs="Times New Roman Regular"/>
        </w:rPr>
        <w:t>与</w:t>
      </w:r>
      <w:r>
        <w:rPr>
          <w:rFonts w:hint="default" w:ascii="Times New Roman Regular" w:hAnsi="Times New Roman Regular" w:cs="Times New Roman Regular"/>
          <w:lang w:val="en-US"/>
        </w:rPr>
        <w:t>“包容性”</w:t>
      </w:r>
      <w:r>
        <w:rPr>
          <w:rFonts w:hint="default" w:ascii="Times New Roman Regular" w:hAnsi="Times New Roman Regular" w:cs="Times New Roman Regular"/>
        </w:rPr>
        <w:t>制度之间的区分（阿西莫格鲁等人2001年，在第34页讨论）。作者考察了不同殖民地的要素禀赋如何塑造了管理</w:t>
      </w:r>
      <w:r>
        <w:rPr>
          <w:rFonts w:hint="default" w:ascii="Times New Roman Regular" w:hAnsi="Times New Roman Regular" w:cs="Times New Roman Regular"/>
          <w:lang w:val="en-US"/>
        </w:rPr>
        <w:t>“产权和市场交易”</w:t>
      </w:r>
      <w:r>
        <w:rPr>
          <w:rFonts w:hint="default" w:ascii="Times New Roman Regular" w:hAnsi="Times New Roman Regular" w:cs="Times New Roman Regular"/>
        </w:rPr>
        <w:t>的制度（第33页）。其次，文章讨论了前殖民时期的国家结构，指出关于奴隶贸易是否破坏了前殖民时期非洲国家稳定性的争论（第54页），以及伊戈尔·科皮托夫（Igor Kopytoff /ˈkɒpɪtɒf/）对默多克（Murdock /ˈmɜːrdɒk/）族群地图的批评（第39-40页）。第三，后殖民国家能力通过研究不同殖民遗产如何影响后来国家发展的文献得到讨论，例如米格尔（2004年）对肯尼亚（Kenya /ˈkenjə/）与坦桑尼亚（Tanzania /ˌtænzəˈniːə/）国家建设政策的比较（第37页），以及巴克豪斯（2019年）关于波兰（Poland /ˈpoʊlənd/）在分治时期后教育趋同的研究（第37页）。</w:t>
      </w:r>
    </w:p>
    <w:p w14:paraId="0FD89FE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作者还讨论了国家能力持续或变化的机制。苏里亚纳拉亚南与怀特的研究表明，美国南方的白人精英</w:t>
      </w:r>
      <w:r>
        <w:rPr>
          <w:rFonts w:hint="default" w:ascii="Times New Roman Regular" w:hAnsi="Times New Roman Regular" w:cs="Times New Roman Regular"/>
          <w:lang w:val="en-US"/>
        </w:rPr>
        <w:t>“故意削弱了使有效税收征管成为可能的制度”</w:t>
      </w:r>
      <w:r>
        <w:rPr>
          <w:rFonts w:hint="default" w:ascii="Times New Roman Regular" w:hAnsi="Times New Roman Regular" w:cs="Times New Roman Regular"/>
        </w:rPr>
        <w:t>以防止再分配（第49页）。瓜尔达多（2018年）的研究考察了腐败的殖民官员——以西班牙帝国政府为各总督职位开出的价格来衡量——是否对治理产生了长期后果（第56-57页）。因此，本文将国家视为受历史偶然性和关键节点塑造的演变中的制度配置，而非静态实体。</w:t>
      </w:r>
    </w:p>
    <w:p w14:paraId="49B67ECA">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5A448B4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Argument: What is the core argument about the relationship between the independent and dependent variable(s)? / 论点：关于自变量与因变量之间关系的核心论点是什么？</w:t>
      </w:r>
    </w:p>
    <w:p w14:paraId="608DD0E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core argument of this review is that while persistence studies have produced valuable insights and brought history into mainstream social science, the literature has </w:t>
      </w:r>
      <w:r>
        <w:rPr>
          <w:rFonts w:hint="default" w:ascii="Times New Roman Regular" w:hAnsi="Times New Roman Regular" w:cs="Times New Roman Regular"/>
          <w:lang w:val="en-US"/>
        </w:rPr>
        <w:t>“overcorrected for past oversights”</w:t>
      </w:r>
      <w:r>
        <w:rPr>
          <w:rFonts w:hint="default" w:ascii="Times New Roman Regular" w:hAnsi="Times New Roman Regular" w:cs="Times New Roman Regular"/>
        </w:rPr>
        <w:t xml:space="preserve"> (p. 32). The authors contend that claims about deep historical roots of modern phenomena </w:t>
      </w:r>
      <w:r>
        <w:rPr>
          <w:rFonts w:hint="default" w:ascii="Times New Roman Regular" w:hAnsi="Times New Roman Regular" w:cs="Times New Roman Regular"/>
          <w:lang w:val="en-US"/>
        </w:rPr>
        <w:t>“should be met with healthy skepticism”</w:t>
      </w:r>
      <w:r>
        <w:rPr>
          <w:rFonts w:hint="default" w:ascii="Times New Roman Regular" w:hAnsi="Times New Roman Regular" w:cs="Times New Roman Regular"/>
        </w:rPr>
        <w:t xml:space="preserve"> (p. 32). They quote Karl Marx</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observation that </w:t>
      </w:r>
      <w:r>
        <w:rPr>
          <w:rFonts w:hint="default" w:ascii="Times New Roman Regular" w:hAnsi="Times New Roman Regular" w:cs="Times New Roman Regular"/>
          <w:lang w:val="en-US"/>
        </w:rPr>
        <w:t>“all that is solid melts into air”</w:t>
      </w:r>
      <w:r>
        <w:rPr>
          <w:rFonts w:hint="default" w:ascii="Times New Roman Regular" w:hAnsi="Times New Roman Regular" w:cs="Times New Roman Regular"/>
        </w:rPr>
        <w:t xml:space="preserve"> to emphasize how rapidly social attitudes, political institutions, economic outcomes, and human geography can change within a single lifetime (p. 32).</w:t>
      </w:r>
    </w:p>
    <w:p w14:paraId="62C0548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authors advance several interconnected arguments. First, they argue that many persistence papers are paradoxically also </w:t>
      </w:r>
      <w:r>
        <w:rPr>
          <w:rFonts w:hint="default" w:ascii="Times New Roman Regular" w:hAnsi="Times New Roman Regular" w:cs="Times New Roman Regular"/>
          <w:lang w:val="en-US"/>
        </w:rPr>
        <w:t>“anti-persistence”</w:t>
      </w:r>
      <w:r>
        <w:rPr>
          <w:rFonts w:hint="default" w:ascii="Times New Roman Regular" w:hAnsi="Times New Roman Regular" w:cs="Times New Roman Regular"/>
        </w:rPr>
        <w:t xml:space="preserve"> papers—demonstrating that interventions can successfully change institutions contradicts the notion of immutable historical determinism (pp. 35-38). For example, Alesina and Fuchs-Schündeln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(2007) study showing that Communist rule changed German preferences demonstrates that </w:t>
      </w:r>
      <w:r>
        <w:rPr>
          <w:rFonts w:hint="default" w:ascii="Times New Roman Regular" w:hAnsi="Times New Roman Regular" w:cs="Times New Roman Regular"/>
          <w:lang w:val="en-US"/>
        </w:rPr>
        <w:t>“interventions can change cultural attitudes as little as four decades”</w:t>
      </w:r>
      <w:r>
        <w:rPr>
          <w:rFonts w:hint="default" w:ascii="Times New Roman Regular" w:hAnsi="Times New Roman Regular" w:cs="Times New Roman Regular"/>
        </w:rPr>
        <w:t xml:space="preserve"> (p. 36).</w:t>
      </w:r>
    </w:p>
    <w:p w14:paraId="154E6F2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Second, the authors argue that the persistence literature suffers from publication bias. The </w:t>
      </w:r>
      <w:r>
        <w:rPr>
          <w:rFonts w:hint="default" w:ascii="Times New Roman Regular" w:hAnsi="Times New Roman Regular" w:cs="Times New Roman Regular"/>
          <w:lang w:val="en-US"/>
        </w:rPr>
        <w:t>“lack of clear historically-grounded mechanisms, combined with publication bias, opens the possibility that the literature is leading us to believe that there is more persistence than actually exists”</w:t>
      </w:r>
      <w:r>
        <w:rPr>
          <w:rFonts w:hint="default" w:ascii="Times New Roman Regular" w:hAnsi="Times New Roman Regular" w:cs="Times New Roman Regular"/>
        </w:rPr>
        <w:t xml:space="preserve"> (p. 35). Without clearly-specified mechanisms, </w:t>
      </w:r>
      <w:r>
        <w:rPr>
          <w:rFonts w:hint="default" w:ascii="Times New Roman Regular" w:hAnsi="Times New Roman Regular" w:cs="Times New Roman Regular"/>
          <w:lang w:val="en-US"/>
        </w:rPr>
        <w:t>“the scales will be weighted even further towards misidentifying spurious correlations and overstating the actual degree of persistence”</w:t>
      </w:r>
      <w:r>
        <w:rPr>
          <w:rFonts w:hint="default" w:ascii="Times New Roman Regular" w:hAnsi="Times New Roman Regular" w:cs="Times New Roman Regular"/>
        </w:rPr>
        <w:t xml:space="preserve"> (p. 35).</w:t>
      </w:r>
    </w:p>
    <w:p w14:paraId="67E3AE6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Third, they argue that persistence studies often rely on problematic historical data. Using the examples of Murdock</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African ethnic boundaries (described at the time as </w:t>
      </w:r>
      <w:r>
        <w:rPr>
          <w:rFonts w:hint="default" w:ascii="Times New Roman Regular" w:hAnsi="Times New Roman Regular" w:cs="Times New Roman Regular"/>
          <w:lang w:val="en-US"/>
        </w:rPr>
        <w:t>“a special menace,”</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rPr>
        <w:t>“dogmatic,”</w:t>
      </w:r>
      <w:r>
        <w:rPr>
          <w:rFonts w:hint="default" w:ascii="Times New Roman Regular" w:hAnsi="Times New Roman Regular" w:cs="Times New Roman Regular"/>
        </w:rPr>
        <w:t xml:space="preserve"> and </w:t>
      </w:r>
      <w:r>
        <w:rPr>
          <w:rFonts w:hint="default" w:ascii="Times New Roman Regular" w:hAnsi="Times New Roman Regular" w:cs="Times New Roman Regular"/>
          <w:lang w:val="en-US"/>
        </w:rPr>
        <w:t>“factually wrong”</w:t>
      </w:r>
      <w:r>
        <w:rPr>
          <w:rFonts w:hint="default" w:ascii="Times New Roman Regular" w:hAnsi="Times New Roman Regular" w:cs="Times New Roman Regular"/>
        </w:rPr>
        <w:t xml:space="preserve"> by contemporary scholars, p. 40) and pre-Columbian population estimates for Latin America (pp. 40-43), they show that </w:t>
      </w:r>
      <w:r>
        <w:rPr>
          <w:rFonts w:hint="default" w:ascii="Times New Roman Regular" w:hAnsi="Times New Roman Regular" w:cs="Times New Roman Regular"/>
          <w:lang w:val="en-US"/>
        </w:rPr>
        <w:t>“historical datasets will be found to have errors and will be superseded”</w:t>
      </w:r>
      <w:r>
        <w:rPr>
          <w:rFonts w:hint="default" w:ascii="Times New Roman Regular" w:hAnsi="Times New Roman Regular" w:cs="Times New Roman Regular"/>
        </w:rPr>
        <w:t xml:space="preserve"> (p. 38).</w:t>
      </w:r>
    </w:p>
    <w:p w14:paraId="476359F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Fourth, they argue that many persistence studies suffer from </w:t>
      </w:r>
      <w:r>
        <w:rPr>
          <w:rFonts w:hint="default" w:ascii="Times New Roman Regular" w:hAnsi="Times New Roman Regular" w:cs="Times New Roman Regular"/>
          <w:lang w:val="en-US"/>
        </w:rPr>
        <w:t>“the compression of history”</w:t>
      </w:r>
      <w:r>
        <w:rPr>
          <w:rFonts w:hint="default" w:ascii="Times New Roman Regular" w:hAnsi="Times New Roman Regular" w:cs="Times New Roman Regular"/>
        </w:rPr>
        <w:t>—regressing historical treatments on contemporary outcomes without checking intermediate periods (pp. 50-56). They demonstrate this by replicating Nunn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(2008) slave trade analysis across multiple years and finding that </w:t>
      </w:r>
      <w:r>
        <w:rPr>
          <w:rFonts w:hint="default" w:ascii="Times New Roman Regular" w:hAnsi="Times New Roman Regular" w:cs="Times New Roman Regular"/>
          <w:lang w:val="en-US"/>
        </w:rPr>
        <w:t>“the relationship between slave exports and GDP per capita grew stronger after independence”</w:t>
      </w:r>
      <w:r>
        <w:rPr>
          <w:rFonts w:hint="default" w:ascii="Times New Roman Regular" w:hAnsi="Times New Roman Regular" w:cs="Times New Roman Regular"/>
        </w:rPr>
        <w:t xml:space="preserve"> rather than being constant over time (p. 54).</w:t>
      </w:r>
    </w:p>
    <w:p w14:paraId="4C81556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Fifth, they argue that</w:t>
      </w:r>
      <w:r>
        <w:rPr>
          <w:rFonts w:hint="default" w:ascii="Times New Roman Regular" w:hAnsi="Times New Roman Regular" w:cs="Times New Roman Regular"/>
          <w:color w:val="0000FF"/>
        </w:rPr>
        <w:t xml:space="preserve"> spatial autocorrelation</w:t>
      </w:r>
      <w:r>
        <w:rPr>
          <w:rFonts w:hint="default" w:ascii="Times New Roman Regular" w:hAnsi="Times New Roman Regular" w:cs="Times New Roman Regular"/>
        </w:rPr>
        <w:t xml:space="preserve"> threatens many persistence findings. Geographic proximity creates similarities that can be mistaken for historical causation, leading to </w:t>
      </w:r>
      <w:r>
        <w:rPr>
          <w:rFonts w:hint="default" w:ascii="Times New Roman Regular" w:hAnsi="Times New Roman Regular" w:cs="Times New Roman Regular"/>
          <w:lang w:val="en-US"/>
        </w:rPr>
        <w:t>“inflated coefficients and understated standard errors”</w:t>
      </w:r>
      <w:r>
        <w:rPr>
          <w:rFonts w:hint="default" w:ascii="Times New Roman Regular" w:hAnsi="Times New Roman Regular" w:cs="Times New Roman Regular"/>
        </w:rPr>
        <w:t xml:space="preserve"> (p. 60).</w:t>
      </w:r>
    </w:p>
    <w:p w14:paraId="1A27C12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overarching argument is captured in the conclusion: </w:t>
      </w:r>
      <w:r>
        <w:rPr>
          <w:rFonts w:hint="default" w:ascii="Times New Roman Regular" w:hAnsi="Times New Roman Regular" w:cs="Times New Roman Regular"/>
          <w:lang w:val="en-US"/>
        </w:rPr>
        <w:t xml:space="preserve">“The past </w:t>
      </w:r>
      <w:bookmarkStart w:id="0" w:name="_GoBack"/>
      <w:bookmarkEnd w:id="0"/>
      <w:r>
        <w:rPr>
          <w:rFonts w:hint="default" w:ascii="Times New Roman Regular" w:hAnsi="Times New Roman Regular" w:cs="Times New Roman Regular"/>
          <w:lang w:val="en-US"/>
        </w:rPr>
        <w:t>matters but it is not a prison. It should come as no surprise that institutions and historical shocks persist over time. But institutions do not only persist they change and adapt. Societies can recover from institutional trauma and 'bad' institutions can be reformed”</w:t>
      </w:r>
      <w:r>
        <w:rPr>
          <w:rFonts w:hint="default" w:ascii="Times New Roman Regular" w:hAnsi="Times New Roman Regular" w:cs="Times New Roman Regular"/>
        </w:rPr>
        <w:t xml:space="preserve"> (p. 60).</w:t>
      </w:r>
    </w:p>
    <w:p w14:paraId="395E88F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本综述的核心论点是，虽然持续性研究产生了有价值的见解并将历史带入了主流社会科学，但这一文献</w:t>
      </w:r>
      <w:r>
        <w:rPr>
          <w:rFonts w:hint="default" w:ascii="Times New Roman Regular" w:hAnsi="Times New Roman Regular" w:cs="Times New Roman Regular"/>
          <w:lang w:val="en-US"/>
        </w:rPr>
        <w:t>“对过去的疏忽进行了过度纠正”</w:t>
      </w:r>
      <w:r>
        <w:rPr>
          <w:rFonts w:hint="default" w:ascii="Times New Roman Regular" w:hAnsi="Times New Roman Regular" w:cs="Times New Roman Regular"/>
        </w:rPr>
        <w:t>（第32页）。作者认为，关于现代现象深层历史根源的主张</w:t>
      </w:r>
      <w:r>
        <w:rPr>
          <w:rFonts w:hint="default" w:ascii="Times New Roman Regular" w:hAnsi="Times New Roman Regular" w:cs="Times New Roman Regular"/>
          <w:lang w:val="en-US"/>
        </w:rPr>
        <w:t>“应当以健康的怀疑态度来对待”</w:t>
      </w:r>
      <w:r>
        <w:rPr>
          <w:rFonts w:hint="default" w:ascii="Times New Roman Regular" w:hAnsi="Times New Roman Regular" w:cs="Times New Roman Regular"/>
        </w:rPr>
        <w:t>（第32页）。他们引用卡尔·马克思</w:t>
      </w:r>
      <w:r>
        <w:rPr>
          <w:rFonts w:hint="default" w:ascii="Times New Roman Regular" w:hAnsi="Times New Roman Regular" w:cs="Times New Roman Regular"/>
          <w:lang w:val="en-US"/>
        </w:rPr>
        <w:t>“一切坚固的东西都烟消云散了”</w:t>
      </w:r>
      <w:r>
        <w:rPr>
          <w:rFonts w:hint="default" w:ascii="Times New Roman Regular" w:hAnsi="Times New Roman Regular" w:cs="Times New Roman Regular"/>
        </w:rPr>
        <w:t>的观察，强调社会态度、政治制度、经济结果和人文地理可以在一代人的时间内迅速改变（第32页）。</w:t>
      </w:r>
    </w:p>
    <w:p w14:paraId="22B734E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作者提出了若干相互关联的论点。首先，他们认为许多持续性论文悖论性地也是</w:t>
      </w:r>
      <w:r>
        <w:rPr>
          <w:rFonts w:hint="default" w:ascii="Times New Roman Regular" w:hAnsi="Times New Roman Regular" w:cs="Times New Roman Regular"/>
          <w:lang w:val="en-US"/>
        </w:rPr>
        <w:t>“反持续性”</w:t>
      </w:r>
      <w:r>
        <w:rPr>
          <w:rFonts w:hint="default" w:ascii="Times New Roman Regular" w:hAnsi="Times New Roman Regular" w:cs="Times New Roman Regular"/>
        </w:rPr>
        <w:t>论文——证明干预可以成功改变制度，这与不可改变的历史决定论观念相矛盾（第35-38页）。例如，阿莱西纳与富克斯-舒恩德尔恩（2007年）的研究表明共产主义统治改变了德国人的偏好，证明</w:t>
      </w:r>
      <w:r>
        <w:rPr>
          <w:rFonts w:hint="default" w:ascii="Times New Roman Regular" w:hAnsi="Times New Roman Regular" w:cs="Times New Roman Regular"/>
          <w:lang w:val="en-US"/>
        </w:rPr>
        <w:t>“干预可以在短短四十年内改变文化态度”</w:t>
      </w:r>
      <w:r>
        <w:rPr>
          <w:rFonts w:hint="default" w:ascii="Times New Roman Regular" w:hAnsi="Times New Roman Regular" w:cs="Times New Roman Regular"/>
        </w:rPr>
        <w:t>（第36页）。</w:t>
      </w:r>
    </w:p>
    <w:p w14:paraId="0943426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其次，作者认为持续性文献受到发表偏倚的影响。</w:t>
      </w:r>
      <w:r>
        <w:rPr>
          <w:rFonts w:hint="default" w:ascii="Times New Roman Regular" w:hAnsi="Times New Roman Regular" w:cs="Times New Roman Regular"/>
          <w:lang w:val="en-US"/>
        </w:rPr>
        <w:t>“缺乏清晰的、基于历史的机制，加上发表偏倚，使得文献可能让我们相信存在比实际更多的持续性”</w:t>
      </w:r>
      <w:r>
        <w:rPr>
          <w:rFonts w:hint="default" w:ascii="Times New Roman Regular" w:hAnsi="Times New Roman Regular" w:cs="Times New Roman Regular"/>
        </w:rPr>
        <w:t>（第35页）。如果没有明确规定的机制，</w:t>
      </w:r>
      <w:r>
        <w:rPr>
          <w:rFonts w:hint="default" w:ascii="Times New Roman Regular" w:hAnsi="Times New Roman Regular" w:cs="Times New Roman Regular"/>
          <w:lang w:val="en-US"/>
        </w:rPr>
        <w:t>“天平将进一步偏向于错误识别虚假相关性和高估实际的持续程度”</w:t>
      </w:r>
      <w:r>
        <w:rPr>
          <w:rFonts w:hint="default" w:ascii="Times New Roman Regular" w:hAnsi="Times New Roman Regular" w:cs="Times New Roman Regular"/>
        </w:rPr>
        <w:t>（第35页）。</w:t>
      </w:r>
    </w:p>
    <w:p w14:paraId="036B309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第三，他们认为持续性研究经常依赖有问题的历史数据。以默多克的非洲族群边界（被当时的学者描述为</w:t>
      </w:r>
      <w:r>
        <w:rPr>
          <w:rFonts w:hint="default" w:ascii="Times New Roman Regular" w:hAnsi="Times New Roman Regular" w:cs="Times New Roman Regular"/>
          <w:lang w:val="en-US"/>
        </w:rPr>
        <w:t>“特殊的威胁”</w:t>
      </w:r>
      <w:r>
        <w:rPr>
          <w:rFonts w:hint="default" w:ascii="Times New Roman Regular" w:hAnsi="Times New Roman Regular" w:cs="Times New Roman Regular"/>
        </w:rPr>
        <w:t>、</w:t>
      </w:r>
      <w:r>
        <w:rPr>
          <w:rFonts w:hint="default" w:ascii="Times New Roman Regular" w:hAnsi="Times New Roman Regular" w:cs="Times New Roman Regular"/>
          <w:lang w:val="en-US"/>
        </w:rPr>
        <w:t>“教条主义的”</w:t>
      </w:r>
      <w:r>
        <w:rPr>
          <w:rFonts w:hint="default" w:ascii="Times New Roman Regular" w:hAnsi="Times New Roman Regular" w:cs="Times New Roman Regular"/>
        </w:rPr>
        <w:t>和</w:t>
      </w:r>
      <w:r>
        <w:rPr>
          <w:rFonts w:hint="default" w:ascii="Times New Roman Regular" w:hAnsi="Times New Roman Regular" w:cs="Times New Roman Regular"/>
          <w:lang w:val="en-US"/>
        </w:rPr>
        <w:t>“事实错误的”</w:t>
      </w:r>
      <w:r>
        <w:rPr>
          <w:rFonts w:hint="default" w:ascii="Times New Roman Regular" w:hAnsi="Times New Roman Regular" w:cs="Times New Roman Regular"/>
        </w:rPr>
        <w:t>，第40页）和拉丁美洲前哥伦布时期人口估计（第40-43页）为例，他们表明</w:t>
      </w:r>
      <w:r>
        <w:rPr>
          <w:rFonts w:hint="default" w:ascii="Times New Roman Regular" w:hAnsi="Times New Roman Regular" w:cs="Times New Roman Regular"/>
          <w:lang w:val="en-US"/>
        </w:rPr>
        <w:t>“历史数据集将被发现存在错误并将被取代”</w:t>
      </w:r>
      <w:r>
        <w:rPr>
          <w:rFonts w:hint="default" w:ascii="Times New Roman Regular" w:hAnsi="Times New Roman Regular" w:cs="Times New Roman Regular"/>
        </w:rPr>
        <w:t>（第38页）。</w:t>
      </w:r>
    </w:p>
    <w:p w14:paraId="6523270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第四，他们认为许多持续性研究存在</w:t>
      </w:r>
      <w:r>
        <w:rPr>
          <w:rFonts w:hint="default" w:ascii="Times New Roman Regular" w:hAnsi="Times New Roman Regular" w:cs="Times New Roman Regular"/>
          <w:lang w:val="en-US"/>
        </w:rPr>
        <w:t>“历史压缩”</w:t>
      </w:r>
      <w:r>
        <w:rPr>
          <w:rFonts w:hint="default" w:ascii="Times New Roman Regular" w:hAnsi="Times New Roman Regular" w:cs="Times New Roman Regular"/>
        </w:rPr>
        <w:t>问题——将历史处理变量对当代结果进行回归，却不检验中间时期（第50-56页）。他们通过在多个年份复制努恩（2008年）的奴隶贸易分析来证明这一点，发现</w:t>
      </w:r>
      <w:r>
        <w:rPr>
          <w:rFonts w:hint="default" w:ascii="Times New Roman Regular" w:hAnsi="Times New Roman Regular" w:cs="Times New Roman Regular"/>
          <w:lang w:val="en-US"/>
        </w:rPr>
        <w:t>“奴隶出口与人均GDP之间的关系在独立后变得更强”</w:t>
      </w:r>
      <w:r>
        <w:rPr>
          <w:rFonts w:hint="default" w:ascii="Times New Roman Regular" w:hAnsi="Times New Roman Regular" w:cs="Times New Roman Regular"/>
        </w:rPr>
        <w:t>，而非随时间保持恒定（第54页）。</w:t>
      </w:r>
    </w:p>
    <w:p w14:paraId="2931CA0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第五，他们认为空间自相关威胁着许多持续性研究的发现。地理邻近性产生的相似性可能被误认为历史因果关系，导致</w:t>
      </w:r>
      <w:r>
        <w:rPr>
          <w:rFonts w:hint="default" w:ascii="Times New Roman Regular" w:hAnsi="Times New Roman Regular" w:cs="Times New Roman Regular"/>
          <w:lang w:val="en-US"/>
        </w:rPr>
        <w:t>“膨胀的系数和低估的标准误”</w:t>
      </w:r>
      <w:r>
        <w:rPr>
          <w:rFonts w:hint="default" w:ascii="Times New Roman Regular" w:hAnsi="Times New Roman Regular" w:cs="Times New Roman Regular"/>
        </w:rPr>
        <w:t>（第60页）。</w:t>
      </w:r>
    </w:p>
    <w:p w14:paraId="6D9F28E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总体论点在结论中得到概括：</w:t>
      </w:r>
      <w:r>
        <w:rPr>
          <w:rFonts w:hint="default" w:ascii="Times New Roman Regular" w:hAnsi="Times New Roman Regular" w:cs="Times New Roman Regular"/>
          <w:lang w:val="en-US"/>
        </w:rPr>
        <w:t>“过去很重要，但它不是监狱。制度和历史冲击随时间持续存在并不令人惊讶。但制度不仅持续存在，它们也会改变和适应。社会可以从制度创伤中恢复，'坏'制度可以被改革”</w:t>
      </w:r>
      <w:r>
        <w:rPr>
          <w:rFonts w:hint="default" w:ascii="Times New Roman Regular" w:hAnsi="Times New Roman Regular" w:cs="Times New Roman Regular"/>
        </w:rPr>
        <w:t>（第60页）。</w:t>
      </w:r>
    </w:p>
    <w:p w14:paraId="125F5229">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1B45325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Mechanisms: What mechanisms are proposed to explain how the independent variable influences the outcome? / 机制：提出了哪些机制来解释自变量如何影响结果？</w:t>
      </w:r>
    </w:p>
    <w:p w14:paraId="1F5BA16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authors emphasize that </w:t>
      </w:r>
      <w:r>
        <w:rPr>
          <w:rFonts w:hint="default" w:ascii="Times New Roman Regular" w:hAnsi="Times New Roman Regular" w:cs="Times New Roman Regular"/>
          <w:lang w:val="en-US"/>
        </w:rPr>
        <w:t>“persistence studies need a convincing mechanism to explain what stops the effects of past events from dissipating. After all, people move, institutions change, and borders shift. Without mechanisms what you have is quantum persistence: spooky effects at a (temporal) distance”</w:t>
      </w:r>
      <w:r>
        <w:rPr>
          <w:rFonts w:hint="default" w:ascii="Times New Roman Regular" w:hAnsi="Times New Roman Regular" w:cs="Times New Roman Regular"/>
        </w:rPr>
        <w:t xml:space="preserve"> (p. 43). They review and critique various mechanisms proposed in the persistence literature.</w:t>
      </w:r>
    </w:p>
    <w:p w14:paraId="04368D5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Institutional inertia</w:t>
      </w:r>
      <w:r>
        <w:rPr>
          <w:rFonts w:hint="default" w:ascii="Times New Roman Regular" w:hAnsi="Times New Roman Regular" w:cs="Times New Roman Regular"/>
        </w:rPr>
        <w:t xml:space="preserve"> is one commonly proposed mechanism. The authors discuss how Douglass North</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framework proposes that institutions </w:t>
      </w:r>
      <w:r>
        <w:rPr>
          <w:rFonts w:hint="default" w:ascii="Times New Roman Regular" w:hAnsi="Times New Roman Regular" w:cs="Times New Roman Regular"/>
          <w:lang w:val="en-US"/>
        </w:rPr>
        <w:t>“might change — slowly! — over time”</w:t>
      </w:r>
      <w:r>
        <w:rPr>
          <w:rFonts w:hint="default" w:ascii="Times New Roman Regular" w:hAnsi="Times New Roman Regular" w:cs="Times New Roman Regular"/>
        </w:rPr>
        <w:t xml:space="preserve"> (p. 33). Historical institutionalists have long concerned themselves with </w:t>
      </w:r>
      <w:r>
        <w:rPr>
          <w:rFonts w:hint="default" w:ascii="Times New Roman Regular" w:hAnsi="Times New Roman Regular" w:cs="Times New Roman Regular"/>
          <w:lang w:val="en-US"/>
        </w:rPr>
        <w:t>“critical junctures,”</w:t>
      </w:r>
      <w:r>
        <w:rPr>
          <w:rFonts w:hint="default" w:ascii="Times New Roman Regular" w:hAnsi="Times New Roman Regular" w:cs="Times New Roman Regular"/>
        </w:rPr>
        <w:t xml:space="preserve"> during which radical institutional change is possible (p. 38). The implication is that between critical junctures, institutions persist through path dependence and self-reinforcing processes.</w:t>
      </w:r>
    </w:p>
    <w:p w14:paraId="15A2337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Cultural transmission</w:t>
      </w:r>
      <w:r>
        <w:rPr>
          <w:rFonts w:hint="default" w:ascii="Times New Roman Regular" w:hAnsi="Times New Roman Regular" w:cs="Times New Roman Regular"/>
        </w:rPr>
        <w:t xml:space="preserve"> is extensively discussed as a mechanism. Voigtländer and Voth (2012) showed that medieval pogroms in Germany /ˈdʒɜːrməni/ correlated geographically with anti-Semitic hostility after World War I. The association </w:t>
      </w:r>
      <w:r>
        <w:rPr>
          <w:rFonts w:hint="default" w:ascii="Times New Roman Regular" w:hAnsi="Times New Roman Regular" w:cs="Times New Roman Regular"/>
          <w:lang w:val="en-US"/>
        </w:rPr>
        <w:t>“weakens with higher levels of migration and in the Hanseatic trading cities, whose economic base required a modicum of tolerance to function”</w:t>
      </w:r>
      <w:r>
        <w:rPr>
          <w:rFonts w:hint="default" w:ascii="Times New Roman Regular" w:hAnsi="Times New Roman Regular" w:cs="Times New Roman Regular"/>
        </w:rPr>
        <w:t xml:space="preserve"> (p. 49)—providing evidence for the cultural transmission hypothesis. Lupu and Peisakhin (2017) found that descendants of Crimean /kraɪˈmiːən/ Tatars /ˈtɑːtərz/ who experienced more brutality during Stalin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/ˈstɑːlɪnz/ deportation are more likely to identify as Tatar and oppose Russian annexation, with </w:t>
      </w:r>
      <w:r>
        <w:rPr>
          <w:rFonts w:hint="default" w:ascii="Times New Roman Regular" w:hAnsi="Times New Roman Regular" w:cs="Times New Roman Regular"/>
          <w:lang w:val="en-US"/>
        </w:rPr>
        <w:t>“attitudes passed on through family ties”</w:t>
      </w:r>
      <w:r>
        <w:rPr>
          <w:rFonts w:hint="default" w:ascii="Times New Roman Regular" w:hAnsi="Times New Roman Regular" w:cs="Times New Roman Regular"/>
        </w:rPr>
        <w:t xml:space="preserve"> (p. 36). Chen et al. (2020) argue that China</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/ˈtʃaɪnəz/ imperial exam system created </w:t>
      </w:r>
      <w:r>
        <w:rPr>
          <w:rFonts w:hint="default" w:ascii="Times New Roman Regular" w:hAnsi="Times New Roman Regular" w:cs="Times New Roman Regular"/>
          <w:lang w:val="en-US"/>
        </w:rPr>
        <w:t>“pro-education traditions among elite families, which in turn passed those attributes on to their children and grandchildren”</w:t>
      </w:r>
      <w:r>
        <w:rPr>
          <w:rFonts w:hint="default" w:ascii="Times New Roman Regular" w:hAnsi="Times New Roman Regular" w:cs="Times New Roman Regular"/>
        </w:rPr>
        <w:t xml:space="preserve"> (p. 49).</w:t>
      </w:r>
    </w:p>
    <w:p w14:paraId="38F57DE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Agglomeration economies and complementarities</w:t>
      </w:r>
      <w:r>
        <w:rPr>
          <w:rFonts w:hint="default" w:ascii="Times New Roman Regular" w:hAnsi="Times New Roman Regular" w:cs="Times New Roman Regular"/>
        </w:rPr>
        <w:t xml:space="preserve"> are discussed as economic mechanisms. Comin et al. (2010) propose </w:t>
      </w:r>
      <w:r>
        <w:rPr>
          <w:rFonts w:hint="default" w:ascii="Times New Roman Regular" w:hAnsi="Times New Roman Regular" w:cs="Times New Roman Regular"/>
          <w:lang w:val="en-US"/>
        </w:rPr>
        <w:t>“path dependence deriving from complementarities between old and new technologies, adoption costs, and feedback effects that make further technological advance easier once past technologies have been mastered”</w:t>
      </w:r>
      <w:r>
        <w:rPr>
          <w:rFonts w:hint="default" w:ascii="Times New Roman Regular" w:hAnsi="Times New Roman Regular" w:cs="Times New Roman Regular"/>
        </w:rPr>
        <w:t xml:space="preserve"> (p. 44). However, the authors criticize this as purely theoretical without historical evidence.</w:t>
      </w:r>
    </w:p>
    <w:p w14:paraId="7DB325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Elite capture and political economy</w:t>
      </w:r>
      <w:r>
        <w:rPr>
          <w:rFonts w:hint="default" w:ascii="Times New Roman Regular" w:hAnsi="Times New Roman Regular" w:cs="Times New Roman Regular"/>
        </w:rPr>
        <w:t xml:space="preserve"> mechanisms are also reviewed. Dell (2010) proposes that haciendas protected peasants from colonial exploitation, saw more productivity growth due to more secure property rights, and were better able to mobilize for public investment (pp. 46-47). Suryanarayan and White show that white elites in the American South </w:t>
      </w:r>
      <w:r>
        <w:rPr>
          <w:rFonts w:hint="default" w:ascii="Times New Roman Regular" w:hAnsi="Times New Roman Regular" w:cs="Times New Roman Regular"/>
          <w:lang w:val="en-US"/>
        </w:rPr>
        <w:t>“deliberately weakened the institutions that enabled efficient tax collection”</w:t>
      </w:r>
      <w:r>
        <w:rPr>
          <w:rFonts w:hint="default" w:ascii="Times New Roman Regular" w:hAnsi="Times New Roman Regular" w:cs="Times New Roman Regular"/>
        </w:rPr>
        <w:t xml:space="preserve"> to prevent future redistribution (p. 49). Banerjee and Iyer (2005) propose that the Indian landlord system created </w:t>
      </w:r>
      <w:r>
        <w:rPr>
          <w:rFonts w:hint="default" w:ascii="Times New Roman Regular" w:hAnsi="Times New Roman Regular" w:cs="Times New Roman Regular"/>
          <w:lang w:val="en-US"/>
        </w:rPr>
        <w:t>“a polarized and conflictual political environment created by peasant 'memories of an oppressive and often absentee landlord class’”</w:t>
      </w:r>
      <w:r>
        <w:rPr>
          <w:rFonts w:hint="default" w:ascii="Times New Roman Regular" w:hAnsi="Times New Roman Regular" w:cs="Times New Roman Regular"/>
        </w:rPr>
        <w:t xml:space="preserve"> (p. 48).</w:t>
      </w:r>
    </w:p>
    <w:p w14:paraId="6D0B404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Intergroup complementarities</w:t>
      </w:r>
      <w:r>
        <w:rPr>
          <w:rFonts w:hint="default" w:ascii="Times New Roman Regular" w:hAnsi="Times New Roman Regular" w:cs="Times New Roman Regular"/>
        </w:rPr>
        <w:t xml:space="preserve"> are discussed through Jha</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(2013) study showing that medieval Indian trading cities were less likely to experience intercommunal violence because </w:t>
      </w:r>
      <w:r>
        <w:rPr>
          <w:rFonts w:hint="default" w:ascii="Times New Roman Regular" w:hAnsi="Times New Roman Regular" w:cs="Times New Roman Regular"/>
          <w:lang w:val="en-US"/>
        </w:rPr>
        <w:t>“patterns of occupational specialization by ethnicity”</w:t>
      </w:r>
      <w:r>
        <w:rPr>
          <w:rFonts w:hint="default" w:ascii="Times New Roman Regular" w:hAnsi="Times New Roman Regular" w:cs="Times New Roman Regular"/>
        </w:rPr>
        <w:t xml:space="preserve"> required </w:t>
      </w:r>
      <w:r>
        <w:rPr>
          <w:rFonts w:hint="default" w:ascii="Times New Roman Regular" w:hAnsi="Times New Roman Regular" w:cs="Times New Roman Regular"/>
          <w:lang w:val="en-US"/>
        </w:rPr>
        <w:t>“intergroup cooperation to function”</w:t>
      </w:r>
      <w:r>
        <w:rPr>
          <w:rFonts w:hint="default" w:ascii="Times New Roman Regular" w:hAnsi="Times New Roman Regular" w:cs="Times New Roman Regular"/>
        </w:rPr>
        <w:t xml:space="preserve"> (p. 49).</w:t>
      </w:r>
    </w:p>
    <w:p w14:paraId="5F39FA4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authors propose a novel mechanism through Giuliano and Nunn (2020): </w:t>
      </w:r>
      <w:r>
        <w:rPr>
          <w:rStyle w:val="7"/>
          <w:rFonts w:hint="default" w:ascii="Times New Roman Regular" w:hAnsi="Times New Roman Regular" w:cs="Times New Roman Regular"/>
        </w:rPr>
        <w:t>environmental stability</w:t>
      </w:r>
      <w:r>
        <w:rPr>
          <w:rFonts w:hint="default" w:ascii="Times New Roman Regular" w:hAnsi="Times New Roman Regular" w:cs="Times New Roman Regular"/>
        </w:rPr>
        <w:t xml:space="preserve">. Societies in more climatically stable environments show more persistence because </w:t>
      </w:r>
      <w:r>
        <w:rPr>
          <w:rFonts w:hint="default" w:ascii="Times New Roman Regular" w:hAnsi="Times New Roman Regular" w:cs="Times New Roman Regular"/>
          <w:lang w:val="en-US"/>
        </w:rPr>
        <w:t>“established practices would be less likely to be challenged in areas where the environment was more stable”</w:t>
      </w:r>
      <w:r>
        <w:rPr>
          <w:rFonts w:hint="default" w:ascii="Times New Roman Regular" w:hAnsi="Times New Roman Regular" w:cs="Times New Roman Regular"/>
        </w:rPr>
        <w:t xml:space="preserve"> (p. 50).</w:t>
      </w:r>
    </w:p>
    <w:p w14:paraId="278FF4B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Critically, the authors identify three problematic categories of mechanism specification: (1) studies relying on theoretical models </w:t>
      </w:r>
      <w:r>
        <w:rPr>
          <w:rFonts w:hint="default" w:ascii="Times New Roman Regular" w:hAnsi="Times New Roman Regular" w:cs="Times New Roman Regular"/>
          <w:lang w:val="en-US"/>
        </w:rPr>
        <w:t>“without historical evidence that they indeed operated”</w:t>
      </w:r>
      <w:r>
        <w:rPr>
          <w:rFonts w:hint="default" w:ascii="Times New Roman Regular" w:hAnsi="Times New Roman Regular" w:cs="Times New Roman Regular"/>
        </w:rPr>
        <w:t xml:space="preserve"> (p. 43); (2) studies confusing </w:t>
      </w:r>
      <w:r>
        <w:rPr>
          <w:rFonts w:hint="default" w:ascii="Times New Roman Regular" w:hAnsi="Times New Roman Regular" w:cs="Times New Roman Regular"/>
          <w:lang w:val="en-US"/>
        </w:rPr>
        <w:t>“alternative outcome measures with evidence of historical mechanisms”</w:t>
      </w:r>
      <w:r>
        <w:rPr>
          <w:rFonts w:hint="default" w:ascii="Times New Roman Regular" w:hAnsi="Times New Roman Regular" w:cs="Times New Roman Regular"/>
        </w:rPr>
        <w:t xml:space="preserve"> (p. 43); and (3) studies presenting </w:t>
      </w:r>
      <w:r>
        <w:rPr>
          <w:rFonts w:hint="default" w:ascii="Times New Roman Regular" w:hAnsi="Times New Roman Regular" w:cs="Times New Roman Regular"/>
          <w:lang w:val="en-US"/>
        </w:rPr>
        <w:t>“plausible mechanisms but tortur[ing] history in the process”</w:t>
      </w:r>
      <w:r>
        <w:rPr>
          <w:rFonts w:hint="default" w:ascii="Times New Roman Regular" w:hAnsi="Times New Roman Regular" w:cs="Times New Roman Regular"/>
        </w:rPr>
        <w:t xml:space="preserve"> (p. 43). They argue that </w:t>
      </w:r>
      <w:r>
        <w:rPr>
          <w:rFonts w:hint="default" w:ascii="Times New Roman Regular" w:hAnsi="Times New Roman Regular" w:cs="Times New Roman Regular"/>
          <w:lang w:val="en-US"/>
        </w:rPr>
        <w:t>“identifying convincing mechanisms implies paying attention to the history 'in the middle,' painfully constructing historical datasets, and sweating the details”</w:t>
      </w:r>
      <w:r>
        <w:rPr>
          <w:rFonts w:hint="default" w:ascii="Times New Roman Regular" w:hAnsi="Times New Roman Regular" w:cs="Times New Roman Regular"/>
        </w:rPr>
        <w:t xml:space="preserve"> (p. 50).</w:t>
      </w:r>
    </w:p>
    <w:p w14:paraId="04075C6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作者强调，</w:t>
      </w:r>
      <w:r>
        <w:rPr>
          <w:rFonts w:hint="default" w:ascii="Times New Roman Regular" w:hAnsi="Times New Roman Regular" w:cs="Times New Roman Regular"/>
          <w:lang w:val="en-US"/>
        </w:rPr>
        <w:t>“持续性研究需要一个令人信服的机制来解释是什么阻止了过去事件的效应消散。毕竟，人们会迁移，制度会改变，边界会转移。没有机制，你所拥有的就是量子持续性：（时间）距离上的诡异效应”</w:t>
      </w:r>
      <w:r>
        <w:rPr>
          <w:rFonts w:hint="default" w:ascii="Times New Roman Regular" w:hAnsi="Times New Roman Regular" w:cs="Times New Roman Regular"/>
        </w:rPr>
        <w:t>（第43页）。他们回顾并批评了持续性文献中提出的各种机制。</w:t>
      </w:r>
    </w:p>
    <w:p w14:paraId="259FF8D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制度惯性</w:t>
      </w:r>
      <w:r>
        <w:rPr>
          <w:rFonts w:hint="default" w:ascii="Times New Roman Regular" w:hAnsi="Times New Roman Regular" w:cs="Times New Roman Regular"/>
        </w:rPr>
        <w:t>是一种常见的提议机制。作者讨论了道格拉斯·诺斯的框架如何提出制度</w:t>
      </w:r>
      <w:r>
        <w:rPr>
          <w:rFonts w:hint="default" w:ascii="Times New Roman Regular" w:hAnsi="Times New Roman Regular" w:cs="Times New Roman Regular"/>
          <w:lang w:val="en-US"/>
        </w:rPr>
        <w:t>“可能随时间——缓慢地！——改变”</w:t>
      </w:r>
      <w:r>
        <w:rPr>
          <w:rFonts w:hint="default" w:ascii="Times New Roman Regular" w:hAnsi="Times New Roman Regular" w:cs="Times New Roman Regular"/>
        </w:rPr>
        <w:t>（第33页）。历史制度主义者长期以来关注</w:t>
      </w:r>
      <w:r>
        <w:rPr>
          <w:rFonts w:hint="default" w:ascii="Times New Roman Regular" w:hAnsi="Times New Roman Regular" w:cs="Times New Roman Regular"/>
          <w:lang w:val="en-US"/>
        </w:rPr>
        <w:t>“关键节点”</w:t>
      </w:r>
      <w:r>
        <w:rPr>
          <w:rFonts w:hint="default" w:ascii="Times New Roman Regular" w:hAnsi="Times New Roman Regular" w:cs="Times New Roman Regular"/>
        </w:rPr>
        <w:t>，在此期间激进的制度变革是可能的（第38页）。其含义是，在关键节点之间，制度通过路径依赖和自我强化过程而持续存在。</w:t>
      </w:r>
    </w:p>
    <w:p w14:paraId="51E7B90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文化传递</w:t>
      </w:r>
      <w:r>
        <w:rPr>
          <w:rFonts w:hint="default" w:ascii="Times New Roman Regular" w:hAnsi="Times New Roman Regular" w:cs="Times New Roman Regular"/>
        </w:rPr>
        <w:t>作为一种机制被广泛讨论。福伊格特兰德与福斯（2012年）表明，德国（Germany /ˈdʒɜːrməni/）中世纪的大屠杀在地理上与第一次世界大战后的反犹太敌意相关。这种关联</w:t>
      </w:r>
      <w:r>
        <w:rPr>
          <w:rFonts w:hint="default" w:ascii="Times New Roman Regular" w:hAnsi="Times New Roman Regular" w:cs="Times New Roman Regular"/>
          <w:lang w:val="en-US"/>
        </w:rPr>
        <w:t>“随着更高的移民水平和在汉萨贸易城市中而减弱，这些城市的经济基础需要一定程度的宽容才能运作”</w:t>
      </w:r>
      <w:r>
        <w:rPr>
          <w:rFonts w:hint="default" w:ascii="Times New Roman Regular" w:hAnsi="Times New Roman Regular" w:cs="Times New Roman Regular"/>
        </w:rPr>
        <w:t>（第49页）——为文化传递假说提供了证据。卢普与佩萨欣（2017年）发现，在斯大林（Stalin /ˈstɑːlɪnz/）驱逐期间经历了更多暴行的克里米亚（Crimean /kraɪˈmiːən/）鞑靼人（Tatars /ˈtɑːtərz/）后代更可能认同为鞑靼人并反对俄罗斯吞并，</w:t>
      </w:r>
      <w:r>
        <w:rPr>
          <w:rFonts w:hint="default" w:ascii="Times New Roman Regular" w:hAnsi="Times New Roman Regular" w:cs="Times New Roman Regular"/>
          <w:lang w:val="en-US"/>
        </w:rPr>
        <w:t>“态度通过家庭纽带传递”</w:t>
      </w:r>
      <w:r>
        <w:rPr>
          <w:rFonts w:hint="default" w:ascii="Times New Roman Regular" w:hAnsi="Times New Roman Regular" w:cs="Times New Roman Regular"/>
        </w:rPr>
        <w:t>（第36页）。陈等人（2020年）认为，中国（China /ˈtʃaɪnəz/）的科举考试制度在精英家庭中创造了</w:t>
      </w:r>
      <w:r>
        <w:rPr>
          <w:rFonts w:hint="default" w:ascii="Times New Roman Regular" w:hAnsi="Times New Roman Regular" w:cs="Times New Roman Regular"/>
          <w:lang w:val="en-US"/>
        </w:rPr>
        <w:t>“崇尚教育的传统，这些家庭反过来将这些属性传递给他们的子孙”</w:t>
      </w:r>
      <w:r>
        <w:rPr>
          <w:rFonts w:hint="default" w:ascii="Times New Roman Regular" w:hAnsi="Times New Roman Regular" w:cs="Times New Roman Regular"/>
        </w:rPr>
        <w:t>（第49页）。</w:t>
      </w:r>
    </w:p>
    <w:p w14:paraId="45FE1D4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聚集经济和互补性</w:t>
      </w:r>
      <w:r>
        <w:rPr>
          <w:rFonts w:hint="default" w:ascii="Times New Roman Regular" w:hAnsi="Times New Roman Regular" w:cs="Times New Roman Regular"/>
        </w:rPr>
        <w:t>被讨论为经济机制。科明等人（2010年）提出</w:t>
      </w:r>
      <w:r>
        <w:rPr>
          <w:rFonts w:hint="default" w:ascii="Times New Roman Regular" w:hAnsi="Times New Roman Regular" w:cs="Times New Roman Regular"/>
          <w:lang w:val="en-US"/>
        </w:rPr>
        <w:t>“源自新旧技术之间互补性的路径依赖、采用成本以及使进一步技术进步在掌握过去技术后变得更容易的反馈效应”</w:t>
      </w:r>
      <w:r>
        <w:rPr>
          <w:rFonts w:hint="default" w:ascii="Times New Roman Regular" w:hAnsi="Times New Roman Regular" w:cs="Times New Roman Regular"/>
        </w:rPr>
        <w:t>（第44页）。然而，作者批评这纯粹是理论性的，没有历史证据。</w:t>
      </w:r>
    </w:p>
    <w:p w14:paraId="5BEF480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精英俘获和政治经济学</w:t>
      </w:r>
      <w:r>
        <w:rPr>
          <w:rFonts w:hint="default" w:ascii="Times New Roman Regular" w:hAnsi="Times New Roman Regular" w:cs="Times New Roman Regular"/>
        </w:rPr>
        <w:t>机制也得到了回顾。戴尔（2010年）提出，庄园保护农民免受殖民剥削，由于更安全的产权而获得了更多的生产率增长，并更有能力动员公共投资（第46-47页）。苏里亚纳拉亚南与怀特表明，美国南方的白人精英</w:t>
      </w:r>
      <w:r>
        <w:rPr>
          <w:rFonts w:hint="default" w:ascii="Times New Roman Regular" w:hAnsi="Times New Roman Regular" w:cs="Times New Roman Regular"/>
          <w:lang w:val="en-US"/>
        </w:rPr>
        <w:t>“故意削弱了使有效税收征管成为可能的制度”</w:t>
      </w:r>
      <w:r>
        <w:rPr>
          <w:rFonts w:hint="default" w:ascii="Times New Roman Regular" w:hAnsi="Times New Roman Regular" w:cs="Times New Roman Regular"/>
        </w:rPr>
        <w:t>以防止未来的再分配（第49页）。班纳吉与艾耶尔（2005年）提出，印度地主制度创造了</w:t>
      </w:r>
      <w:r>
        <w:rPr>
          <w:rFonts w:hint="default" w:ascii="Times New Roman Regular" w:hAnsi="Times New Roman Regular" w:cs="Times New Roman Regular"/>
          <w:lang w:val="en-US"/>
        </w:rPr>
        <w:t>“由农民对'压迫性的、经常缺席的地主阶级'的记忆所创造的两极化和冲突性的政治环境”</w:t>
      </w:r>
      <w:r>
        <w:rPr>
          <w:rFonts w:hint="default" w:ascii="Times New Roman Regular" w:hAnsi="Times New Roman Regular" w:cs="Times New Roman Regular"/>
        </w:rPr>
        <w:t>（第48页）。</w:t>
      </w:r>
    </w:p>
    <w:p w14:paraId="3C9EDE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群体间互补性</w:t>
      </w:r>
      <w:r>
        <w:rPr>
          <w:rFonts w:hint="default" w:ascii="Times New Roman Regular" w:hAnsi="Times New Roman Regular" w:cs="Times New Roman Regular"/>
        </w:rPr>
        <w:t>通过贾（2013年）的研究得到讨论，该研究表明中世纪印度贸易城市不太可能经历社区间暴力，因为</w:t>
      </w:r>
      <w:r>
        <w:rPr>
          <w:rFonts w:hint="default" w:ascii="Times New Roman Regular" w:hAnsi="Times New Roman Regular" w:cs="Times New Roman Regular"/>
          <w:lang w:val="en-US"/>
        </w:rPr>
        <w:t>“按族群划分的职业专业化模式”</w:t>
      </w:r>
      <w:r>
        <w:rPr>
          <w:rFonts w:hint="default" w:ascii="Times New Roman Regular" w:hAnsi="Times New Roman Regular" w:cs="Times New Roman Regular"/>
        </w:rPr>
        <w:t>需要</w:t>
      </w:r>
      <w:r>
        <w:rPr>
          <w:rFonts w:hint="default" w:ascii="Times New Roman Regular" w:hAnsi="Times New Roman Regular" w:cs="Times New Roman Regular"/>
          <w:lang w:val="en-US"/>
        </w:rPr>
        <w:t>“群体间合作才能运作”</w:t>
      </w:r>
      <w:r>
        <w:rPr>
          <w:rFonts w:hint="default" w:ascii="Times New Roman Regular" w:hAnsi="Times New Roman Regular" w:cs="Times New Roman Regular"/>
        </w:rPr>
        <w:t>（第49页）。</w:t>
      </w:r>
    </w:p>
    <w:p w14:paraId="3E255E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作者通过朱利亚诺与努恩（2020年）提出了一种新颖的机制：</w:t>
      </w:r>
      <w:r>
        <w:rPr>
          <w:rStyle w:val="7"/>
          <w:rFonts w:hint="default" w:ascii="Times New Roman Regular" w:hAnsi="Times New Roman Regular" w:cs="Times New Roman Regular"/>
        </w:rPr>
        <w:t>环境稳定性</w:t>
      </w:r>
      <w:r>
        <w:rPr>
          <w:rFonts w:hint="default" w:ascii="Times New Roman Regular" w:hAnsi="Times New Roman Regular" w:cs="Times New Roman Regular"/>
        </w:rPr>
        <w:t>。气候更稳定的环境中的社会表现出更多的持续性，因为</w:t>
      </w:r>
      <w:r>
        <w:rPr>
          <w:rFonts w:hint="default" w:ascii="Times New Roman Regular" w:hAnsi="Times New Roman Regular" w:cs="Times New Roman Regular"/>
          <w:lang w:val="en-US"/>
        </w:rPr>
        <w:t>“在环境更稳定的地区，既定做法不太可能受到挑战”</w:t>
      </w:r>
      <w:r>
        <w:rPr>
          <w:rFonts w:hint="default" w:ascii="Times New Roman Regular" w:hAnsi="Times New Roman Regular" w:cs="Times New Roman Regular"/>
        </w:rPr>
        <w:t>（第50页）。</w:t>
      </w:r>
    </w:p>
    <w:p w14:paraId="526837C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批判性地，作者识别了三类有问题的机制规定：（1）依赖理论模型</w:t>
      </w:r>
      <w:r>
        <w:rPr>
          <w:rFonts w:hint="default" w:ascii="Times New Roman Regular" w:hAnsi="Times New Roman Regular" w:cs="Times New Roman Regular"/>
          <w:lang w:val="en-US"/>
        </w:rPr>
        <w:t>“而没有历史证据表明它们确实运作”</w:t>
      </w:r>
      <w:r>
        <w:rPr>
          <w:rFonts w:hint="default" w:ascii="Times New Roman Regular" w:hAnsi="Times New Roman Regular" w:cs="Times New Roman Regular"/>
        </w:rPr>
        <w:t>的研究（第43页）；（2）将</w:t>
      </w:r>
      <w:r>
        <w:rPr>
          <w:rFonts w:hint="default" w:ascii="Times New Roman Regular" w:hAnsi="Times New Roman Regular" w:cs="Times New Roman Regular"/>
          <w:lang w:val="en-US"/>
        </w:rPr>
        <w:t>“替代结果测量与历史机制的证据混淆”</w:t>
      </w:r>
      <w:r>
        <w:rPr>
          <w:rFonts w:hint="default" w:ascii="Times New Roman Regular" w:hAnsi="Times New Roman Regular" w:cs="Times New Roman Regular"/>
        </w:rPr>
        <w:t>的研究（第43页）；（3）提出</w:t>
      </w:r>
      <w:r>
        <w:rPr>
          <w:rFonts w:hint="default" w:ascii="Times New Roman Regular" w:hAnsi="Times New Roman Regular" w:cs="Times New Roman Regular"/>
          <w:lang w:val="en-US"/>
        </w:rPr>
        <w:t>“貌似合理的机制但在此过程中折磨历史”</w:t>
      </w:r>
      <w:r>
        <w:rPr>
          <w:rFonts w:hint="default" w:ascii="Times New Roman Regular" w:hAnsi="Times New Roman Regular" w:cs="Times New Roman Regular"/>
        </w:rPr>
        <w:t>的研究（第43页）。他们认为，</w:t>
      </w:r>
      <w:r>
        <w:rPr>
          <w:rFonts w:hint="default" w:ascii="Times New Roman Regular" w:hAnsi="Times New Roman Regular" w:cs="Times New Roman Regular"/>
          <w:lang w:val="en-US"/>
        </w:rPr>
        <w:t>“识别令人信服的机制意味着关注'中间的'历史，痛苦地构建历史数据集，并注重细节”</w:t>
      </w:r>
      <w:r>
        <w:rPr>
          <w:rFonts w:hint="default" w:ascii="Times New Roman Regular" w:hAnsi="Times New Roman Regular" w:cs="Times New Roman Regular"/>
        </w:rPr>
        <w:t>（第50页）。</w:t>
      </w:r>
    </w:p>
    <w:p w14:paraId="739FBE71">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0805F7E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Data: What data is used to test the argument? / 数据：使用什么数据来检验论点？</w:t>
      </w:r>
    </w:p>
    <w:p w14:paraId="46995E9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As a review article, this paper primarily synthesizes and reanalyzes existing studies rather than collecting original data. However, the authors conduct several replication exercises to support their methodological critiques.</w:t>
      </w:r>
    </w:p>
    <w:p w14:paraId="49B5F7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Geographic coverage</w:t>
      </w:r>
      <w:r>
        <w:rPr>
          <w:rFonts w:hint="default" w:ascii="Times New Roman Regular" w:hAnsi="Times New Roman Regular" w:cs="Times New Roman Regular"/>
        </w:rPr>
        <w:t>: The reviewed studies span the globe, with particular attention to Africa, Latin America, Europe, South Asia, and the United States. Specific regions discussed include: Germany (East and West), Austria /ˈɒstriə/, Crimea /kraɪˈmiːə/, Ukraine /juːˈkreɪn/, Poland, British and French Africa, Togoland /ˈtoʊɡoʊlænd/, Kenya, Tanzania, Peru /pəˈruː/, Bolivia /bəˈlɪviə/, Argentina /ˌɑːrdʒənˈtiːnə/, and various other American states and Latin American countries.</w:t>
      </w:r>
    </w:p>
    <w:p w14:paraId="022CE49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Time period</w:t>
      </w:r>
      <w:r>
        <w:rPr>
          <w:rFonts w:hint="default" w:ascii="Times New Roman Regular" w:hAnsi="Times New Roman Regular" w:cs="Times New Roman Regular"/>
        </w:rPr>
        <w:t>: The studies reviewed cover treatments ranging from 1000 B.C. (Comin et al. 2010) to the 20th century, with outcomes measured from the colonial period through the 2010s.</w:t>
      </w:r>
    </w:p>
    <w:p w14:paraId="36FD652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Unit of analysis</w:t>
      </w:r>
      <w:r>
        <w:rPr>
          <w:rFonts w:hint="default" w:ascii="Times New Roman Regular" w:hAnsi="Times New Roman Regular" w:cs="Times New Roman Regular"/>
        </w:rPr>
        <w:t xml:space="preserve">: The authors note that persistence studies operate at multiple levels—countries, provinces, municipalities, districts, and sometimes individuals. They discuss the shift around 2010 when </w:t>
      </w:r>
      <w:r>
        <w:rPr>
          <w:rFonts w:hint="default" w:ascii="Times New Roman Regular" w:hAnsi="Times New Roman Regular" w:cs="Times New Roman Regular"/>
          <w:lang w:val="en-US"/>
        </w:rPr>
        <w:t>“scholars realized that they could collect subnational data and test for long-term persistence within countries”</w:t>
      </w:r>
      <w:r>
        <w:rPr>
          <w:rFonts w:hint="default" w:ascii="Times New Roman Regular" w:hAnsi="Times New Roman Regular" w:cs="Times New Roman Regular"/>
        </w:rPr>
        <w:t xml:space="preserve"> (p. 34).</w:t>
      </w:r>
    </w:p>
    <w:p w14:paraId="122DADF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Replication data and exercises</w:t>
      </w:r>
      <w:r>
        <w:rPr>
          <w:rFonts w:hint="default" w:ascii="Times New Roman Regular" w:hAnsi="Times New Roman Regular" w:cs="Times New Roman Regular"/>
        </w:rPr>
        <w:t>:</w:t>
      </w:r>
    </w:p>
    <w:p w14:paraId="481D851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replicate Nunn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(2008) slave trade analysis using </w:t>
      </w:r>
      <w:r>
        <w:rPr>
          <w:rFonts w:hint="default" w:ascii="Times New Roman Regular" w:hAnsi="Times New Roman Regular" w:cs="Times New Roman Regular"/>
          <w:lang w:val="en-US"/>
        </w:rPr>
        <w:t>“new GDP per capita data from the latest release of the Maddison Project (2020) for every year between 1950 and 2018”</w:t>
      </w:r>
      <w:r>
        <w:rPr>
          <w:rFonts w:hint="default" w:ascii="Times New Roman Regular" w:hAnsi="Times New Roman Regular" w:cs="Times New Roman Regular"/>
        </w:rPr>
        <w:t xml:space="preserve"> (p. 54). They ran </w:t>
      </w:r>
      <w:r>
        <w:rPr>
          <w:rFonts w:hint="default" w:ascii="Times New Roman Regular" w:hAnsi="Times New Roman Regular" w:cs="Times New Roman Regular"/>
          <w:lang w:val="en-US"/>
        </w:rPr>
        <w:t>“the regressions from Table III of Nunn (2008)”</w:t>
      </w:r>
      <w:r>
        <w:rPr>
          <w:rFonts w:hint="default" w:ascii="Times New Roman Regular" w:hAnsi="Times New Roman Regular" w:cs="Times New Roman Regular"/>
        </w:rPr>
        <w:t xml:space="preserve"> with the sample reduced to 50 observations after dropping Somalia /səˈmɑːliə/ and the D.R. Congo /ˈkɒŋɡoʊ/ (p. 54). This exercise demonstrates how the slave trade coefficient and its significance varied over time (Figure 6, p. 55).</w:t>
      </w:r>
    </w:p>
    <w:p w14:paraId="2CB302A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For geographic robustness tests, the authors replicate three country-level studies (Acemoglu et al. 2002; Comin et al. 2010; Ashraf and Galor 2013) adding World Bank regional classifications as controls (Table 1, p. 58). For subnational analysis, they replicate Dell (2010) and Bruhn and Gallego (2012), adding latitude and longitude squared as controls (Table 2, p. 59).</w:t>
      </w:r>
    </w:p>
    <w:p w14:paraId="378101A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Data quality critiques</w:t>
      </w:r>
      <w:r>
        <w:rPr>
          <w:rFonts w:hint="default" w:ascii="Times New Roman Regular" w:hAnsi="Times New Roman Regular" w:cs="Times New Roman Regular"/>
        </w:rPr>
        <w:t>:</w:t>
      </w:r>
    </w:p>
    <w:p w14:paraId="1F90D48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extensively critique Murdock</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(1959) African ethnic boundaries data, noting it was criticized by contemporaries as </w:t>
      </w:r>
      <w:r>
        <w:rPr>
          <w:rFonts w:hint="default" w:ascii="Times New Roman Regular" w:hAnsi="Times New Roman Regular" w:cs="Times New Roman Regular"/>
          <w:lang w:val="en-US"/>
        </w:rPr>
        <w:t>“a special menace,”</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rPr>
        <w:t>“dogmatic,”</w:t>
      </w:r>
      <w:r>
        <w:rPr>
          <w:rFonts w:hint="default" w:ascii="Times New Roman Regular" w:hAnsi="Times New Roman Regular" w:cs="Times New Roman Regular"/>
        </w:rPr>
        <w:t xml:space="preserve"> and </w:t>
      </w:r>
      <w:r>
        <w:rPr>
          <w:rFonts w:hint="default" w:ascii="Times New Roman Regular" w:hAnsi="Times New Roman Regular" w:cs="Times New Roman Regular"/>
          <w:lang w:val="en-US"/>
        </w:rPr>
        <w:t>“factually wrong”</w:t>
      </w:r>
      <w:r>
        <w:rPr>
          <w:rFonts w:hint="default" w:ascii="Times New Roman Regular" w:hAnsi="Times New Roman Regular" w:cs="Times New Roman Regular"/>
        </w:rPr>
        <w:t xml:space="preserve"> (pp. 39-40). Linguists found that </w:t>
      </w:r>
      <w:r>
        <w:rPr>
          <w:rFonts w:hint="default" w:ascii="Times New Roman Regular" w:hAnsi="Times New Roman Regular" w:cs="Times New Roman Regular"/>
          <w:lang w:val="en-US"/>
        </w:rPr>
        <w:t>“a large proportion of the linguistic statements are incorrect, uncritical, or even meaningless”</w:t>
      </w:r>
      <w:r>
        <w:rPr>
          <w:rFonts w:hint="default" w:ascii="Times New Roman Regular" w:hAnsi="Times New Roman Regular" w:cs="Times New Roman Regular"/>
        </w:rPr>
        <w:t xml:space="preserve"> (p. 40). Historians noted it </w:t>
      </w:r>
      <w:r>
        <w:rPr>
          <w:rFonts w:hint="default" w:ascii="Times New Roman Regular" w:hAnsi="Times New Roman Regular" w:cs="Times New Roman Regular"/>
          <w:lang w:val="en-US"/>
        </w:rPr>
        <w:t>“can never become a standard handbook to the peoples of Africa”</w:t>
      </w:r>
      <w:r>
        <w:rPr>
          <w:rFonts w:hint="default" w:ascii="Times New Roman Regular" w:hAnsi="Times New Roman Regular" w:cs="Times New Roman Regular"/>
        </w:rPr>
        <w:t xml:space="preserve"> due to unreliable sources (p. 40).</w:t>
      </w:r>
    </w:p>
    <w:p w14:paraId="4B83C78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For Latin American pre-Columbian population estimates, the authors use Pyle (1992) and González (1992) to illustrate the uncertainty involved. They note the wide variation between </w:t>
      </w:r>
      <w:r>
        <w:rPr>
          <w:rFonts w:hint="default" w:ascii="Times New Roman Regular" w:hAnsi="Times New Roman Regular" w:cs="Times New Roman Regular"/>
          <w:lang w:val="en-US"/>
        </w:rPr>
        <w:t>“High Counters”</w:t>
      </w:r>
      <w:r>
        <w:rPr>
          <w:rFonts w:hint="default" w:ascii="Times New Roman Regular" w:hAnsi="Times New Roman Regular" w:cs="Times New Roman Regular"/>
        </w:rPr>
        <w:t xml:space="preserve"> (assuming &gt;90% depopulation) and </w:t>
      </w:r>
      <w:r>
        <w:rPr>
          <w:rFonts w:hint="default" w:ascii="Times New Roman Regular" w:hAnsi="Times New Roman Regular" w:cs="Times New Roman Regular"/>
          <w:lang w:val="en-US"/>
        </w:rPr>
        <w:t>“minimalists”</w:t>
      </w:r>
      <w:r>
        <w:rPr>
          <w:rFonts w:hint="default" w:ascii="Times New Roman Regular" w:hAnsi="Times New Roman Regular" w:cs="Times New Roman Regular"/>
        </w:rPr>
        <w:t xml:space="preserve"> (assuming ~20% depopulation) for New Spain /speɪn/ (p. 41). They provide a detailed example of estimating San Luis /sæn luˈis/ province in Argentina, showing how estimates depend on cumulative judgment calls and assumptions about depopulation rates from San Juan /sæn wɑːn/ (pp. 41-42).</w:t>
      </w:r>
    </w:p>
    <w:p w14:paraId="7921B38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作为一篇综述文章，本文主要综合和重新分析现有研究，而非收集原始数据。然而，作者进行了若干复制练习以支持其方法论批评。</w:t>
      </w:r>
    </w:p>
    <w:p w14:paraId="5F090A9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地理覆盖范围</w:t>
      </w:r>
      <w:r>
        <w:rPr>
          <w:rFonts w:hint="default" w:ascii="Times New Roman Regular" w:hAnsi="Times New Roman Regular" w:cs="Times New Roman Regular"/>
        </w:rPr>
        <w:t>：被综述的研究遍及全球，特别关注非洲、拉丁美洲、欧洲、南亚和美国。讨论的具体地区包括：德国（东德和西德）、奥地利（Austria /ˈɒstriə/）、克里米亚（Crimea /kraɪˈmiːə/）、乌克兰（Ukraine /juːˈkreɪn/）、波兰、英属和法属非洲、多哥兰（Togoland /ˈtoʊɡoʊlænd/）、肯尼亚、坦桑尼亚、秘鲁（Peru /pəˈruː/）、玻利维亚（Bolivia /bəˈlɪviə/）、阿根廷（Argentina /ˌɑːrdʒənˈtiːnə/）以及其他各种美国州和拉丁美洲国家。</w:t>
      </w:r>
    </w:p>
    <w:p w14:paraId="642BE34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时间段</w:t>
      </w:r>
      <w:r>
        <w:rPr>
          <w:rFonts w:hint="default" w:ascii="Times New Roman Regular" w:hAnsi="Times New Roman Regular" w:cs="Times New Roman Regular"/>
        </w:rPr>
        <w:t>：被综述的研究涵盖从公元前1000年（科明等人2010年）到20世纪的处理变量，结果测量从殖民时期到2010年代。</w:t>
      </w:r>
    </w:p>
    <w:p w14:paraId="3308DC4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分析单位</w:t>
      </w:r>
      <w:r>
        <w:rPr>
          <w:rFonts w:hint="default" w:ascii="Times New Roman Regular" w:hAnsi="Times New Roman Regular" w:cs="Times New Roman Regular"/>
        </w:rPr>
        <w:t>：作者指出，持续性研究在多个层面运作——国家、省份、市镇、地区，有时是个人。他们讨论了大约2010年的转变，当时</w:t>
      </w:r>
      <w:r>
        <w:rPr>
          <w:rFonts w:hint="default" w:ascii="Times New Roman Regular" w:hAnsi="Times New Roman Regular" w:cs="Times New Roman Regular"/>
          <w:lang w:val="en-US"/>
        </w:rPr>
        <w:t>“学者们意识到他们可以收集次国家级数据并在国家内部检验长期持续性”</w:t>
      </w:r>
      <w:r>
        <w:rPr>
          <w:rFonts w:hint="default" w:ascii="Times New Roman Regular" w:hAnsi="Times New Roman Regular" w:cs="Times New Roman Regular"/>
        </w:rPr>
        <w:t>（第34页）。</w:t>
      </w:r>
    </w:p>
    <w:p w14:paraId="36A37E0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复制数据和练习</w:t>
      </w:r>
      <w:r>
        <w:rPr>
          <w:rFonts w:hint="default" w:ascii="Times New Roman Regular" w:hAnsi="Times New Roman Regular" w:cs="Times New Roman Regular"/>
        </w:rPr>
        <w:t>：</w:t>
      </w:r>
    </w:p>
    <w:p w14:paraId="466A69D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作者使用</w:t>
      </w:r>
      <w:r>
        <w:rPr>
          <w:rFonts w:hint="default" w:ascii="Times New Roman Regular" w:hAnsi="Times New Roman Regular" w:cs="Times New Roman Regular"/>
          <w:lang w:val="en-US"/>
        </w:rPr>
        <w:t>“麦迪逊项目（2020年）最新发布的1950年至2018年每年的新人均GDP数据”</w:t>
      </w:r>
      <w:r>
        <w:rPr>
          <w:rFonts w:hint="default" w:ascii="Times New Roman Regular" w:hAnsi="Times New Roman Regular" w:cs="Times New Roman Regular"/>
        </w:rPr>
        <w:t>复制了努恩（2008年）的奴隶贸易分析（第54页）。他们运行了</w:t>
      </w:r>
      <w:r>
        <w:rPr>
          <w:rFonts w:hint="default" w:ascii="Times New Roman Regular" w:hAnsi="Times New Roman Regular" w:cs="Times New Roman Regular"/>
          <w:lang w:val="en-US"/>
        </w:rPr>
        <w:t>“努恩（2008年）表III的回归”</w:t>
      </w:r>
      <w:r>
        <w:rPr>
          <w:rFonts w:hint="default" w:ascii="Times New Roman Regular" w:hAnsi="Times New Roman Regular" w:cs="Times New Roman Regular"/>
        </w:rPr>
        <w:t>，在剔除索马里（Somalia /səˈmɑːliə/）和刚果民主共和国（D.R. Congo /ˈkɒŋɡoʊ/）后，样本减少到50个观测值（第54页）。这一练习展示了奴隶贸易系数及其显著性如何随时间变化（图6，第55页）。</w:t>
      </w:r>
    </w:p>
    <w:p w14:paraId="33517E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对于地理稳健性检验，作者复制了三项国家层面的研究（阿西莫格鲁等人2002年；科明等人2010年；阿什拉夫与加洛尔2013年），添加了世界银行区域分类作为控制变量（表1，第58页）。对于次国家级分析，他们复制了戴尔（2010年）和布伦与加列戈（2012年），添加了纬度和经度的平方作为控制变量（表2，第59页）。</w:t>
      </w:r>
    </w:p>
    <w:p w14:paraId="056FC82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数据质量批评</w:t>
      </w:r>
      <w:r>
        <w:rPr>
          <w:rFonts w:hint="default" w:ascii="Times New Roman Regular" w:hAnsi="Times New Roman Regular" w:cs="Times New Roman Regular"/>
        </w:rPr>
        <w:t>：</w:t>
      </w:r>
    </w:p>
    <w:p w14:paraId="688C9D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作者广泛批评了默多克（1959年）的非洲族群边界数据，指出它被同时代人批评为</w:t>
      </w:r>
      <w:r>
        <w:rPr>
          <w:rFonts w:hint="default" w:ascii="Times New Roman Regular" w:hAnsi="Times New Roman Regular" w:cs="Times New Roman Regular"/>
          <w:lang w:val="en-US"/>
        </w:rPr>
        <w:t>“特殊的威胁”</w:t>
      </w:r>
      <w:r>
        <w:rPr>
          <w:rFonts w:hint="default" w:ascii="Times New Roman Regular" w:hAnsi="Times New Roman Regular" w:cs="Times New Roman Regular"/>
        </w:rPr>
        <w:t>、</w:t>
      </w:r>
      <w:r>
        <w:rPr>
          <w:rFonts w:hint="default" w:ascii="Times New Roman Regular" w:hAnsi="Times New Roman Regular" w:cs="Times New Roman Regular"/>
          <w:lang w:val="en-US"/>
        </w:rPr>
        <w:t>“教条主义的”</w:t>
      </w:r>
      <w:r>
        <w:rPr>
          <w:rFonts w:hint="default" w:ascii="Times New Roman Regular" w:hAnsi="Times New Roman Regular" w:cs="Times New Roman Regular"/>
        </w:rPr>
        <w:t>和</w:t>
      </w:r>
      <w:r>
        <w:rPr>
          <w:rFonts w:hint="default" w:ascii="Times New Roman Regular" w:hAnsi="Times New Roman Regular" w:cs="Times New Roman Regular"/>
          <w:lang w:val="en-US"/>
        </w:rPr>
        <w:t>“事实错误的”</w:t>
      </w:r>
      <w:r>
        <w:rPr>
          <w:rFonts w:hint="default" w:ascii="Times New Roman Regular" w:hAnsi="Times New Roman Regular" w:cs="Times New Roman Regular"/>
        </w:rPr>
        <w:t>（第39-40页）。语言学家发现</w:t>
      </w:r>
      <w:r>
        <w:rPr>
          <w:rFonts w:hint="default" w:ascii="Times New Roman Regular" w:hAnsi="Times New Roman Regular" w:cs="Times New Roman Regular"/>
          <w:lang w:val="en-US"/>
        </w:rPr>
        <w:t>“很大比例的语言陈述是不正确的、不批判的或甚至是无意义的”</w:t>
      </w:r>
      <w:r>
        <w:rPr>
          <w:rFonts w:hint="default" w:ascii="Times New Roman Regular" w:hAnsi="Times New Roman Regular" w:cs="Times New Roman Regular"/>
        </w:rPr>
        <w:t>（第40页）。历史学家指出，由于不可靠的来源，它</w:t>
      </w:r>
      <w:r>
        <w:rPr>
          <w:rFonts w:hint="default" w:ascii="Times New Roman Regular" w:hAnsi="Times New Roman Regular" w:cs="Times New Roman Regular"/>
          <w:lang w:val="en-US"/>
        </w:rPr>
        <w:t>“永远不可能成为非洲各民族的标准手册”</w:t>
      </w:r>
      <w:r>
        <w:rPr>
          <w:rFonts w:hint="default" w:ascii="Times New Roman Regular" w:hAnsi="Times New Roman Regular" w:cs="Times New Roman Regular"/>
        </w:rPr>
        <w:t>（第40页）。</w:t>
      </w:r>
    </w:p>
    <w:p w14:paraId="46BDBA9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对于拉丁美洲前哥伦布时期的人口估计，作者使用派尔（1992年）和冈萨雷斯（1992年）来说明其中的不确定性。他们注意到对于新西班牙（New Spain /speɪn/），</w:t>
      </w:r>
      <w:r>
        <w:rPr>
          <w:rFonts w:hint="default" w:ascii="Times New Roman Regular" w:hAnsi="Times New Roman Regular" w:cs="Times New Roman Regular"/>
          <w:lang w:val="en-US"/>
        </w:rPr>
        <w:t>“高估者”</w:t>
      </w:r>
      <w:r>
        <w:rPr>
          <w:rFonts w:hint="default" w:ascii="Times New Roman Regular" w:hAnsi="Times New Roman Regular" w:cs="Times New Roman Regular"/>
        </w:rPr>
        <w:t>（假设&gt;90%的人口减少）与</w:t>
      </w:r>
      <w:r>
        <w:rPr>
          <w:rFonts w:hint="default" w:ascii="Times New Roman Regular" w:hAnsi="Times New Roman Regular" w:cs="Times New Roman Regular"/>
          <w:lang w:val="en-US"/>
        </w:rPr>
        <w:t>“低估者”</w:t>
      </w:r>
      <w:r>
        <w:rPr>
          <w:rFonts w:hint="default" w:ascii="Times New Roman Regular" w:hAnsi="Times New Roman Regular" w:cs="Times New Roman Regular"/>
        </w:rPr>
        <w:t>（假设约20%的人口减少）之间的巨大差异（第41页）。他们提供了估计阿根廷圣路易斯（San Luis /sæn luˈis/）省的详细例子，表明估计如何依赖于累积的判断和关于圣胡安（San Juan /sæn wɑːn/）人口减少率的假设（第41-42页）。</w:t>
      </w:r>
    </w:p>
    <w:p w14:paraId="7B038B69">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498F0EA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Methods: What methods are employed to assess the argument? / 方法：采用什么方法来评估论点？</w:t>
      </w:r>
    </w:p>
    <w:p w14:paraId="600C4DF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The authors employ multiple methodological approaches to assess their critical arguments about the persistence literature.</w:t>
      </w:r>
    </w:p>
    <w:p w14:paraId="23C3888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Narrative literature review</w:t>
      </w:r>
      <w:r>
        <w:rPr>
          <w:rFonts w:hint="default" w:ascii="Times New Roman Regular" w:hAnsi="Times New Roman Regular" w:cs="Times New Roman Regular"/>
        </w:rPr>
        <w:t>: The primary method is a critical synthesis of the persistence studies literature, organized thematically around common methodological pitfalls. The authors systematically review canonical studies to illustrate problems with data quality, mechanism specification, temporal compression, and spatial autocorrelation.</w:t>
      </w:r>
    </w:p>
    <w:p w14:paraId="6FFAC1B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Bibliometric analysis</w:t>
      </w:r>
      <w:r>
        <w:rPr>
          <w:rFonts w:hint="default" w:ascii="Times New Roman Regular" w:hAnsi="Times New Roman Regular" w:cs="Times New Roman Regular"/>
        </w:rPr>
        <w:t xml:space="preserve">: The authors present Figure 1 (p. 35), drawing on Cioni et al. (2021), showing </w:t>
      </w:r>
      <w:r>
        <w:rPr>
          <w:rFonts w:hint="default" w:ascii="Times New Roman Regular" w:hAnsi="Times New Roman Regular" w:cs="Times New Roman Regular"/>
          <w:lang w:val="en-US"/>
        </w:rPr>
        <w:t>“persistence studies as a share of all published articles on economic history”</w:t>
      </w:r>
      <w:r>
        <w:rPr>
          <w:rFonts w:hint="default" w:ascii="Times New Roman Regular" w:hAnsi="Times New Roman Regular" w:cs="Times New Roman Regular"/>
        </w:rPr>
        <w:t xml:space="preserve"> from 2001-2019. This quantifies the growth of the persistence literature and documents that </w:t>
      </w:r>
      <w:r>
        <w:rPr>
          <w:rFonts w:hint="default" w:ascii="Times New Roman Regular" w:hAnsi="Times New Roman Regular" w:cs="Times New Roman Regular"/>
          <w:lang w:val="en-US"/>
        </w:rPr>
        <w:t>“persistence studies have made the most headway in general interest economics journals”</w:t>
      </w:r>
      <w:r>
        <w:rPr>
          <w:rFonts w:hint="default" w:ascii="Times New Roman Regular" w:hAnsi="Times New Roman Regular" w:cs="Times New Roman Regular"/>
        </w:rPr>
        <w:t xml:space="preserve"> rather than specialized economic history journals.</w:t>
      </w:r>
    </w:p>
    <w:p w14:paraId="7A30750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Replication and robustness analysis</w:t>
      </w:r>
      <w:r>
        <w:rPr>
          <w:rFonts w:hint="default" w:ascii="Times New Roman Regular" w:hAnsi="Times New Roman Regular" w:cs="Times New Roman Regular"/>
        </w:rPr>
        <w:t>: The authors conduct original replication exercises. For Nunn (2008), they re-estimate the main specification for each year from 1950-2018 using updated Maddison Project data, producing time-series of coefficients and p-values (Figure 6, p. 55). This decompresses the history to test whether the relationship holds across intermediate periods.</w:t>
      </w:r>
    </w:p>
    <w:p w14:paraId="13F8B22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Geographic robustness tests</w:t>
      </w:r>
      <w:r>
        <w:rPr>
          <w:rFonts w:hint="default" w:ascii="Times New Roman Regular" w:hAnsi="Times New Roman Regular" w:cs="Times New Roman Regular"/>
        </w:rPr>
        <w:t>: Following Kelly (2020), the authors add World Bank regional dummies to cross-country regressions (Table 1, p. 58) and coordinates as controls to subnational regressions (Table 2, p. 59). These tests assess whether persistence findings survive controls for spatial trends.</w:t>
      </w:r>
    </w:p>
    <w:p w14:paraId="3F1B618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Assumptions for validity</w:t>
      </w:r>
      <w:r>
        <w:rPr>
          <w:rFonts w:hint="default" w:ascii="Times New Roman Regular" w:hAnsi="Times New Roman Regular" w:cs="Times New Roman Regular"/>
        </w:rPr>
        <w:t>: The authors articulate several assumptions that must hold for persistence study methods to be valid:</w:t>
      </w:r>
    </w:p>
    <w:p w14:paraId="05DFA916">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Historical data accuracy</w:t>
      </w:r>
      <w:r>
        <w:rPr>
          <w:rFonts w:hint="default" w:ascii="Times New Roman Regular" w:hAnsi="Times New Roman Regular" w:cs="Times New Roman Regular"/>
        </w:rPr>
        <w:t>: The historical treatment variable must be measured with reasonable accuracy. The authors show this assumption often fails, citing Murdock</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ethnic boundaries and pre-Columbian population estimates.</w:t>
      </w:r>
    </w:p>
    <w:p w14:paraId="271AD65A">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Exclusion restriction for instruments</w:t>
      </w:r>
      <w:r>
        <w:rPr>
          <w:rFonts w:hint="default" w:ascii="Times New Roman Regular" w:hAnsi="Times New Roman Regular" w:cs="Times New Roman Regular"/>
        </w:rPr>
        <w:t>: When instrumental variables are used, the instrument must affect outcomes only through the proposed channel. The authors question whether settler mortality (Acemoglu et al. 2001) or pre-Columbian population density satisfy this assumption.</w:t>
      </w:r>
    </w:p>
    <w:p w14:paraId="5C23972D">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Stable unit treatment value assumption (SUTVA)</w:t>
      </w:r>
      <w:r>
        <w:rPr>
          <w:rFonts w:hint="default" w:ascii="Times New Roman Regular" w:hAnsi="Times New Roman Regular" w:cs="Times New Roman Regular"/>
        </w:rPr>
        <w:t xml:space="preserve">: Units must be independent, but spatial autocorrelation violates this assumption. The authors note that </w:t>
      </w:r>
      <w:r>
        <w:rPr>
          <w:rFonts w:hint="default" w:ascii="Times New Roman Regular" w:hAnsi="Times New Roman Regular" w:cs="Times New Roman Regular"/>
          <w:lang w:val="en-US"/>
        </w:rPr>
        <w:t>“everything is related to everything else, but near things are more related than distant things”</w:t>
      </w:r>
      <w:r>
        <w:rPr>
          <w:rFonts w:hint="default" w:ascii="Times New Roman Regular" w:hAnsi="Times New Roman Regular" w:cs="Times New Roman Regular"/>
        </w:rPr>
        <w:t xml:space="preserve"> (Tobler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First Law of Geography, p. 57).</w:t>
      </w:r>
    </w:p>
    <w:p w14:paraId="0CD0B888">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Temporal stability of relationships</w:t>
      </w:r>
      <w:r>
        <w:rPr>
          <w:rFonts w:hint="default" w:ascii="Times New Roman Regular" w:hAnsi="Times New Roman Regular" w:cs="Times New Roman Regular"/>
        </w:rPr>
        <w:t>: The relationship between historical treatment and outcomes should be stable across time if the proposed mechanism operates consistently. The authors show this often fails by demonstrating how coefficients change across periods.</w:t>
      </w:r>
    </w:p>
    <w:p w14:paraId="312314DB">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No omitted variable bias</w:t>
      </w:r>
      <w:r>
        <w:rPr>
          <w:rFonts w:hint="default" w:ascii="Times New Roman Regular" w:hAnsi="Times New Roman Regular" w:cs="Times New Roman Regular"/>
        </w:rPr>
        <w:t>: Geographic factors may confound relationships between historical treatments and outcomes. The authors demonstrate that adding regional controls reduces coefficient magnitudes.</w:t>
      </w:r>
    </w:p>
    <w:p w14:paraId="3CF89AD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Categorization of studies</w:t>
      </w:r>
      <w:r>
        <w:rPr>
          <w:rFonts w:hint="default" w:ascii="Times New Roman Regular" w:hAnsi="Times New Roman Regular" w:cs="Times New Roman Regular"/>
        </w:rPr>
        <w:t xml:space="preserve">: The authors develop a useful typology distinguishing </w:t>
      </w:r>
      <w:r>
        <w:rPr>
          <w:rFonts w:hint="default" w:ascii="Times New Roman Regular" w:hAnsi="Times New Roman Regular" w:cs="Times New Roman Regular"/>
          <w:lang w:val="en-US"/>
        </w:rPr>
        <w:t>“apples to oranges”</w:t>
      </w:r>
      <w:r>
        <w:rPr>
          <w:rFonts w:hint="default" w:ascii="Times New Roman Regular" w:hAnsi="Times New Roman Regular" w:cs="Times New Roman Regular"/>
        </w:rPr>
        <w:t xml:space="preserve"> studies (economic outcomes, non-economic treatments) from </w:t>
      </w:r>
      <w:r>
        <w:rPr>
          <w:rFonts w:hint="default" w:ascii="Times New Roman Regular" w:hAnsi="Times New Roman Regular" w:cs="Times New Roman Regular"/>
          <w:lang w:val="en-US"/>
        </w:rPr>
        <w:t>“apples to apples”</w:t>
      </w:r>
      <w:r>
        <w:rPr>
          <w:rFonts w:hint="default" w:ascii="Times New Roman Regular" w:hAnsi="Times New Roman Regular" w:cs="Times New Roman Regular"/>
        </w:rPr>
        <w:t xml:space="preserve"> studies (non-economic outcomes and treatments) (p. 34), and identify three categories of problematic mechanism specification (p. 43).</w:t>
      </w:r>
    </w:p>
    <w:p w14:paraId="09234C9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作者采用多种方法论途径来评估他们对持续性文献的批判性论点。</w:t>
      </w:r>
    </w:p>
    <w:p w14:paraId="4377C4F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叙述性文献综述</w:t>
      </w:r>
      <w:r>
        <w:rPr>
          <w:rFonts w:hint="default" w:ascii="Times New Roman Regular" w:hAnsi="Times New Roman Regular" w:cs="Times New Roman Regular"/>
        </w:rPr>
        <w:t>：主要方法是对持续性研究文献的批判性综合，按常见方法论陷阱的主题组织。作者系统地回顾经典研究，以说明数据质量、机制规定、时间压缩和空间自相关方面的问题。</w:t>
      </w:r>
    </w:p>
    <w:p w14:paraId="3164EE3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文献计量分析</w:t>
      </w:r>
      <w:r>
        <w:rPr>
          <w:rFonts w:hint="default" w:ascii="Times New Roman Regular" w:hAnsi="Times New Roman Regular" w:cs="Times New Roman Regular"/>
        </w:rPr>
        <w:t>：作者呈现了图1（第35页），引用西奥尼等人（2021年），展示了2001-2019年</w:t>
      </w:r>
      <w:r>
        <w:rPr>
          <w:rFonts w:hint="default" w:ascii="Times New Roman Regular" w:hAnsi="Times New Roman Regular" w:cs="Times New Roman Regular"/>
          <w:lang w:val="en-US"/>
        </w:rPr>
        <w:t>“持续性研究占所有发表的经济史文章的份额”</w:t>
      </w:r>
      <w:r>
        <w:rPr>
          <w:rFonts w:hint="default" w:ascii="Times New Roman Regular" w:hAnsi="Times New Roman Regular" w:cs="Times New Roman Regular"/>
        </w:rPr>
        <w:t>。这量化了持续性文献的增长，并记录了</w:t>
      </w:r>
      <w:r>
        <w:rPr>
          <w:rFonts w:hint="default" w:ascii="Times New Roman Regular" w:hAnsi="Times New Roman Regular" w:cs="Times New Roman Regular"/>
          <w:lang w:val="en-US"/>
        </w:rPr>
        <w:t>“持续性研究在通用经济学期刊中取得了最大进展”</w:t>
      </w:r>
      <w:r>
        <w:rPr>
          <w:rFonts w:hint="default" w:ascii="Times New Roman Regular" w:hAnsi="Times New Roman Regular" w:cs="Times New Roman Regular"/>
        </w:rPr>
        <w:t>，而非专业经济史期刊。</w:t>
      </w:r>
    </w:p>
    <w:p w14:paraId="17ABB44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复制和稳健性分析</w:t>
      </w:r>
      <w:r>
        <w:rPr>
          <w:rFonts w:hint="default" w:ascii="Times New Roman Regular" w:hAnsi="Times New Roman Regular" w:cs="Times New Roman Regular"/>
        </w:rPr>
        <w:t>：作者进行原创性复制练习。对于努恩（2008年），他们使用更新的麦迪逊项目数据对1950-2018年的每一年重新估计主要规范，产生系数和p值的时间序列（图6，第55页）。这解压了历史以检验关系是否在中间时期成立。</w:t>
      </w:r>
    </w:p>
    <w:p w14:paraId="484D4F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地理稳健性检验</w:t>
      </w:r>
      <w:r>
        <w:rPr>
          <w:rFonts w:hint="default" w:ascii="Times New Roman Regular" w:hAnsi="Times New Roman Regular" w:cs="Times New Roman Regular"/>
        </w:rPr>
        <w:t>：遵循凯利（2020年），作者在跨国回归中添加世界银行区域虚拟变量（表1，第58页），并在次国家级回归中添加坐标作为控制变量（表2，第59页）。这些检验评估持续性发现是否在控制空间趋势后仍然成立。</w:t>
      </w:r>
    </w:p>
    <w:p w14:paraId="47C2692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有效性假设</w:t>
      </w:r>
      <w:r>
        <w:rPr>
          <w:rFonts w:hint="default" w:ascii="Times New Roman Regular" w:hAnsi="Times New Roman Regular" w:cs="Times New Roman Regular"/>
        </w:rPr>
        <w:t>：作者阐明了持续性研究方法有效所必须满足的若干假设：</w:t>
      </w:r>
    </w:p>
    <w:p w14:paraId="1DD9F1DD">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历史数据准确性</w:t>
      </w:r>
      <w:r>
        <w:rPr>
          <w:rFonts w:hint="default" w:ascii="Times New Roman Regular" w:hAnsi="Times New Roman Regular" w:cs="Times New Roman Regular"/>
        </w:rPr>
        <w:t>：历史处理变量必须以合理的准确性测量。作者表明这一假设经常失败，引用了默多克的族群边界和前哥伦布时期人口估计。</w:t>
      </w:r>
    </w:p>
    <w:p w14:paraId="4370D482">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工具变量的排他性限制</w:t>
      </w:r>
      <w:r>
        <w:rPr>
          <w:rFonts w:hint="default" w:ascii="Times New Roman Regular" w:hAnsi="Times New Roman Regular" w:cs="Times New Roman Regular"/>
        </w:rPr>
        <w:t>：当使用工具变量时，工具必须只通过提议的渠道影响结果。作者质疑定居者死亡率（阿西莫格鲁等人2001年）或前哥伦布时期人口密度是否满足这一假设。</w:t>
      </w:r>
    </w:p>
    <w:p w14:paraId="528B4DBF">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稳定单位处理值假设（SUTVA）</w:t>
      </w:r>
      <w:r>
        <w:rPr>
          <w:rFonts w:hint="default" w:ascii="Times New Roman Regular" w:hAnsi="Times New Roman Regular" w:cs="Times New Roman Regular"/>
        </w:rPr>
        <w:t>：单位必须独立，但空间自相关违反了这一假设。作者指出</w:t>
      </w:r>
      <w:r>
        <w:rPr>
          <w:rFonts w:hint="default" w:ascii="Times New Roman Regular" w:hAnsi="Times New Roman Regular" w:cs="Times New Roman Regular"/>
          <w:lang w:val="en-US"/>
        </w:rPr>
        <w:t>“一切事物都与其他一切事物相关，但近处的事物比远处的事物关系更密切”</w:t>
      </w:r>
      <w:r>
        <w:rPr>
          <w:rFonts w:hint="default" w:ascii="Times New Roman Regular" w:hAnsi="Times New Roman Regular" w:cs="Times New Roman Regular"/>
        </w:rPr>
        <w:t>（托布勒地理学第一定律，第57页）。</w:t>
      </w:r>
    </w:p>
    <w:p w14:paraId="5D2E3F17">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关系的时间稳定性</w:t>
      </w:r>
      <w:r>
        <w:rPr>
          <w:rFonts w:hint="default" w:ascii="Times New Roman Regular" w:hAnsi="Times New Roman Regular" w:cs="Times New Roman Regular"/>
        </w:rPr>
        <w:t>：如果提议的机制一致运作，历史处理与结果之间的关系应该随时间保持稳定。作者通过展示系数如何跨时期变化来表明这经常失败。</w:t>
      </w:r>
    </w:p>
    <w:p w14:paraId="17DC76E0">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无遗漏变量偏误</w:t>
      </w:r>
      <w:r>
        <w:rPr>
          <w:rFonts w:hint="default" w:ascii="Times New Roman Regular" w:hAnsi="Times New Roman Regular" w:cs="Times New Roman Regular"/>
        </w:rPr>
        <w:t>：地理因素可能混淆历史处理与结果之间的关系。作者证明添加区域控制变量会减少系数大小。</w:t>
      </w:r>
    </w:p>
    <w:p w14:paraId="53365BB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研究分类</w:t>
      </w:r>
      <w:r>
        <w:rPr>
          <w:rFonts w:hint="default" w:ascii="Times New Roman Regular" w:hAnsi="Times New Roman Regular" w:cs="Times New Roman Regular"/>
        </w:rPr>
        <w:t>：作者发展了一个有用的类型学，区分</w:t>
      </w:r>
      <w:r>
        <w:rPr>
          <w:rFonts w:hint="default" w:ascii="Times New Roman Regular" w:hAnsi="Times New Roman Regular" w:cs="Times New Roman Regular"/>
          <w:lang w:val="en-US"/>
        </w:rPr>
        <w:t>“苹果对橘子”</w:t>
      </w:r>
      <w:r>
        <w:rPr>
          <w:rFonts w:hint="default" w:ascii="Times New Roman Regular" w:hAnsi="Times New Roman Regular" w:cs="Times New Roman Regular"/>
        </w:rPr>
        <w:t>研究（经济结果，非经济处理）与</w:t>
      </w:r>
      <w:r>
        <w:rPr>
          <w:rFonts w:hint="default" w:ascii="Times New Roman Regular" w:hAnsi="Times New Roman Regular" w:cs="Times New Roman Regular"/>
          <w:lang w:val="en-US"/>
        </w:rPr>
        <w:t>“苹果对苹果”</w:t>
      </w:r>
      <w:r>
        <w:rPr>
          <w:rFonts w:hint="default" w:ascii="Times New Roman Regular" w:hAnsi="Times New Roman Regular" w:cs="Times New Roman Regular"/>
        </w:rPr>
        <w:t>研究（非经济结果和处理）（第34页），并识别了三类有问题的机制规定（第43页）。</w:t>
      </w:r>
    </w:p>
    <w:p w14:paraId="37695C14">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7064592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Contribution: What would the academia see as the reading</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main contribution? / 贡献：学术界会认为这篇文献的主要贡献是什么？</w:t>
      </w:r>
    </w:p>
    <w:p w14:paraId="6864B3B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This review article makes several significant contributions to historical political economy and economic history.</w:t>
      </w:r>
    </w:p>
    <w:p w14:paraId="19CD34C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Methodological systematization</w:t>
      </w:r>
      <w:r>
        <w:rPr>
          <w:rFonts w:hint="default" w:ascii="Times New Roman Regular" w:hAnsi="Times New Roman Regular" w:cs="Times New Roman Regular"/>
        </w:rPr>
        <w:t>: The paper provides a comprehensive framework for evaluating persistence studies, identifying five major pitfalls: (1) failure to recognize anti-persistence; (2) vague or undemonstrated mechanisms; (3) problematic historical data; (4) compression of history; and (5) spatial autocorrelation. This taxonomy gives researchers a practical checklist for both evaluating existing studies and designing new ones.</w:t>
      </w:r>
    </w:p>
    <w:p w14:paraId="3BFBCB0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Intellectual history of a subfield</w:t>
      </w:r>
      <w:r>
        <w:rPr>
          <w:rFonts w:hint="default" w:ascii="Times New Roman Regular" w:hAnsi="Times New Roman Regular" w:cs="Times New Roman Regular"/>
        </w:rPr>
        <w:t>: The authors provide a concise but informative history of how persistence studies emerged from the work of Engerman and Sokoloff (1997) and Acemoglu et al. (2001), documenting the bibliometric growth of the field and its increasing presence in general interest economics journals versus specialized economic history outlets (Figure 1, p. 35).</w:t>
      </w:r>
    </w:p>
    <w:p w14:paraId="4717E80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Reframing persistence as anti-persistence</w:t>
      </w:r>
      <w:r>
        <w:rPr>
          <w:rFonts w:hint="default" w:ascii="Times New Roman Regular" w:hAnsi="Times New Roman Regular" w:cs="Times New Roman Regular"/>
        </w:rPr>
        <w:t>: Perhaps the paper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most counterintuitive contribution is the observation that </w:t>
      </w:r>
      <w:r>
        <w:rPr>
          <w:rFonts w:hint="default" w:ascii="Times New Roman Regular" w:hAnsi="Times New Roman Regular" w:cs="Times New Roman Regular"/>
          <w:lang w:val="en-US"/>
        </w:rPr>
        <w:t>“many persistence papers are also anti-persistence papers”</w:t>
      </w:r>
      <w:r>
        <w:rPr>
          <w:rFonts w:hint="default" w:ascii="Times New Roman Regular" w:hAnsi="Times New Roman Regular" w:cs="Times New Roman Regular"/>
        </w:rPr>
        <w:t xml:space="preserve"> (p. 35). Finding that colonial institutions persist implies that precolonial institutions did not persist. This reframing fundamentally challenges the deterministic interpretation of persistence findings and opens space for studying institutional change.</w:t>
      </w:r>
    </w:p>
    <w:p w14:paraId="1A7723A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Historical data quality awareness</w:t>
      </w:r>
      <w:r>
        <w:rPr>
          <w:rFonts w:hint="default" w:ascii="Times New Roman Regular" w:hAnsi="Times New Roman Regular" w:cs="Times New Roman Regular"/>
        </w:rPr>
        <w:t>: The detailed critiques of Murdock</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African ethnic data and pre-Columbian population estimates serve as cautionary tales for researchers using historical sources. The authors demonstrate that </w:t>
      </w:r>
      <w:r>
        <w:rPr>
          <w:rFonts w:hint="default" w:ascii="Times New Roman Regular" w:hAnsi="Times New Roman Regular" w:cs="Times New Roman Regular"/>
          <w:lang w:val="en-US"/>
        </w:rPr>
        <w:t>“historical datasets will be found to have errors and will be superseded”</w:t>
      </w:r>
      <w:r>
        <w:rPr>
          <w:rFonts w:hint="default" w:ascii="Times New Roman Regular" w:hAnsi="Times New Roman Regular" w:cs="Times New Roman Regular"/>
        </w:rPr>
        <w:t xml:space="preserve"> (p. 38) and that persistence studies </w:t>
      </w:r>
      <w:r>
        <w:rPr>
          <w:rFonts w:hint="default" w:ascii="Times New Roman Regular" w:hAnsi="Times New Roman Regular" w:cs="Times New Roman Regular"/>
          <w:lang w:val="en-US"/>
        </w:rPr>
        <w:t>“need to make sure that the data are the best available and suited to the questions that persistence studies pose”</w:t>
      </w:r>
      <w:r>
        <w:rPr>
          <w:rFonts w:hint="default" w:ascii="Times New Roman Regular" w:hAnsi="Times New Roman Regular" w:cs="Times New Roman Regular"/>
        </w:rPr>
        <w:t xml:space="preserve"> (p. 38).</w:t>
      </w:r>
    </w:p>
    <w:p w14:paraId="6308991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Demonstrating the importance of temporal robustness</w:t>
      </w:r>
      <w:r>
        <w:rPr>
          <w:rFonts w:hint="default" w:ascii="Times New Roman Regular" w:hAnsi="Times New Roman Regular" w:cs="Times New Roman Regular"/>
        </w:rPr>
        <w:t xml:space="preserve">: The replication of Nunn (2008) across multiple years demonstrates concretely how persistence relationships can change over time. The finding that </w:t>
      </w:r>
      <w:r>
        <w:rPr>
          <w:rFonts w:hint="default" w:ascii="Times New Roman Regular" w:hAnsi="Times New Roman Regular" w:cs="Times New Roman Regular"/>
          <w:lang w:val="en-US"/>
        </w:rPr>
        <w:t>“the unconstrained relationship between the slave trade and income only emerges after independence and grows stronger across time”</w:t>
      </w:r>
      <w:r>
        <w:rPr>
          <w:rFonts w:hint="default" w:ascii="Times New Roman Regular" w:hAnsi="Times New Roman Regular" w:cs="Times New Roman Regular"/>
        </w:rPr>
        <w:t xml:space="preserve"> (p. 54) suggests that many persistence studies may be capturing period-specific rather than timeless relationships.</w:t>
      </w:r>
    </w:p>
    <w:p w14:paraId="46B805F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Spatial econometrics awareness</w:t>
      </w:r>
      <w:r>
        <w:rPr>
          <w:rFonts w:hint="default" w:ascii="Times New Roman Regular" w:hAnsi="Times New Roman Regular" w:cs="Times New Roman Regular"/>
        </w:rPr>
        <w:t xml:space="preserve">: By synthesizing Kelly (2019, 2020) and conducting their own robustness tests, the authors bring attention to how spatial autocorrelation can </w:t>
      </w:r>
      <w:r>
        <w:rPr>
          <w:rFonts w:hint="default" w:ascii="Times New Roman Regular" w:hAnsi="Times New Roman Regular" w:cs="Times New Roman Regular"/>
          <w:lang w:val="en-US"/>
        </w:rPr>
        <w:t>“lead to inflated coefficients and understated standard errors”</w:t>
      </w:r>
      <w:r>
        <w:rPr>
          <w:rFonts w:hint="default" w:ascii="Times New Roman Regular" w:hAnsi="Times New Roman Regular" w:cs="Times New Roman Regular"/>
        </w:rPr>
        <w:t xml:space="preserve"> (p. 60), potentially leading researchers to </w:t>
      </w:r>
      <w:r>
        <w:rPr>
          <w:rFonts w:hint="default" w:ascii="Times New Roman Regular" w:hAnsi="Times New Roman Regular" w:cs="Times New Roman Regular"/>
          <w:lang w:val="en-US"/>
        </w:rPr>
        <w:t>“believe we have discovered deep-rooted historical regularities when, in fact, we are capturing spatial noise”</w:t>
      </w:r>
      <w:r>
        <w:rPr>
          <w:rFonts w:hint="default" w:ascii="Times New Roman Regular" w:hAnsi="Times New Roman Regular" w:cs="Times New Roman Regular"/>
        </w:rPr>
        <w:t xml:space="preserve"> (p. 57).</w:t>
      </w:r>
    </w:p>
    <w:p w14:paraId="07EC8DD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Constructive guidance</w:t>
      </w:r>
      <w:r>
        <w:rPr>
          <w:rFonts w:hint="default" w:ascii="Times New Roman Regular" w:hAnsi="Times New Roman Regular" w:cs="Times New Roman Regular"/>
        </w:rPr>
        <w:t xml:space="preserve">: Rather than merely criticizing, the authors offer positive suggestions: pre-registration of empirical analyses, openness to null results, collaboration with trained historians, greater attention to </w:t>
      </w:r>
      <w:r>
        <w:rPr>
          <w:rFonts w:hint="default" w:ascii="Times New Roman Regular" w:hAnsi="Times New Roman Regular" w:cs="Times New Roman Regular"/>
          <w:lang w:val="en-US"/>
        </w:rPr>
        <w:t>“the history in the middle,”</w:t>
      </w:r>
      <w:r>
        <w:rPr>
          <w:rFonts w:hint="default" w:ascii="Times New Roman Regular" w:hAnsi="Times New Roman Regular" w:cs="Times New Roman Regular"/>
        </w:rPr>
        <w:t xml:space="preserve"> and careful mechanism specification (pp. 60-61).</w:t>
      </w:r>
    </w:p>
    <w:p w14:paraId="4090E15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这篇综述文章对历史政治经济学和经济史做出了若干重要贡献。</w:t>
      </w:r>
    </w:p>
    <w:p w14:paraId="1E9163E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方法论系统化</w:t>
      </w:r>
      <w:r>
        <w:rPr>
          <w:rFonts w:hint="default" w:ascii="Times New Roman Regular" w:hAnsi="Times New Roman Regular" w:cs="Times New Roman Regular"/>
        </w:rPr>
        <w:t>：本文提供了一个评估持续性研究的综合框架，识别了五个主要陷阱：（1）未能认识到反持续性；（2）模糊或未经证明的机制；（3）有问题的历史数据；（4）历史压缩；（5）空间自相关。这一分类法为研究者提供了一个实用的清单，用于评估现有研究和设计新研究。</w:t>
      </w:r>
    </w:p>
    <w:p w14:paraId="7A10D2A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一个子领域的学术史</w:t>
      </w:r>
      <w:r>
        <w:rPr>
          <w:rFonts w:hint="default" w:ascii="Times New Roman Regular" w:hAnsi="Times New Roman Regular" w:cs="Times New Roman Regular"/>
        </w:rPr>
        <w:t>：作者提供了持续性研究如何从恩格曼与索科洛夫（1997年）和阿西莫格鲁等人（2001年）的工作中兴起的简明但信息丰富的历史，记录了该领域的文献计量增长及其在通用经济学期刊与专业经济史刊物中日益增加的存在（图1，第35页）。</w:t>
      </w:r>
    </w:p>
    <w:p w14:paraId="7983E94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将持续性重新框定为反持续性</w:t>
      </w:r>
      <w:r>
        <w:rPr>
          <w:rFonts w:hint="default" w:ascii="Times New Roman Regular" w:hAnsi="Times New Roman Regular" w:cs="Times New Roman Regular"/>
        </w:rPr>
        <w:t>：也许本文最具反直觉的贡献是观察到</w:t>
      </w:r>
      <w:r>
        <w:rPr>
          <w:rFonts w:hint="default" w:ascii="Times New Roman Regular" w:hAnsi="Times New Roman Regular" w:cs="Times New Roman Regular"/>
          <w:lang w:val="en-US"/>
        </w:rPr>
        <w:t>“许多持续性论文也是反持续性论文”</w:t>
      </w:r>
      <w:r>
        <w:rPr>
          <w:rFonts w:hint="default" w:ascii="Times New Roman Regular" w:hAnsi="Times New Roman Regular" w:cs="Times New Roman Regular"/>
        </w:rPr>
        <w:t>（第35页）。发现殖民制度持续存在意味着前殖民制度没有持续存在。这一重新框定从根本上挑战了对持续性发现的决定论解释，并为研究制度变迁开辟了空间。</w:t>
      </w:r>
    </w:p>
    <w:p w14:paraId="17FE11D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历史数据质量意识</w:t>
      </w:r>
      <w:r>
        <w:rPr>
          <w:rFonts w:hint="default" w:ascii="Times New Roman Regular" w:hAnsi="Times New Roman Regular" w:cs="Times New Roman Regular"/>
        </w:rPr>
        <w:t>：对默多克的非洲族群数据和前哥伦布时期人口估计的详细批评为使用历史来源的研究者提供了警示故事。作者证明</w:t>
      </w:r>
      <w:r>
        <w:rPr>
          <w:rFonts w:hint="default" w:ascii="Times New Roman Regular" w:hAnsi="Times New Roman Regular" w:cs="Times New Roman Regular"/>
          <w:lang w:val="en-US"/>
        </w:rPr>
        <w:t>“历史数据集将被发现存在错误并将被取代”</w:t>
      </w:r>
      <w:r>
        <w:rPr>
          <w:rFonts w:hint="default" w:ascii="Times New Roman Regular" w:hAnsi="Times New Roman Regular" w:cs="Times New Roman Regular"/>
        </w:rPr>
        <w:t>（第38页），持续性研究</w:t>
      </w:r>
      <w:r>
        <w:rPr>
          <w:rFonts w:hint="default" w:ascii="Times New Roman Regular" w:hAnsi="Times New Roman Regular" w:cs="Times New Roman Regular"/>
          <w:lang w:val="en-US"/>
        </w:rPr>
        <w:t>“需要确保数据是可用的最佳数据，并适合持续性研究提出的问题”</w:t>
      </w:r>
      <w:r>
        <w:rPr>
          <w:rFonts w:hint="default" w:ascii="Times New Roman Regular" w:hAnsi="Times New Roman Regular" w:cs="Times New Roman Regular"/>
        </w:rPr>
        <w:t>（第38页）。</w:t>
      </w:r>
    </w:p>
    <w:p w14:paraId="6B68F70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证明时间稳健性的重要性</w:t>
      </w:r>
      <w:r>
        <w:rPr>
          <w:rFonts w:hint="default" w:ascii="Times New Roman Regular" w:hAnsi="Times New Roman Regular" w:cs="Times New Roman Regular"/>
        </w:rPr>
        <w:t>：对努恩（2008年）跨多年的复制具体展示了持续性关系如何随时间变化。发现</w:t>
      </w:r>
      <w:r>
        <w:rPr>
          <w:rFonts w:hint="default" w:ascii="Times New Roman Regular" w:hAnsi="Times New Roman Regular" w:cs="Times New Roman Regular"/>
          <w:lang w:val="en-US"/>
        </w:rPr>
        <w:t>“奴隶贸易与收入之间的无约束关系仅在独立后出现并随时间增强”</w:t>
      </w:r>
      <w:r>
        <w:rPr>
          <w:rFonts w:hint="default" w:ascii="Times New Roman Regular" w:hAnsi="Times New Roman Regular" w:cs="Times New Roman Regular"/>
        </w:rPr>
        <w:t>（第54页）表明，许多持续性研究可能捕捉的是特定时期而非永恒的关系。</w:t>
      </w:r>
    </w:p>
    <w:p w14:paraId="50A7840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空间计量经济学意识</w:t>
      </w:r>
      <w:r>
        <w:rPr>
          <w:rFonts w:hint="default" w:ascii="Times New Roman Regular" w:hAnsi="Times New Roman Regular" w:cs="Times New Roman Regular"/>
        </w:rPr>
        <w:t>：通过综合凯利（2019年，2020年）并进行自己的稳健性检验，作者引起人们注意空间自相关如何</w:t>
      </w:r>
      <w:r>
        <w:rPr>
          <w:rFonts w:hint="default" w:ascii="Times New Roman Regular" w:hAnsi="Times New Roman Regular" w:cs="Times New Roman Regular"/>
          <w:lang w:val="en-US"/>
        </w:rPr>
        <w:t>“导致膨胀的系数和低估的标准误”</w:t>
      </w:r>
      <w:r>
        <w:rPr>
          <w:rFonts w:hint="default" w:ascii="Times New Roman Regular" w:hAnsi="Times New Roman Regular" w:cs="Times New Roman Regular"/>
        </w:rPr>
        <w:t>（第60页），可能导致研究者</w:t>
      </w:r>
      <w:r>
        <w:rPr>
          <w:rFonts w:hint="default" w:ascii="Times New Roman Regular" w:hAnsi="Times New Roman Regular" w:cs="Times New Roman Regular"/>
          <w:lang w:val="en-US"/>
        </w:rPr>
        <w:t>“相信我们发现了深层的历史规律，而实际上我们捕捉的是空间噪声”</w:t>
      </w:r>
      <w:r>
        <w:rPr>
          <w:rFonts w:hint="default" w:ascii="Times New Roman Regular" w:hAnsi="Times New Roman Regular" w:cs="Times New Roman Regular"/>
        </w:rPr>
        <w:t>（第57页）。</w:t>
      </w:r>
    </w:p>
    <w:p w14:paraId="626664D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建设性指导</w:t>
      </w:r>
      <w:r>
        <w:rPr>
          <w:rFonts w:hint="default" w:ascii="Times New Roman Regular" w:hAnsi="Times New Roman Regular" w:cs="Times New Roman Regular"/>
        </w:rPr>
        <w:t>：作者不仅仅批评，还提供了积极建议：预注册实证分析、对零结果持开放态度、与受过训练的历史学家合作、更加关注</w:t>
      </w:r>
      <w:r>
        <w:rPr>
          <w:rFonts w:hint="default" w:ascii="Times New Roman Regular" w:hAnsi="Times New Roman Regular" w:cs="Times New Roman Regular"/>
          <w:lang w:val="en-US"/>
        </w:rPr>
        <w:t>“中间的历史”</w:t>
      </w:r>
      <w:r>
        <w:rPr>
          <w:rFonts w:hint="default" w:ascii="Times New Roman Regular" w:hAnsi="Times New Roman Regular" w:cs="Times New Roman Regular"/>
        </w:rPr>
        <w:t>，以及仔细的机制规定（第60-61页）。</w:t>
      </w:r>
    </w:p>
    <w:p w14:paraId="1A7B8C89">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1ED866B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Suggestions: What would professional scholars and researchers identify as limitations and how would they suggest improvements? / 建议：专业学者和研究者会识别出哪些局限性，他们会如何建议改进？</w:t>
      </w:r>
    </w:p>
    <w:p w14:paraId="2E13C74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Professional scholars might identify several limitations in this review article and suggest corresponding improvements.</w:t>
      </w:r>
    </w:p>
    <w:p w14:paraId="57F381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Selection of reviewed studies</w:t>
      </w:r>
      <w:r>
        <w:rPr>
          <w:rFonts w:hint="default" w:ascii="Times New Roman Regular" w:hAnsi="Times New Roman Regular" w:cs="Times New Roman Regular"/>
        </w:rPr>
        <w:t xml:space="preserve">: The authors acknowledge they </w:t>
      </w:r>
      <w:r>
        <w:rPr>
          <w:rFonts w:hint="default" w:ascii="Times New Roman Regular" w:hAnsi="Times New Roman Regular" w:cs="Times New Roman Regular"/>
          <w:lang w:val="en-US"/>
        </w:rPr>
        <w:t>“select canonical persistence studies to illustrate some common pitfalls”</w:t>
      </w:r>
      <w:r>
        <w:rPr>
          <w:rFonts w:hint="default" w:ascii="Times New Roman Regular" w:hAnsi="Times New Roman Regular" w:cs="Times New Roman Regular"/>
        </w:rPr>
        <w:t xml:space="preserve"> (p. 31). Critics might argue this selection could be biased toward studies with identifiable weaknesses. A more systematic review methodology—perhaps using explicit inclusion/exclusion criteria or meta-analytic techniques—could provide more balanced coverage and quantify the prevalence of each pitfall across the literature.</w:t>
      </w:r>
    </w:p>
    <w:p w14:paraId="720835B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Limited engagement with successful studies</w:t>
      </w:r>
      <w:r>
        <w:rPr>
          <w:rFonts w:hint="default" w:ascii="Times New Roman Regular" w:hAnsi="Times New Roman Regular" w:cs="Times New Roman Regular"/>
        </w:rPr>
        <w:t xml:space="preserve">: While the authors do discuss studies that </w:t>
      </w:r>
      <w:r>
        <w:rPr>
          <w:rFonts w:hint="default" w:ascii="Times New Roman Regular" w:hAnsi="Times New Roman Regular" w:cs="Times New Roman Regular"/>
          <w:lang w:val="en-US"/>
        </w:rPr>
        <w:t>“seriously grappled with mechanisms”</w:t>
      </w:r>
      <w:r>
        <w:rPr>
          <w:rFonts w:hint="default" w:ascii="Times New Roman Regular" w:hAnsi="Times New Roman Regular" w:cs="Times New Roman Regular"/>
        </w:rPr>
        <w:t xml:space="preserve"> such as Dell (2010), Voigtländer and Voth (2012), and Jha (2013), critics might suggest more balanced attention to best practices. A companion analysis of what makes persistence studies succeed methodologically would complement the critique.</w:t>
      </w:r>
    </w:p>
    <w:p w14:paraId="627F2E0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Replication exercises could be more comprehensive</w:t>
      </w:r>
      <w:r>
        <w:rPr>
          <w:rFonts w:hint="default" w:ascii="Times New Roman Regular" w:hAnsi="Times New Roman Regular" w:cs="Times New Roman Regular"/>
        </w:rPr>
        <w:t>: The author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replications (Nunn 2008, Acemoglu et al. 2002, Comin et al. 2010, Ashraf and Galor 2013, Dell 2010, Bruhn and Gallego 2012) provide useful illustrations but represent a small fraction of the persistence literature. More systematic replication across a broader range of studies would strengthen the empirical basis for the critiques. The recent movement toward large-scale replication projects in social science could provide a model.</w:t>
      </w:r>
    </w:p>
    <w:p w14:paraId="755397B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Spatial econometrics treatment is brief</w:t>
      </w:r>
      <w:r>
        <w:rPr>
          <w:rFonts w:hint="default" w:ascii="Times New Roman Regular" w:hAnsi="Times New Roman Regular" w:cs="Times New Roman Regular"/>
        </w:rPr>
        <w:t>: The section on spatial autocorrelation, while important, is relatively short compared to the attention given to mechanisms and data quality. More detailed guidance on how to properly test for and address spatial dependence—including discussion of various spatial econometric models (spatial lag, spatial error, geographically weighted regression)—would be valuable for practitioners.</w:t>
      </w:r>
    </w:p>
    <w:p w14:paraId="72D6618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Alternative approaches underexplored</w:t>
      </w:r>
      <w:r>
        <w:rPr>
          <w:rFonts w:hint="default" w:ascii="Times New Roman Regular" w:hAnsi="Times New Roman Regular" w:cs="Times New Roman Regular"/>
        </w:rPr>
        <w:t>: The authors critique persistence studies but offer limited discussion of alternative methodological approaches. How should scholars study historical causation if not through persistence studies? Comparative historical analysis, process tracing, and synthetic control methods receive little attention. A more constructive treatment of alternatives would strengthen the paper.</w:t>
      </w:r>
    </w:p>
    <w:p w14:paraId="36EADA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Theoretical framework for mechanism validation</w:t>
      </w:r>
      <w:r>
        <w:rPr>
          <w:rFonts w:hint="default" w:ascii="Times New Roman Regular" w:hAnsi="Times New Roman Regular" w:cs="Times New Roman Regular"/>
        </w:rPr>
        <w:t xml:space="preserve">: The authors call for </w:t>
      </w:r>
      <w:r>
        <w:rPr>
          <w:rFonts w:hint="default" w:ascii="Times New Roman Regular" w:hAnsi="Times New Roman Regular" w:cs="Times New Roman Regular"/>
          <w:lang w:val="en-US"/>
        </w:rPr>
        <w:t>“convincing mechanisms”</w:t>
      </w:r>
      <w:r>
        <w:rPr>
          <w:rFonts w:hint="default" w:ascii="Times New Roman Regular" w:hAnsi="Times New Roman Regular" w:cs="Times New Roman Regular"/>
        </w:rPr>
        <w:t xml:space="preserve"> but provide limited systematic guidance on what constitutes adequate mechanism validation. Drawing on the philosophy of science literature on causal mechanisms (e.g., Hedström and Ylikoski) or on work in experimental social science on mediation analysis could provide clearer standards.</w:t>
      </w:r>
    </w:p>
    <w:p w14:paraId="77E50A9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Publication bias analysis</w:t>
      </w:r>
      <w:r>
        <w:rPr>
          <w:rFonts w:hint="default" w:ascii="Times New Roman Regular" w:hAnsi="Times New Roman Regular" w:cs="Times New Roman Regular"/>
        </w:rPr>
        <w:t>: The authors mention publication bias (p. 35) but do not systematically analyze it. Funnel plots, p-curve analysis, or other meta-scientific techniques could quantify the extent of publication bias in the persistence literature.</w:t>
      </w:r>
    </w:p>
    <w:p w14:paraId="73F8C6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专业学者可能会识别出这篇综述文章的若干局限性，并建议相应的改进。</w:t>
      </w:r>
    </w:p>
    <w:p w14:paraId="4FAD3EB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被综述研究的选择</w:t>
      </w:r>
      <w:r>
        <w:rPr>
          <w:rFonts w:hint="default" w:ascii="Times New Roman Regular" w:hAnsi="Times New Roman Regular" w:cs="Times New Roman Regular"/>
        </w:rPr>
        <w:t>：作者承认他们</w:t>
      </w:r>
      <w:r>
        <w:rPr>
          <w:rFonts w:hint="default" w:ascii="Times New Roman Regular" w:hAnsi="Times New Roman Regular" w:cs="Times New Roman Regular"/>
          <w:lang w:val="en-US"/>
        </w:rPr>
        <w:t>“选择经典的持续性研究来说明一些常见的陷阱”</w:t>
      </w:r>
      <w:r>
        <w:rPr>
          <w:rFonts w:hint="default" w:ascii="Times New Roman Regular" w:hAnsi="Times New Roman Regular" w:cs="Times New Roman Regular"/>
        </w:rPr>
        <w:t>（第31页）。批评者可能会认为这种选择可能偏向于具有可识别弱点的研究。更系统的综述方法——也许使用明确的纳入/排除标准或荟萃分析技术——可以提供更平衡的覆盖范围，并量化文献中每个陷阱的普遍程度。</w:t>
      </w:r>
    </w:p>
    <w:p w14:paraId="06A3BAA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对成功研究的参与有限</w:t>
      </w:r>
      <w:r>
        <w:rPr>
          <w:rFonts w:hint="default" w:ascii="Times New Roman Regular" w:hAnsi="Times New Roman Regular" w:cs="Times New Roman Regular"/>
        </w:rPr>
        <w:t>：虽然作者确实讨论了</w:t>
      </w:r>
      <w:r>
        <w:rPr>
          <w:rFonts w:hint="default" w:ascii="Times New Roman Regular" w:hAnsi="Times New Roman Regular" w:cs="Times New Roman Regular"/>
          <w:lang w:val="en-US"/>
        </w:rPr>
        <w:t>“认真应对机制”</w:t>
      </w:r>
      <w:r>
        <w:rPr>
          <w:rFonts w:hint="default" w:ascii="Times New Roman Regular" w:hAnsi="Times New Roman Regular" w:cs="Times New Roman Regular"/>
        </w:rPr>
        <w:t>的研究，如戴尔（2010年）、福伊格特兰德与福斯（2012年）和贾（2013年），批评者可能建议更平衡地关注最佳实践。对使持续性研究在方法论上成功的因素进行配套分析将补充批评。</w:t>
      </w:r>
    </w:p>
    <w:p w14:paraId="5AB91F3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复制练习可以更全面</w:t>
      </w:r>
      <w:r>
        <w:rPr>
          <w:rFonts w:hint="default" w:ascii="Times New Roman Regular" w:hAnsi="Times New Roman Regular" w:cs="Times New Roman Regular"/>
        </w:rPr>
        <w:t>：作者的复制（努恩2008年、阿西莫格鲁等人2002年、科明等人2010年、阿什拉夫与加洛尔2013年、戴尔2010年、布伦与加列戈2012年）提供了有用的说明，但只代表持续性文献的一小部分。更系统地跨更广泛研究范围的复制将加强批评的实证基础。社会科学中最近的大规模复制项目运动可以提供一个模型。</w:t>
      </w:r>
    </w:p>
    <w:p w14:paraId="7F273C8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空间计量经济学处理较简短</w:t>
      </w:r>
      <w:r>
        <w:rPr>
          <w:rFonts w:hint="default" w:ascii="Times New Roman Regular" w:hAnsi="Times New Roman Regular" w:cs="Times New Roman Regular"/>
        </w:rPr>
        <w:t>：关于空间自相关的部分虽然重要，但与对机制和数据质量的关注相比相对简短。关于如何正确检验和处理空间依赖性的更详细指导——包括讨论各种空间计量经济学模型（空间滞后、空间误差、地理加权回归）——对从业者将很有价值。</w:t>
      </w:r>
    </w:p>
    <w:p w14:paraId="542EA1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替代方法探索不足</w:t>
      </w:r>
      <w:r>
        <w:rPr>
          <w:rFonts w:hint="default" w:ascii="Times New Roman Regular" w:hAnsi="Times New Roman Regular" w:cs="Times New Roman Regular"/>
        </w:rPr>
        <w:t>：作者批评持续性研究，但对替代方法论途径的讨论有限。如果不通过持续性研究，学者应该如何研究历史因果关系？比较历史分析、过程追踪和合成控制方法很少受到关注。对替代方法的更具建设性的处理将加强本文。</w:t>
      </w:r>
    </w:p>
    <w:p w14:paraId="1694B26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机制验证的理论框架</w:t>
      </w:r>
      <w:r>
        <w:rPr>
          <w:rFonts w:hint="default" w:ascii="Times New Roman Regular" w:hAnsi="Times New Roman Regular" w:cs="Times New Roman Regular"/>
        </w:rPr>
        <w:t>：作者呼吁</w:t>
      </w:r>
      <w:r>
        <w:rPr>
          <w:rFonts w:hint="default" w:ascii="Times New Roman Regular" w:hAnsi="Times New Roman Regular" w:cs="Times New Roman Regular"/>
          <w:lang w:val="en-US"/>
        </w:rPr>
        <w:t>“令人信服的机制”</w:t>
      </w:r>
      <w:r>
        <w:rPr>
          <w:rFonts w:hint="default" w:ascii="Times New Roman Regular" w:hAnsi="Times New Roman Regular" w:cs="Times New Roman Regular"/>
        </w:rPr>
        <w:t>，但对什么构成充分的机制验证提供的系统指导有限。借鉴科学哲学文献中关于因果机制的研究（例如赫德斯特伦和伊利科斯基）或实验社会科学中关于中介分析的工作可以提供更清晰的标准。</w:t>
      </w:r>
    </w:p>
    <w:p w14:paraId="72E96F9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发表偏倚分析</w:t>
      </w:r>
      <w:r>
        <w:rPr>
          <w:rFonts w:hint="default" w:ascii="Times New Roman Regular" w:hAnsi="Times New Roman Regular" w:cs="Times New Roman Regular"/>
        </w:rPr>
        <w:t>：作者提到发表偏倚（第35页），但没有系统地分析它。漏斗图、p曲线分析或其他元科学技术可以量化持续性文献中发表偏倚的程度。</w:t>
      </w:r>
    </w:p>
    <w:p w14:paraId="3ABF9E20">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203038F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Extensions: What potential extensions or new research questions might this paper inspire? / 延伸：这篇论文可能激发什么潜在的延伸或新的研究问题？</w:t>
      </w:r>
    </w:p>
    <w:p w14:paraId="1F3A6F1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English:</w:t>
      </w:r>
      <w:r>
        <w:rPr>
          <w:rFonts w:hint="default" w:ascii="Times New Roman Regular" w:hAnsi="Times New Roman Regular" w:cs="Times New Roman Regular"/>
        </w:rPr>
        <w:t xml:space="preserve"> This review article opens several promising avenues for future research.</w:t>
      </w:r>
    </w:p>
    <w:p w14:paraId="7C7A86C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Systematic study of anti-persistence</w:t>
      </w:r>
      <w:r>
        <w:rPr>
          <w:rFonts w:hint="default" w:ascii="Times New Roman Regular" w:hAnsi="Times New Roman Regular" w:cs="Times New Roman Regular"/>
        </w:rPr>
        <w:t>: The author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observation that persistence studies also demonstrate anti-persistence suggests a new research program. Under what conditions do institutions successfully change? What explains variation in the durability of different types of institutions? A systematic comparative analysis of cases where historical legacies did and did not persist could generate new theory about institutional change and stability.</w:t>
      </w:r>
    </w:p>
    <w:p w14:paraId="358D9B3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Meta-analysis of persistence studies</w:t>
      </w:r>
      <w:r>
        <w:rPr>
          <w:rFonts w:hint="default" w:ascii="Times New Roman Regular" w:hAnsi="Times New Roman Regular" w:cs="Times New Roman Regular"/>
        </w:rPr>
        <w:t xml:space="preserve">: A formal meta-analysis could aggregate effect sizes across persistence studies, test for publication bias, identify moderators of persistence (e.g., type of institution, geographic region, time horizon), and estimate the average </w:t>
      </w:r>
      <w:r>
        <w:rPr>
          <w:rFonts w:hint="default" w:ascii="Times New Roman Regular" w:hAnsi="Times New Roman Regular" w:cs="Times New Roman Regular"/>
          <w:lang w:val="en-US"/>
        </w:rPr>
        <w:t>“half-life”</w:t>
      </w:r>
      <w:r>
        <w:rPr>
          <w:rFonts w:hint="default" w:ascii="Times New Roman Regular" w:hAnsi="Times New Roman Regular" w:cs="Times New Roman Regular"/>
        </w:rPr>
        <w:t xml:space="preserve"> of historical effects. This would provide a more precise answer to the question: how persistent is persistence?</w:t>
      </w:r>
    </w:p>
    <w:p w14:paraId="454D9DB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Mechanism validation studies</w:t>
      </w:r>
      <w:r>
        <w:rPr>
          <w:rFonts w:hint="default" w:ascii="Times New Roman Regular" w:hAnsi="Times New Roman Regular" w:cs="Times New Roman Regular"/>
        </w:rPr>
        <w:t>: Following the author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critique that mechanisms are often proposed but not demonstrated, a research program could systematically test proposed mechanisms using modern survey data, experimental methods, or historical process tracing. For example, cultural transmission mechanisms could be tested using panel data on attitude change across generations.</w:t>
      </w:r>
    </w:p>
    <w:p w14:paraId="61A82CA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Temporal dynamics of persistence</w:t>
      </w:r>
      <w:r>
        <w:rPr>
          <w:rFonts w:hint="default" w:ascii="Times New Roman Regular" w:hAnsi="Times New Roman Regular" w:cs="Times New Roman Regular"/>
        </w:rPr>
        <w:t>: The author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replication of Nunn (2008) suggests that persistence relationships may strengthen, weaken, or emerge at different historical moments. A research program could systematically investigate the temporal dynamics of persistence effects, asking: when do historical legacies become activated? When do they fade? The Ochsner and Roesel (2019) study of Austrian /ˈɒstriən/ anti-Muslim sentiment provides a model for studying </w:t>
      </w:r>
      <w:r>
        <w:rPr>
          <w:rFonts w:hint="default" w:ascii="Times New Roman Regular" w:hAnsi="Times New Roman Regular" w:cs="Times New Roman Regular"/>
          <w:lang w:val="en-US"/>
        </w:rPr>
        <w:t>“latent”</w:t>
      </w:r>
      <w:r>
        <w:rPr>
          <w:rFonts w:hint="default" w:ascii="Times New Roman Regular" w:hAnsi="Times New Roman Regular" w:cs="Times New Roman Regular"/>
        </w:rPr>
        <w:t xml:space="preserve"> persistence.</w:t>
      </w:r>
    </w:p>
    <w:p w14:paraId="032BA8B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Spatial econometrics for historical political economy</w:t>
      </w:r>
      <w:r>
        <w:rPr>
          <w:rFonts w:hint="default" w:ascii="Times New Roman Regular" w:hAnsi="Times New Roman Regular" w:cs="Times New Roman Regular"/>
        </w:rPr>
        <w:t>: The critique of spatial autocorrelation suggests the need for better methodological tools. Developing and validating spatial econometric approaches specifically designed for persistence studies—accounting for both spatial and temporal dependence—could make significant methodological contributions.</w:t>
      </w:r>
    </w:p>
    <w:p w14:paraId="079D003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Historical data quality improvement</w:t>
      </w:r>
      <w:r>
        <w:rPr>
          <w:rFonts w:hint="default" w:ascii="Times New Roman Regular" w:hAnsi="Times New Roman Regular" w:cs="Times New Roman Regular"/>
        </w:rPr>
        <w:t>: The critiques of Murdock and pre-Columbian population estimates suggest the value of systematic historical data reconstruction. Collaborative projects bringing together historians, archaeologists, anthropologists, and economists could produce improved historical datasets with quantified uncertainty bounds.</w:t>
      </w:r>
    </w:p>
    <w:p w14:paraId="08F40F4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Comparative institutional resilience</w:t>
      </w:r>
      <w:r>
        <w:rPr>
          <w:rFonts w:hint="default" w:ascii="Times New Roman Regular" w:hAnsi="Times New Roman Regular" w:cs="Times New Roman Regular"/>
        </w:rPr>
        <w:t>: Why do some institutions persist while others do not? Extending the author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discussion of critical junctures, researchers could develop theory about institutional resilience—the capacity of institutions to survive shocks—and test it across multiple historical contexts.</w:t>
      </w:r>
    </w:p>
    <w:p w14:paraId="6BD307E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Policy-relevant persistence research</w:t>
      </w:r>
      <w:r>
        <w:rPr>
          <w:rFonts w:hint="default" w:ascii="Times New Roman Regular" w:hAnsi="Times New Roman Regular" w:cs="Times New Roman Regular"/>
        </w:rPr>
        <w:t>: If some institutions are more malleable than others, this has important policy implications. Research could identify which types of historical legacies are amenable to policy intervention and what kinds of interventions are most effective at disrupting harmful persistence.</w:t>
      </w:r>
    </w:p>
    <w:p w14:paraId="6F3D16B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Integration with state formation theory</w:t>
      </w:r>
      <w:r>
        <w:rPr>
          <w:rFonts w:hint="default" w:ascii="Times New Roman Regular" w:hAnsi="Times New Roman Regular" w:cs="Times New Roman Regular"/>
        </w:rPr>
        <w:t>: The paper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implicit engagement with state formation suggests opportunities to more explicitly connect persistence studies to theories of state-building by scholars like Charles Tilly /ˈtɪli/, Theda Skocpol /ˈskɒkpɒl/, and James Scott /skɒt/. How do persistence effects interact with state capacity development? Do stronger states produce more or less institutional persistence?</w:t>
      </w:r>
    </w:p>
    <w:p w14:paraId="5A26F5D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Cross-disciplinary mechanism testing</w:t>
      </w:r>
      <w:r>
        <w:rPr>
          <w:rFonts w:hint="default" w:ascii="Times New Roman Regular" w:hAnsi="Times New Roman Regular" w:cs="Times New Roman Regular"/>
        </w:rPr>
        <w:t>: The authors call for greater collaboration with historians. This could be extended to anthropologists, sociologists, and psychologists who may have discipline-specific insights into cultural transmission, institutional change, and collective memory that could inform mechanism specification in persistence studies.</w:t>
      </w:r>
    </w:p>
    <w:p w14:paraId="197DD4A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w:t>
      </w:r>
      <w:r>
        <w:rPr>
          <w:rFonts w:hint="default" w:ascii="Times New Roman Regular" w:hAnsi="Times New Roman Regular" w:cs="Times New Roman Regular"/>
        </w:rPr>
        <w:t xml:space="preserve"> 这篇综述文章为未来研究开辟了若干有前景的途径。</w:t>
      </w:r>
    </w:p>
    <w:p w14:paraId="598EAEF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反持续性的系统研究</w:t>
      </w:r>
      <w:r>
        <w:rPr>
          <w:rFonts w:hint="default" w:ascii="Times New Roman Regular" w:hAnsi="Times New Roman Regular" w:cs="Times New Roman Regular"/>
        </w:rPr>
        <w:t>：作者观察到持续性研究也展示了反持续性，这暗示了一个新的研究项目。在什么条件下制度成功改变？什么解释了不同类型制度耐久性的变异？对历史遗产确实持续和未持续的案例进行系统比较分析，可以产生关于制度变迁和稳定性的新理论。</w:t>
      </w:r>
    </w:p>
    <w:p w14:paraId="4E5BFBD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持续性研究的荟萃分析</w:t>
      </w:r>
      <w:r>
        <w:rPr>
          <w:rFonts w:hint="default" w:ascii="Times New Roman Regular" w:hAnsi="Times New Roman Regular" w:cs="Times New Roman Regular"/>
        </w:rPr>
        <w:t>：正式的荟萃分析可以汇总持续性研究的效应量，检验发表偏倚，识别持续性的调节变量（例如制度类型、地理区域、时间跨度），并估计历史效应的平均</w:t>
      </w:r>
      <w:r>
        <w:rPr>
          <w:rFonts w:hint="default" w:ascii="Times New Roman Regular" w:hAnsi="Times New Roman Regular" w:cs="Times New Roman Regular"/>
          <w:lang w:val="en-US"/>
        </w:rPr>
        <w:t>“半衰期”</w:t>
      </w:r>
      <w:r>
        <w:rPr>
          <w:rFonts w:hint="default" w:ascii="Times New Roman Regular" w:hAnsi="Times New Roman Regular" w:cs="Times New Roman Regular"/>
        </w:rPr>
        <w:t>。这将为</w:t>
      </w:r>
      <w:r>
        <w:rPr>
          <w:rFonts w:hint="default" w:ascii="Times New Roman Regular" w:hAnsi="Times New Roman Regular" w:cs="Times New Roman Regular"/>
          <w:lang w:val="en-US"/>
        </w:rPr>
        <w:t>“持续性有多持续？”</w:t>
      </w:r>
      <w:r>
        <w:rPr>
          <w:rFonts w:hint="default" w:ascii="Times New Roman Regular" w:hAnsi="Times New Roman Regular" w:cs="Times New Roman Regular"/>
        </w:rPr>
        <w:t>这个问题提供更精确的答案。</w:t>
      </w:r>
    </w:p>
    <w:p w14:paraId="3115784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机制验证研究</w:t>
      </w:r>
      <w:r>
        <w:rPr>
          <w:rFonts w:hint="default" w:ascii="Times New Roman Regular" w:hAnsi="Times New Roman Regular" w:cs="Times New Roman Regular"/>
        </w:rPr>
        <w:t>：根据作者的批评——机制经常被提出但未被证明——一个研究项目可以使用现代调查数据、实验方法或历史过程追踪系统地检验提议的机制。例如，文化传递机制可以使用关于跨代态度变化的面板数据来检验。</w:t>
      </w:r>
    </w:p>
    <w:p w14:paraId="6EF56FA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持续性的时间动态</w:t>
      </w:r>
      <w:r>
        <w:rPr>
          <w:rFonts w:hint="default" w:ascii="Times New Roman Regular" w:hAnsi="Times New Roman Regular" w:cs="Times New Roman Regular"/>
        </w:rPr>
        <w:t>：作者对努恩（2008年）的复制表明，持续性关系可能在不同的历史时刻加强、减弱或出现。一个研究项目可以系统地调查持续性效应的时间动态，询问：历史遗产何时被激活？何时消退？奥克斯纳与罗塞尔（2019年）关于奥地利（Austrian /ˈɒstriən/）反穆斯林情绪的研究为研究</w:t>
      </w:r>
      <w:r>
        <w:rPr>
          <w:rFonts w:hint="default" w:ascii="Times New Roman Regular" w:hAnsi="Times New Roman Regular" w:cs="Times New Roman Regular"/>
          <w:lang w:val="en-US"/>
        </w:rPr>
        <w:t>“潜在”</w:t>
      </w:r>
      <w:r>
        <w:rPr>
          <w:rFonts w:hint="default" w:ascii="Times New Roman Regular" w:hAnsi="Times New Roman Regular" w:cs="Times New Roman Regular"/>
        </w:rPr>
        <w:t>持续性提供了一个模型。</w:t>
      </w:r>
    </w:p>
    <w:p w14:paraId="2604691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历史政治经济学的空间计量经济学</w:t>
      </w:r>
      <w:r>
        <w:rPr>
          <w:rFonts w:hint="default" w:ascii="Times New Roman Regular" w:hAnsi="Times New Roman Regular" w:cs="Times New Roman Regular"/>
        </w:rPr>
        <w:t>：对空间自相关的批评表明需要更好的方法论工具。开发和验证专门为持续性研究设计的空间计量经济学方法——同时考虑空间和时间依赖性——可以做出重要的方法论贡献。</w:t>
      </w:r>
    </w:p>
    <w:p w14:paraId="6A1EA70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历史数据质量改进</w:t>
      </w:r>
      <w:r>
        <w:rPr>
          <w:rFonts w:hint="default" w:ascii="Times New Roman Regular" w:hAnsi="Times New Roman Regular" w:cs="Times New Roman Regular"/>
        </w:rPr>
        <w:t>：对默多克和前哥伦布时期人口估计的批评表明系统性历史数据重建的价值。汇集历史学家、考古学家、人类学家和经济学家的合作项目可以产生具有量化不确定性边界的改进历史数据集。</w:t>
      </w:r>
    </w:p>
    <w:p w14:paraId="518A393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比较制度韧性</w:t>
      </w:r>
      <w:r>
        <w:rPr>
          <w:rFonts w:hint="default" w:ascii="Times New Roman Regular" w:hAnsi="Times New Roman Regular" w:cs="Times New Roman Regular"/>
        </w:rPr>
        <w:t>：为什么一些制度持续而另一些没有？延伸作者对关键节点的讨论，研究者可以发展关于制度韧性——制度在冲击中存活的能力——的理论，并在多个历史背景下检验它。</w:t>
      </w:r>
    </w:p>
    <w:p w14:paraId="634C2F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与政策相关的持续性研究</w:t>
      </w:r>
      <w:r>
        <w:rPr>
          <w:rFonts w:hint="default" w:ascii="Times New Roman Regular" w:hAnsi="Times New Roman Regular" w:cs="Times New Roman Regular"/>
        </w:rPr>
        <w:t>：如果一些制度比其他制度更具可塑性，这具有重要的政策含义。研究可以识别哪些类型的历史遗产可以通过政策干预来改变，以及什么样的干预最能有效地打断有害的持续性。</w:t>
      </w:r>
    </w:p>
    <w:p w14:paraId="274313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与国家形成理论的整合</w:t>
      </w:r>
      <w:r>
        <w:rPr>
          <w:rFonts w:hint="default" w:ascii="Times New Roman Regular" w:hAnsi="Times New Roman Regular" w:cs="Times New Roman Regular"/>
        </w:rPr>
        <w:t>：本文与国家形成的隐含联系表明，有机会将持续性研究更明确地与查尔斯·蒂利（Charles Tilly /ˈtɪli/）、西达·斯考切波（Theda Skocpol /ˈskɒkpɒl/）和詹姆斯·斯科特（James Scott /skɒt/）等学者的国家建构理论联系起来。持续性效应如何与国家能力发展相互作用？更强的国家是产生更多还是更少的制度持续性？</w:t>
      </w:r>
    </w:p>
    <w:p w14:paraId="20498A7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跨学科机制检验</w:t>
      </w:r>
      <w:r>
        <w:rPr>
          <w:rFonts w:hint="default" w:ascii="Times New Roman Regular" w:hAnsi="Times New Roman Regular" w:cs="Times New Roman Regular"/>
        </w:rPr>
        <w:t>：作者呼吁与历史学家进行更多合作。这可以扩展到人类学家、社会学家和心理学家，他们可能对文化传递、制度变迁和集体记忆有学科特定的见解，可以为持续性研究中的机制规定提供信息。</w:t>
      </w:r>
    </w:p>
    <w:p w14:paraId="7B081F4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文献讲义：国家历史与经济发展</w:t>
      </w:r>
    </w:p>
    <w:p w14:paraId="7A23583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Lecture Notes: State History and Economic Development</w:t>
      </w:r>
    </w:p>
    <w:p w14:paraId="2F21F954">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1CBBA90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文献名称 / Literature Name</w:t>
      </w:r>
    </w:p>
    <w:p w14:paraId="7149376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Style w:val="7"/>
          <w:rFonts w:hint="default" w:ascii="Times New Roman Regular" w:hAnsi="Times New Roman Regular" w:cs="Times New Roman Regular"/>
        </w:rPr>
        <w:t>英文标题 / English Title:</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rPr>
        <w:t>“State history and economic development: evidence from six millennia”</w:t>
      </w:r>
    </w:p>
    <w:p w14:paraId="22FB53E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中文标题 / Chinese Title:</w:t>
      </w:r>
      <w:r>
        <w:rPr>
          <w:rFonts w:hint="default" w:ascii="Times New Roman Regular" w:hAnsi="Times New Roman Regular" w:cs="Times New Roman Regular"/>
        </w:rPr>
        <w:t xml:space="preserve"> 《国家历史与经济发展：来自六千年的证据》</w:t>
      </w:r>
    </w:p>
    <w:p w14:paraId="0A7C490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本文发表于《Journal of Economic Growth》（《经济增长杂志》），是比较政治经济学和长期经济发展研究领域的重要文献。该文献的核心贡献在于将国家历史数据向前延伸至公元前3500年，从而揭示了国家历史与当代经济发展之间此前未被发现的非线性关系。</w:t>
      </w:r>
    </w:p>
    <w:p w14:paraId="6C41226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This article was published in the </w:t>
      </w:r>
      <w:r>
        <w:rPr>
          <w:rStyle w:val="8"/>
          <w:rFonts w:hint="default" w:ascii="Times New Roman Regular" w:hAnsi="Times New Roman Regular" w:cs="Times New Roman Regular"/>
        </w:rPr>
        <w:t>Journal of Economic Growth</w:t>
      </w:r>
      <w:r>
        <w:rPr>
          <w:rFonts w:hint="default" w:ascii="Times New Roman Regular" w:hAnsi="Times New Roman Regular" w:cs="Times New Roman Regular"/>
        </w:rPr>
        <w:t>, representing an important contribution to the fields of comparative political economy and long-run economic development research. The core contribution of this literature lies in extending the state history data back to 3500 BCE, thereby revealing a previously undiscovered nonlinear relationship between state history and contemporary economic development.</w:t>
      </w:r>
    </w:p>
    <w:p w14:paraId="405B1873">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48E953F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作者 / Author(s)</w:t>
      </w:r>
    </w:p>
    <w:p w14:paraId="0EB9E19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第一作者 / First Author:</w:t>
      </w:r>
      <w:r>
        <w:rPr>
          <w:rFonts w:hint="default" w:ascii="Times New Roman Regular" w:hAnsi="Times New Roman Regular" w:cs="Times New Roman Regular"/>
        </w:rPr>
        <w:t xml:space="preserve"> Oana Borcan /ˈoʊ.ə.nə ˈbɔːr.kɑːn/（奥阿娜·博尔坎），任职于英国东安格利亚大学经济学院（University of East Anglia /ˌjuːnɪˈvɜːrsɪti əv iːst ˈæŋɡliə/，东英吉利大学）。</w:t>
      </w:r>
    </w:p>
    <w:p w14:paraId="6E16454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第二作者 / Second Author:</w:t>
      </w:r>
      <w:r>
        <w:rPr>
          <w:rFonts w:hint="default" w:ascii="Times New Roman Regular" w:hAnsi="Times New Roman Regular" w:cs="Times New Roman Regular"/>
        </w:rPr>
        <w:t xml:space="preserve"> Ola Olsson /ˈoʊ.lə ˈɒl.sən/（奥拉·奥尔松），任职于瑞典哥德堡大学经济学系（University of Gothenburg /ˈɡɒθənbɜːrɡ/，哥德堡大学）。奥尔松教授是长期经济发展和制度经济学领域的知名学者，此前在农业起源与经济发展等议题上有重要贡献。</w:t>
      </w:r>
    </w:p>
    <w:p w14:paraId="3BF9C94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第三作者 / Third Author:</w:t>
      </w:r>
      <w:r>
        <w:rPr>
          <w:rFonts w:hint="default" w:ascii="Times New Roman Regular" w:hAnsi="Times New Roman Regular" w:cs="Times New Roman Regular"/>
        </w:rPr>
        <w:t xml:space="preserve"> Louis Putterman /ˈluːɪs ˈpʌtərmən/（路易斯·普特曼），任职于美国布朗大学经济学系（Brown University /braʊn/，布朗大学）。普特曼教授是国家历史指数（State Antiquity Index）的原始开发者之一，长期从事比较经济发展研究。</w:t>
      </w:r>
    </w:p>
    <w:p w14:paraId="27CD23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first author is Oana Borcan, affiliated with the School of Economics at the University of East Anglia, UK. The second author is Ola Olsson, affiliated with the Department of Economics at the University of Gothenburg, Sweden. Professor Olsson is a renowned scholar in long-run economic development and institutional economics, with significant prior contributions on topics such as the origins of agriculture and economic development. The third author is Louis Putterman, affiliated with the Department of Economics at Brown University, USA. Professor Putterman is one of the original developers of the State Antiquity Index and has long engaged in comparative economic development research.</w:t>
      </w:r>
    </w:p>
    <w:p w14:paraId="172C36E4">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6F81FB4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发表年份 / Published Year</w:t>
      </w:r>
    </w:p>
    <w:p w14:paraId="18E9724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发表年份 / Publication Year:</w:t>
      </w:r>
      <w:r>
        <w:rPr>
          <w:rFonts w:hint="default" w:ascii="Times New Roman Regular" w:hAnsi="Times New Roman Regular" w:cs="Times New Roman Regular"/>
        </w:rPr>
        <w:t xml:space="preserve"> 2018年</w:t>
      </w:r>
    </w:p>
    <w:p w14:paraId="058F480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具体出版信息 / Publication Details:</w:t>
      </w:r>
      <w:r>
        <w:rPr>
          <w:rFonts w:hint="default" w:ascii="Times New Roman Regular" w:hAnsi="Times New Roman Regular" w:cs="Times New Roman Regular"/>
        </w:rPr>
        <w:t xml:space="preserve"> 该文献于2017年12月8日在线发表，正式刊载于2018年3月出版的《Journal of Economic Growth》第23卷第1期，页码1-40（第1页）。该期刊是经济增长理论与实证研究领域的顶级学术期刊。</w:t>
      </w:r>
    </w:p>
    <w:p w14:paraId="5663808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This article was published online on December 8, 2017, and formally appeared in the March 2018 issue of the </w:t>
      </w:r>
      <w:r>
        <w:rPr>
          <w:rStyle w:val="8"/>
          <w:rFonts w:hint="default" w:ascii="Times New Roman Regular" w:hAnsi="Times New Roman Regular" w:cs="Times New Roman Regular"/>
        </w:rPr>
        <w:t>Journal of Economic Growth</w:t>
      </w:r>
      <w:r>
        <w:rPr>
          <w:rFonts w:hint="default" w:ascii="Times New Roman Regular" w:hAnsi="Times New Roman Regular" w:cs="Times New Roman Regular"/>
        </w:rPr>
        <w:t>, Volume 23, Issue 1, pages 1-40 (p. 1). This journal is a top-tier academic publication in the field of economic growth theory and empirical research.</w:t>
      </w:r>
    </w:p>
    <w:p w14:paraId="75F5EBE6">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38B7909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因变量 / DV: What is the main dependent variable?</w:t>
      </w:r>
    </w:p>
    <w:p w14:paraId="59CD18B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本文的主要因变量是</w:t>
      </w:r>
      <w:r>
        <w:rPr>
          <w:rStyle w:val="7"/>
          <w:rFonts w:hint="default" w:ascii="Times New Roman Regular" w:hAnsi="Times New Roman Regular" w:cs="Times New Roman Regular"/>
        </w:rPr>
        <w:t>经济发展指标</w:t>
      </w:r>
      <w:r>
        <w:rPr>
          <w:rFonts w:hint="default" w:ascii="Times New Roman Regular" w:hAnsi="Times New Roman Regular" w:cs="Times New Roman Regular"/>
        </w:rPr>
        <w:t>，具体包括以下几个测量维度：</w:t>
      </w:r>
    </w:p>
    <w:p w14:paraId="32BC4A0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1. 当代经济发展指标（2000年）：</w:t>
      </w:r>
    </w:p>
    <w:p w14:paraId="78AF504E">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人均GDP对数值</w:t>
      </w:r>
      <w:r>
        <w:rPr>
          <w:rFonts w:hint="default" w:ascii="Times New Roman Regular" w:hAnsi="Times New Roman Regular" w:cs="Times New Roman Regular"/>
        </w:rPr>
        <w:t>（Log GDP per capita in 2000 CE）：以2000年美元计价的人均国内生产总值的自然对数，数据来源于世界银行世界发展指标数据库。这是衡量当代经济繁荣程度的标准指标（第19页）。</w:t>
      </w:r>
    </w:p>
    <w:p w14:paraId="52E106ED">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技术采用指数</w:t>
      </w:r>
      <w:r>
        <w:rPr>
          <w:rFonts w:hint="default" w:ascii="Times New Roman Regular" w:hAnsi="Times New Roman Regular" w:cs="Times New Roman Regular"/>
        </w:rPr>
        <w:t>（Technology Adoption Index in 2000 CE）：由Comin等人（2010）构建的综合技术采用指数，涵盖农业、交通、通讯、书写和军事五个领域的技术进步程度（第20页）。</w:t>
      </w:r>
    </w:p>
    <w:p w14:paraId="6695FFF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2. 前工业时代经济发展指标（1500年及以前）：</w:t>
      </w:r>
    </w:p>
    <w:p w14:paraId="3431EE93">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人口密度对数值</w:t>
      </w:r>
      <w:r>
        <w:rPr>
          <w:rFonts w:hint="default" w:ascii="Times New Roman Regular" w:hAnsi="Times New Roman Regular" w:cs="Times New Roman Regular"/>
        </w:rPr>
        <w:t>（Log Population Density in 1500 CE）：基于McEvedy和Jones（1978）的人口数据和世界银行的土地面积数据计算得出。在马尔萨斯时代，人口密度是衡量生产力水平的重要代理变量（第19页、第24页）。</w:t>
      </w:r>
    </w:p>
    <w:p w14:paraId="7EEAE44F">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城市化率</w:t>
      </w:r>
      <w:r>
        <w:rPr>
          <w:rFonts w:hint="default" w:ascii="Times New Roman Regular" w:hAnsi="Times New Roman Regular" w:cs="Times New Roman Regular"/>
        </w:rPr>
        <w:t>（Urbanization Rate in 1500 CE）：定义为居住在城市地区（人口规模至少5000人）的总人口比例，数据来源于Acemoglu等人（2005）（第24-25页）。</w:t>
      </w:r>
    </w:p>
    <w:p w14:paraId="2386381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技术采用指数</w:t>
      </w:r>
      <w:r>
        <w:rPr>
          <w:rFonts w:hint="default" w:ascii="Times New Roman Regular" w:hAnsi="Times New Roman Regular" w:cs="Times New Roman Regular"/>
        </w:rPr>
        <w:t>（Technology Adoption Index in 1500 CE）：同样由Comin等人（2010）构建，用于测量前工业时代的技术水平（第20页）。</w:t>
      </w:r>
    </w:p>
    <w:p w14:paraId="0894386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选择这些多元化的因变量基于以下理论考量：在马尔萨斯经济体制下，生产力提升会转化为人口增长而非人均收入增加，因此人口密度和城市化率可以作为前工业时代生产力的有效代理变量。而在工业时代，人均GDP则能够更直接地反映生产力水平（第13-14页）。</w:t>
      </w:r>
    </w:p>
    <w:p w14:paraId="7CD717A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main dependent variables of this paper are </w:t>
      </w:r>
      <w:r>
        <w:rPr>
          <w:rStyle w:val="7"/>
          <w:rFonts w:hint="default" w:ascii="Times New Roman Regular" w:hAnsi="Times New Roman Regular" w:cs="Times New Roman Regular"/>
        </w:rPr>
        <w:t>indicators of economic development</w:t>
      </w:r>
      <w:r>
        <w:rPr>
          <w:rFonts w:hint="default" w:ascii="Times New Roman Regular" w:hAnsi="Times New Roman Regular" w:cs="Times New Roman Regular"/>
        </w:rPr>
        <w:t>, specifically including the following measurement dimensions:</w:t>
      </w:r>
    </w:p>
    <w:p w14:paraId="362BC21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1. Contemporary Economic Development Indicators (Year 2000):</w:t>
      </w:r>
    </w:p>
    <w:p w14:paraId="28289ED4">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Log GDP per capita in 2000 CE</w:t>
      </w:r>
      <w:r>
        <w:rPr>
          <w:rFonts w:hint="default" w:ascii="Times New Roman Regular" w:hAnsi="Times New Roman Regular" w:cs="Times New Roman Regular"/>
        </w:rPr>
        <w:t>: The natural logarithm of per capita gross domestic product in constant 2000 US dollars, sourced from the World Bank World Development Indicators database. This is the standard measure of contemporary economic prosperity (p. 19).</w:t>
      </w:r>
    </w:p>
    <w:p w14:paraId="5E408648">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Technology Adoption Index in 2000 CE</w:t>
      </w:r>
      <w:r>
        <w:rPr>
          <w:rFonts w:hint="default" w:ascii="Times New Roman Regular" w:hAnsi="Times New Roman Regular" w:cs="Times New Roman Regular"/>
        </w:rPr>
        <w:t>: A composite technology adoption index constructed by Comin et al. (2010), covering technological progress in five sectors: agriculture, transportation, communications, writing, and military (p. 20).</w:t>
      </w:r>
    </w:p>
    <w:p w14:paraId="5F2FB54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2. Pre-industrial Economic Development Indicators (1500 CE and earlier):</w:t>
      </w:r>
    </w:p>
    <w:p w14:paraId="5383F024">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Log Population Density in 1500 CE</w:t>
      </w:r>
      <w:r>
        <w:rPr>
          <w:rFonts w:hint="default" w:ascii="Times New Roman Regular" w:hAnsi="Times New Roman Regular" w:cs="Times New Roman Regular"/>
        </w:rPr>
        <w:t>: Calculated based on population data from McEvedy and Jones (1978) and land area data from the World Bank. In the Malthusian era, population density serves as an important proxy variable for productivity levels (pp. 19, 24).</w:t>
      </w:r>
    </w:p>
    <w:p w14:paraId="43D03B77">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Urbanization Rate in 1500 CE</w:t>
      </w:r>
      <w:r>
        <w:rPr>
          <w:rFonts w:hint="default" w:ascii="Times New Roman Regular" w:hAnsi="Times New Roman Regular" w:cs="Times New Roman Regular"/>
        </w:rPr>
        <w:t>: Defined as the percentage of total population residing in urban areas (each with a city population size of at least 5,000), sourced from Acemoglu et al. (2005) (pp. 24-25).</w:t>
      </w:r>
    </w:p>
    <w:p w14:paraId="4CCDF0CE">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Technology Adoption Index in 1500 CE</w:t>
      </w:r>
      <w:r>
        <w:rPr>
          <w:rFonts w:hint="default" w:ascii="Times New Roman Regular" w:hAnsi="Times New Roman Regular" w:cs="Times New Roman Regular"/>
        </w:rPr>
        <w:t>: Also constructed by Comin et al. (2010), used to measure pre-industrial technological levels (p. 20).</w:t>
      </w:r>
    </w:p>
    <w:p w14:paraId="34A4ADB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selected these diverse dependent variables based on the following theoretical considerations: under the Malthusian economic regime, productivity improvements translate into population growth rather than increases in per capita income, thus population density and urbanization rates can serve as effective proxy variables for productivity in the pre-industrial era. In the industrial era, per capita GDP can more directly reflect productivity levels (pp. 13-14).</w:t>
      </w:r>
    </w:p>
    <w:p w14:paraId="4558196A">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4888744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自变量 / IV: What is the main independent variable?</w:t>
      </w:r>
    </w:p>
    <w:p w14:paraId="1847141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本文的核心自变量是</w:t>
      </w:r>
      <w:r>
        <w:rPr>
          <w:rStyle w:val="7"/>
          <w:rFonts w:hint="default" w:ascii="Times New Roman Regular" w:hAnsi="Times New Roman Regular" w:cs="Times New Roman Regular"/>
        </w:rPr>
        <w:t>扩展的国家历史指数</w:t>
      </w:r>
      <w:r>
        <w:rPr>
          <w:rFonts w:hint="default" w:ascii="Times New Roman Regular" w:hAnsi="Times New Roman Regular" w:cs="Times New Roman Regular"/>
        </w:rPr>
        <w:t>（Extended Statehist Index），这是对Bockstette等人（2002）最初开发的</w:t>
      </w:r>
      <w:r>
        <w:rPr>
          <w:rFonts w:hint="default" w:ascii="Times New Roman Regular" w:hAnsi="Times New Roman Regular" w:cs="Times New Roman Regular"/>
          <w:lang w:val="en-US"/>
        </w:rPr>
        <w:t>“国家古老程度指数”</w:t>
      </w:r>
      <w:r>
        <w:rPr>
          <w:rFonts w:hint="default" w:ascii="Times New Roman Regular" w:hAnsi="Times New Roman Regular" w:cs="Times New Roman Regular"/>
        </w:rPr>
        <w:t>（State Antiquity Index）的重大扩展。</w:t>
      </w:r>
    </w:p>
    <w:p w14:paraId="2301EFF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指数的时间覆盖范围：</w:t>
      </w:r>
    </w:p>
    <w:p w14:paraId="4FA11427">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原始指数仅覆盖公元1年至公元1950年</w:t>
      </w:r>
    </w:p>
    <w:p w14:paraId="7BCF8E38">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本文将其向前延伸至公元前3500年（第一个国家出现的时间），并补充了1951-2000年的数据</w:t>
      </w:r>
    </w:p>
    <w:p w14:paraId="42165687">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总计覆盖110个50年周期，涵盖159个当代国家（第2页、第15页）</w:t>
      </w:r>
    </w:p>
    <w:p w14:paraId="29D44E0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指数的计算公式：</w:t>
      </w:r>
      <w:r>
        <w:rPr>
          <w:rFonts w:hint="default" w:ascii="Times New Roman Regular" w:hAnsi="Times New Roman Regular" w:cs="Times New Roman Regular"/>
        </w:rPr>
        <w:t xml:space="preserve"> 指数采用以下公式计算累积国家历史得分：</w:t>
      </w:r>
    </w:p>
    <w:p w14:paraId="148A2D10">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jc w:val="left"/>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 xml:space="preserve">Siτ=∑t=0τ(1+ρ)t−τ⋅sit∑t=0τ(1+ρ)t−τ⋅50S_{i\tau} = \frac{\sum_{t=0}^{\tau}(1+\rho)^{t-\tau} \cdot s_{it}}{\sum_{t=0}^{\tau}(1+\rho)^{t-\tau} \cdot 50}Siτ​=∑t=0τ​(1+ρ)t−τ⋅50∑t=0τ​(1+ρ)t−τ⋅sit​​ </w:t>
      </w:r>
    </w:p>
    <w:p w14:paraId="1EA15EB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其中，sit=zit1⋅zit2⋅zit3⋅50s_{it} = z^1_{it} \cdot z^2_{it} \cdot z^3_{it} \cdot 50 sit​=zit1​⋅zit2​⋅zit3​⋅50，ρ\rho ρ为折旧率，作者主要使用1%的折旧率（第15页）。 </w:t>
      </w:r>
    </w:p>
    <w:p w14:paraId="4814516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指数的三个组成维度：</w:t>
      </w:r>
    </w:p>
    <w:p w14:paraId="483F6C75">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国家存在性</w:t>
      </w:r>
      <w:r>
        <w:rPr>
          <w:rFonts w:hint="default" w:ascii="Times New Roman Regular" w:hAnsi="Times New Roman Regular" w:cs="Times New Roman Regular"/>
        </w:rPr>
        <w:t xml:space="preserve">（z1z^1 z1）：是否存在部落水平以上的政府？满分1分表示存在完整国家，0.75分表示仅存在最高酋长制（paramount chiefdom），0分表示无政府存在（第15页）。 </w:t>
      </w:r>
    </w:p>
    <w:p w14:paraId="692330B2">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统治来源</w:t>
      </w:r>
      <w:r>
        <w:rPr>
          <w:rFonts w:hint="default" w:ascii="Times New Roman Regular" w:hAnsi="Times New Roman Regular" w:cs="Times New Roman Regular"/>
        </w:rPr>
        <w:t xml:space="preserve">（z2z^2 z2）：政府是本土还是外来？1分表示完全本土统治，0.5分表示外来统治，0.75分表示本土政府但受外国实质性监督（第15页）。 </w:t>
      </w:r>
    </w:p>
    <w:p w14:paraId="131474AF">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领土覆盖范围</w:t>
      </w:r>
      <w:r>
        <w:rPr>
          <w:rFonts w:hint="default" w:ascii="Times New Roman Regular" w:hAnsi="Times New Roman Regular" w:cs="Times New Roman Regular"/>
        </w:rPr>
        <w:t xml:space="preserve">（z3z^3 z3）：政府控制了现代国家领土的多少比例？1分表示超过50%，0.75分表示25-50%，0.5分表示10-25%，0.3分表示低于10%（第15页）。 </w:t>
      </w:r>
    </w:p>
    <w:p w14:paraId="67AD5C3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祖先调整后的国家历史指数：</w:t>
      </w:r>
      <w:r>
        <w:rPr>
          <w:rFonts w:hint="default" w:ascii="Times New Roman Regular" w:hAnsi="Times New Roman Regular" w:cs="Times New Roman Regular"/>
        </w:rPr>
        <w:t xml:space="preserve"> 作者还构建了一个考虑人口迁移的变量——</w:t>
      </w:r>
      <w:r>
        <w:rPr>
          <w:rFonts w:hint="default" w:ascii="Times New Roman Regular" w:hAnsi="Times New Roman Regular" w:cs="Times New Roman Regular"/>
          <w:lang w:val="en-US"/>
        </w:rPr>
        <w:t>“祖先调整后的国家历史指数”</w:t>
      </w:r>
      <w:r>
        <w:rPr>
          <w:rFonts w:hint="default" w:ascii="Times New Roman Regular" w:hAnsi="Times New Roman Regular" w:cs="Times New Roman Regular"/>
        </w:rPr>
        <w:t>（Ancestry-Adjusted Statehist）。该指数利用Putterman和Weil（2010）开发的迁移矩阵，计算当代人口祖先（按1500年居住地）的加权平均国家历史得分。这一调整对于理解美洲、澳大利亚和新西兰等移民国家的经济发展尤为重要（第22-23页）。</w:t>
      </w:r>
    </w:p>
    <w:p w14:paraId="257B0A8A">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p>
    <w:p w14:paraId="082F8E4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core independent variable of this paper is the </w:t>
      </w:r>
      <w:r>
        <w:rPr>
          <w:rStyle w:val="7"/>
          <w:rFonts w:hint="default" w:ascii="Times New Roman Regular" w:hAnsi="Times New Roman Regular" w:cs="Times New Roman Regular"/>
        </w:rPr>
        <w:t>Extended Statehist Index</w:t>
      </w:r>
      <w:r>
        <w:rPr>
          <w:rFonts w:hint="default" w:ascii="Times New Roman Regular" w:hAnsi="Times New Roman Regular" w:cs="Times New Roman Regular"/>
        </w:rPr>
        <w:t xml:space="preserve">, which represents a major extension of the </w:t>
      </w:r>
      <w:r>
        <w:rPr>
          <w:rFonts w:hint="default" w:ascii="Times New Roman Regular" w:hAnsi="Times New Roman Regular" w:cs="Times New Roman Regular"/>
          <w:lang w:val="en-US"/>
        </w:rPr>
        <w:t>“State Antiquity Index”</w:t>
      </w:r>
      <w:r>
        <w:rPr>
          <w:rFonts w:hint="default" w:ascii="Times New Roman Regular" w:hAnsi="Times New Roman Regular" w:cs="Times New Roman Regular"/>
        </w:rPr>
        <w:t xml:space="preserve"> originally developed by Bockstette et al. (2002).</w:t>
      </w:r>
    </w:p>
    <w:p w14:paraId="24198BD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Temporal Coverage of the Index:</w:t>
      </w:r>
    </w:p>
    <w:p w14:paraId="498E2419">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The original index only covered 1 CE to 1950 CE</w:t>
      </w:r>
    </w:p>
    <w:p w14:paraId="4852F841">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This paper extends it backward to 3500 BCE (the time when the first state emerged) and supplements data for 1951-2000 CE</w:t>
      </w:r>
    </w:p>
    <w:p w14:paraId="47E3B912">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In total, it covers 110 fifty-year periods across 159 contemporary countries (pp. 2, 15)</w:t>
      </w:r>
    </w:p>
    <w:p w14:paraId="4D8D4FE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Calculation Formula:</w:t>
      </w:r>
      <w:r>
        <w:rPr>
          <w:rFonts w:hint="default" w:ascii="Times New Roman Regular" w:hAnsi="Times New Roman Regular" w:cs="Times New Roman Regular"/>
        </w:rPr>
        <w:t xml:space="preserve"> The index uses the following formula to calculate the cumulative state history score:</w:t>
      </w:r>
    </w:p>
    <w:p w14:paraId="5C01E03C">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jc w:val="left"/>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 xml:space="preserve">Siτ=∑t=0τ(1+ρ)t−τ⋅sit∑t=0τ(1+ρ)t−τ⋅50S_{i\tau} = \frac{\sum_{t=0}^{\tau}(1+\rho)^{t-\tau} \cdot s_{it}}{\sum_{t=0}^{\tau}(1+\rho)^{t-\tau} \cdot 50}Siτ​=∑t=0τ​(1+ρ)t−τ⋅50∑t=0τ​(1+ρ)t−τ⋅sit​​ </w:t>
      </w:r>
    </w:p>
    <w:p w14:paraId="06018CC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Where sit=zit1⋅zit2⋅zit3⋅50s_{it} = z^1_{it} \cdot z^2_{it} \cdot z^3_{it} \cdot 50 sit​=zit1​⋅zit2​⋅zit3​⋅50, and ρ\rho ρ is the depreciation rate. The authors primarily use a 1% depreciation rate (p. 15). </w:t>
      </w:r>
    </w:p>
    <w:p w14:paraId="21DB88B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Three Component Dimensions of the Index:</w:t>
      </w:r>
    </w:p>
    <w:p w14:paraId="778EDDF0">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State Existence</w:t>
      </w:r>
      <w:r>
        <w:rPr>
          <w:rFonts w:hint="default" w:ascii="Times New Roman Regular" w:hAnsi="Times New Roman Regular" w:cs="Times New Roman Regular"/>
        </w:rPr>
        <w:t xml:space="preserve"> (z1z^1 z1): Is there a government above the tribal level? A full score of 1 indicates a complete state exists, 0.75 indicates only a paramount chiefdom, and 0 indicates no government presence (p. 15). </w:t>
      </w:r>
    </w:p>
    <w:p w14:paraId="39C57C7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Source of Rule</w:t>
      </w:r>
      <w:r>
        <w:rPr>
          <w:rFonts w:hint="default" w:ascii="Times New Roman Regular" w:hAnsi="Times New Roman Regular" w:cs="Times New Roman Regular"/>
        </w:rPr>
        <w:t xml:space="preserve"> (z2z^2 z2): Is the government locally or externally based? 1 indicates completely local rule, 0.5 indicates external rule, and 0.75 indicates local government with substantial foreign oversight (p. 15). </w:t>
      </w:r>
    </w:p>
    <w:p w14:paraId="393CBF71">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Territorial Coverage</w:t>
      </w:r>
      <w:r>
        <w:rPr>
          <w:rFonts w:hint="default" w:ascii="Times New Roman Regular" w:hAnsi="Times New Roman Regular" w:cs="Times New Roman Regular"/>
        </w:rPr>
        <w:t xml:space="preserve"> (z3z^3 z3): What proportion of the modern country</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territory was under government control? 1 indicates over 50%, 0.75 indicates 25-50%, 0.5 indicates 10-25%, and 0.3 indicates below 10% (p. 15). </w:t>
      </w:r>
    </w:p>
    <w:p w14:paraId="09A53C7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Ancestry-Adjusted Statehist Index:</w:t>
      </w:r>
      <w:r>
        <w:rPr>
          <w:rFonts w:hint="default" w:ascii="Times New Roman Regular" w:hAnsi="Times New Roman Regular" w:cs="Times New Roman Regular"/>
        </w:rPr>
        <w:t xml:space="preserve"> The authors also constructed a variable accounting for population migration—the </w:t>
      </w:r>
      <w:r>
        <w:rPr>
          <w:rFonts w:hint="default" w:ascii="Times New Roman Regular" w:hAnsi="Times New Roman Regular" w:cs="Times New Roman Regular"/>
          <w:lang w:val="en-US"/>
        </w:rPr>
        <w:t>“Ancestry-Adjusted Statehist.”</w:t>
      </w:r>
      <w:r>
        <w:rPr>
          <w:rFonts w:hint="default" w:ascii="Times New Roman Regular" w:hAnsi="Times New Roman Regular" w:cs="Times New Roman Regular"/>
        </w:rPr>
        <w:t xml:space="preserve"> This index uses the migration matrix developed by Putterman and Weil (2010) to calculate the weighted average state history score of contemporary population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ancestors (by their place of residence in 1500). This adjustment is particularly important for understanding economic development in immigrant countries such as the Americas, Australia, and New Zealand (pp. 22-23).</w:t>
      </w:r>
    </w:p>
    <w:p w14:paraId="0213C1B2">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343D43A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国家概念的界定与测量 / Stateness: How is the </w:t>
      </w:r>
      <w:r>
        <w:rPr>
          <w:rFonts w:hint="default" w:ascii="Times New Roman Regular" w:hAnsi="Times New Roman Regular" w:cs="Times New Roman Regular"/>
          <w:lang w:val="en-US"/>
        </w:rPr>
        <w:t>“state”</w:t>
      </w:r>
      <w:r>
        <w:rPr>
          <w:rFonts w:hint="default" w:ascii="Times New Roman Regular" w:hAnsi="Times New Roman Regular" w:cs="Times New Roman Regular"/>
        </w:rPr>
        <w:t xml:space="preserve"> and/or </w:t>
      </w:r>
      <w:r>
        <w:rPr>
          <w:rFonts w:hint="default" w:ascii="Times New Roman Regular" w:hAnsi="Times New Roman Regular" w:cs="Times New Roman Regular"/>
          <w:lang w:val="en-US"/>
        </w:rPr>
        <w:t>“state building”</w:t>
      </w:r>
      <w:r>
        <w:rPr>
          <w:rFonts w:hint="default" w:ascii="Times New Roman Regular" w:hAnsi="Times New Roman Regular" w:cs="Times New Roman Regular"/>
        </w:rPr>
        <w:t xml:space="preserve"> conceptualized and measured?</w:t>
      </w:r>
    </w:p>
    <w:p w14:paraId="05E9454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国家的理论界定：</w:t>
      </w:r>
    </w:p>
    <w:p w14:paraId="7BCFF8A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本文对</w:t>
      </w:r>
      <w:r>
        <w:rPr>
          <w:rFonts w:hint="default" w:ascii="Times New Roman Regular" w:hAnsi="Times New Roman Regular" w:cs="Times New Roman Regular"/>
          <w:lang w:val="en-US"/>
        </w:rPr>
        <w:t>“国家”</w:t>
      </w:r>
      <w:r>
        <w:rPr>
          <w:rFonts w:hint="default" w:ascii="Times New Roman Regular" w:hAnsi="Times New Roman Regular" w:cs="Times New Roman Regular"/>
        </w:rPr>
        <w:t>的定义遵循政治人类学和社会学的经典传统。作者首先引用马克斯·韦伯（Max Weber /mæks ˈveɪbər/，马克斯·韦伯）的经典定义：国家是</w:t>
      </w:r>
      <w:r>
        <w:rPr>
          <w:rFonts w:hint="default" w:ascii="Times New Roman Regular" w:hAnsi="Times New Roman Regular" w:cs="Times New Roman Regular"/>
          <w:lang w:val="en-US"/>
        </w:rPr>
        <w:t>“在特定领土内对合法使用暴力拥有垄断权的实体”</w:t>
      </w:r>
      <w:r>
        <w:rPr>
          <w:rFonts w:hint="default" w:ascii="Times New Roman Regular" w:hAnsi="Times New Roman Regular" w:cs="Times New Roman Regular"/>
        </w:rPr>
        <w:t>（第5页）。</w:t>
      </w:r>
    </w:p>
    <w:p w14:paraId="195BC4E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在此基础上，作者采用了Service（1962）提出的人类社会演化分类体系，将人类社会组织形式分为四个层次：</w:t>
      </w:r>
      <w:r>
        <w:rPr>
          <w:rStyle w:val="7"/>
          <w:rFonts w:hint="default" w:ascii="Times New Roman Regular" w:hAnsi="Times New Roman Regular" w:cs="Times New Roman Regular"/>
        </w:rPr>
        <w:t>游群（bands）→ 部落（tribes）→ 酋邦（chiefdoms）→ 国家（states）</w:t>
      </w:r>
      <w:r>
        <w:rPr>
          <w:rFonts w:hint="default" w:ascii="Times New Roman Regular" w:hAnsi="Times New Roman Regular" w:cs="Times New Roman Regular"/>
        </w:rPr>
        <w:t>。这一分类体系得到了Johnson和Earle（2000）等学者的进一步发展（第3页、第5-6页）。</w:t>
      </w:r>
    </w:p>
    <w:p w14:paraId="59A2641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根据Carneiro（1981）的界定，</w:t>
      </w:r>
      <w:r>
        <w:rPr>
          <w:rStyle w:val="7"/>
          <w:rFonts w:hint="default" w:ascii="Times New Roman Regular" w:hAnsi="Times New Roman Regular" w:cs="Times New Roman Regular"/>
        </w:rPr>
        <w:t>国家</w:t>
      </w:r>
      <w:r>
        <w:rPr>
          <w:rFonts w:hint="default" w:ascii="Times New Roman Regular" w:hAnsi="Times New Roman Regular" w:cs="Times New Roman Regular"/>
        </w:rPr>
        <w:t>的核心特征包括：</w:t>
      </w:r>
    </w:p>
    <w:p w14:paraId="37C3CDD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拥有中央集权的政府</w:t>
      </w:r>
    </w:p>
    <w:p w14:paraId="154DA115">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具备征税能力</w:t>
      </w:r>
    </w:p>
    <w:p w14:paraId="77F93CDA">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能够执行法律</w:t>
      </w:r>
    </w:p>
    <w:p w14:paraId="3891049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可以动员军队进行战争（第3页、第14页）</w:t>
      </w:r>
    </w:p>
    <w:p w14:paraId="0F4679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作者特别区分了</w:t>
      </w:r>
      <w:r>
        <w:rPr>
          <w:rStyle w:val="7"/>
          <w:rFonts w:hint="default" w:ascii="Times New Roman Regular" w:hAnsi="Times New Roman Regular" w:cs="Times New Roman Regular"/>
        </w:rPr>
        <w:t>酋邦</w:t>
      </w:r>
      <w:r>
        <w:rPr>
          <w:rFonts w:hint="default" w:ascii="Times New Roman Regular" w:hAnsi="Times New Roman Regular" w:cs="Times New Roman Regular"/>
        </w:rPr>
        <w:t>和</w:t>
      </w:r>
      <w:r>
        <w:rPr>
          <w:rStyle w:val="7"/>
          <w:rFonts w:hint="default" w:ascii="Times New Roman Regular" w:hAnsi="Times New Roman Regular" w:cs="Times New Roman Regular"/>
        </w:rPr>
        <w:t>国家</w:t>
      </w:r>
      <w:r>
        <w:rPr>
          <w:rFonts w:hint="default" w:ascii="Times New Roman Regular" w:hAnsi="Times New Roman Regular" w:cs="Times New Roman Regular"/>
        </w:rPr>
        <w:t>：虽然简单酋邦不足以被视为国家，但</w:t>
      </w:r>
      <w:r>
        <w:rPr>
          <w:rStyle w:val="7"/>
          <w:rFonts w:hint="default" w:ascii="Times New Roman Regular" w:hAnsi="Times New Roman Regular" w:cs="Times New Roman Regular"/>
        </w:rPr>
        <w:t>最高酋邦</w:t>
      </w:r>
      <w:r>
        <w:rPr>
          <w:rFonts w:hint="default" w:ascii="Times New Roman Regular" w:hAnsi="Times New Roman Regular" w:cs="Times New Roman Regular"/>
        </w:rPr>
        <w:t>（paramount chiefdom）——即整合了多个独立酋邦的政治实体——可以被理解为一种萌芽状态的国家。因此，当一个政体达到最高酋邦水平时，作者开始赋予部分权重（0.75分）（第5页、第14页）。</w:t>
      </w:r>
    </w:p>
    <w:p w14:paraId="6E86C52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国家起源的识别方法：</w:t>
      </w:r>
    </w:p>
    <w:p w14:paraId="535D61B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作者采用</w:t>
      </w:r>
      <w:r>
        <w:rPr>
          <w:rFonts w:hint="default" w:ascii="Times New Roman Regular" w:hAnsi="Times New Roman Regular" w:cs="Times New Roman Regular"/>
          <w:lang w:val="en-US"/>
        </w:rPr>
        <w:t>“诊断特征法”</w:t>
      </w:r>
      <w:r>
        <w:rPr>
          <w:rFonts w:hint="default" w:ascii="Times New Roman Regular" w:hAnsi="Times New Roman Regular" w:cs="Times New Roman Regular"/>
        </w:rPr>
        <w:t>（diagnostic traits approach）来识别国家的出现时间。具体而言，当缺乏文字记录时，作者依据以下考古学证据来确认国家形成：</w:t>
      </w:r>
    </w:p>
    <w:p w14:paraId="4534A675">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纪念性建筑（如宫殿、神庙）</w:t>
      </w:r>
    </w:p>
    <w:p w14:paraId="6810B02A">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大型城市定居点</w:t>
      </w:r>
    </w:p>
    <w:p w14:paraId="073D8BEB">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其他显示权力垄断化的物质证据（第14页）</w:t>
      </w:r>
    </w:p>
    <w:p w14:paraId="7126E11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以伊拉克（Iraq /ɪˈrɑːk/，伊拉克）为例，乌鲁克（Uruk /ˈʊrʊk/，乌鲁克）在公元前四千年中期从小型定居点发展为具有宏伟建筑结构的大型城市中心，这一转变被视为国家形成的标志（第14页）。</w:t>
      </w:r>
    </w:p>
    <w:p w14:paraId="799611D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测量的编码实例：</w:t>
      </w:r>
    </w:p>
    <w:p w14:paraId="6AF6A66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以比利时（Belgium /ˈbeldʒəm/，比利时）为例：该地区在公元前59年至52年间被纳入罗马帝国（Roman Empire /ˈroʊmən/），首次出现大规模政治组织。此时，z1z^1 z1编码为1（存在完整国家），但z2z^2 z2编码为0.5（外来统治），z3z^3 z3根据罗马控制的领土比例进行编码（第5页）。 </w:t>
      </w:r>
    </w:p>
    <w:p w14:paraId="4C5800B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以墨西哥（Mexico /ˈmeksɪkoʊ/，墨西哥）为例：公元前450-100年期间，恰帕斯（Chiapas /tʃiˈɑːpɑːs/，恰帕斯）和瓦哈卡（Oaxaca /wəˈhɑːkə/，瓦哈卡）出现早期城市定居点，作者赋予0.75分（最高酋邦水平）。到公元前100年，特奥蒂瓦坎（Teotihuacan /teɪˌoʊtiːwɑːˈkɑːn/，特奥蒂瓦坎）出现大规模城市增长和常备军等制度，此时提升为1分（完整国家）（第14页脚注23）。</w:t>
      </w:r>
    </w:p>
    <w:p w14:paraId="4E51FE1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Theoretical Conceptualization of the State:</w:t>
      </w:r>
    </w:p>
    <w:p w14:paraId="784DFCD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paper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definition of the </w:t>
      </w:r>
      <w:r>
        <w:rPr>
          <w:rFonts w:hint="default" w:ascii="Times New Roman Regular" w:hAnsi="Times New Roman Regular" w:cs="Times New Roman Regular"/>
          <w:lang w:val="en-US"/>
        </w:rPr>
        <w:t>“state”</w:t>
      </w:r>
      <w:r>
        <w:rPr>
          <w:rFonts w:hint="default" w:ascii="Times New Roman Regular" w:hAnsi="Times New Roman Regular" w:cs="Times New Roman Regular"/>
        </w:rPr>
        <w:t xml:space="preserve"> follows the classical traditions of political anthropology and sociology. The authors first cite the classic definition by Max Weber: the state is </w:t>
      </w:r>
      <w:r>
        <w:rPr>
          <w:rFonts w:hint="default" w:ascii="Times New Roman Regular" w:hAnsi="Times New Roman Regular" w:cs="Times New Roman Regular"/>
          <w:lang w:val="en-US"/>
        </w:rPr>
        <w:t>“an entity which upholds the claim to the monopoly of the legitimate use of physical force in the enforcement of its order”</w:t>
      </w:r>
      <w:r>
        <w:rPr>
          <w:rFonts w:hint="default" w:ascii="Times New Roman Regular" w:hAnsi="Times New Roman Regular" w:cs="Times New Roman Regular"/>
        </w:rPr>
        <w:t xml:space="preserve"> (p. 5).</w:t>
      </w:r>
    </w:p>
    <w:p w14:paraId="16C3D2C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Building on this foundation, the authors adopt the evolutionary classification system of human societies proposed by Service (1962), categorizing human social organization into four levels: </w:t>
      </w:r>
      <w:r>
        <w:rPr>
          <w:rStyle w:val="7"/>
          <w:rFonts w:hint="default" w:ascii="Times New Roman Regular" w:hAnsi="Times New Roman Regular" w:cs="Times New Roman Regular"/>
        </w:rPr>
        <w:t>bands → tribes → chiefdoms → states</w:t>
      </w:r>
      <w:r>
        <w:rPr>
          <w:rFonts w:hint="default" w:ascii="Times New Roman Regular" w:hAnsi="Times New Roman Regular" w:cs="Times New Roman Regular"/>
        </w:rPr>
        <w:t>. This classification system was further developed by scholars such as Johnson and Earle (2000) (pp. 3, 5-6).</w:t>
      </w:r>
    </w:p>
    <w:p w14:paraId="55452C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According to Carneiro</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(1981) definition, the core characteristics of a </w:t>
      </w:r>
      <w:r>
        <w:rPr>
          <w:rStyle w:val="7"/>
          <w:rFonts w:hint="default" w:ascii="Times New Roman Regular" w:hAnsi="Times New Roman Regular" w:cs="Times New Roman Regular"/>
        </w:rPr>
        <w:t>state</w:t>
      </w:r>
      <w:r>
        <w:rPr>
          <w:rFonts w:hint="default" w:ascii="Times New Roman Regular" w:hAnsi="Times New Roman Regular" w:cs="Times New Roman Regular"/>
        </w:rPr>
        <w:t xml:space="preserve"> include:</w:t>
      </w:r>
    </w:p>
    <w:p w14:paraId="5BA68BD2">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Having a centralized government</w:t>
      </w:r>
    </w:p>
    <w:p w14:paraId="4BA92EDF">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Possessing the ability to collect taxes</w:t>
      </w:r>
    </w:p>
    <w:p w14:paraId="04444927">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Being able to enforce laws</w:t>
      </w:r>
    </w:p>
    <w:p w14:paraId="479518E6">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Being capable of mobilizing forces for war (pp. 3, 14)</w:t>
      </w:r>
    </w:p>
    <w:p w14:paraId="7084B2D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authors specifically distinguish between </w:t>
      </w:r>
      <w:r>
        <w:rPr>
          <w:rStyle w:val="7"/>
          <w:rFonts w:hint="default" w:ascii="Times New Roman Regular" w:hAnsi="Times New Roman Regular" w:cs="Times New Roman Regular"/>
        </w:rPr>
        <w:t>chiefdoms</w:t>
      </w:r>
      <w:r>
        <w:rPr>
          <w:rFonts w:hint="default" w:ascii="Times New Roman Regular" w:hAnsi="Times New Roman Regular" w:cs="Times New Roman Regular"/>
        </w:rPr>
        <w:t xml:space="preserve"> and </w:t>
      </w:r>
      <w:r>
        <w:rPr>
          <w:rStyle w:val="7"/>
          <w:rFonts w:hint="default" w:ascii="Times New Roman Regular" w:hAnsi="Times New Roman Regular" w:cs="Times New Roman Regular"/>
        </w:rPr>
        <w:t>states</w:t>
      </w:r>
      <w:r>
        <w:rPr>
          <w:rFonts w:hint="default" w:ascii="Times New Roman Regular" w:hAnsi="Times New Roman Regular" w:cs="Times New Roman Regular"/>
        </w:rPr>
        <w:t xml:space="preserve">: while simple chiefdoms fall short of being states, </w:t>
      </w:r>
      <w:r>
        <w:rPr>
          <w:rStyle w:val="7"/>
          <w:rFonts w:hint="default" w:ascii="Times New Roman Regular" w:hAnsi="Times New Roman Regular" w:cs="Times New Roman Regular"/>
        </w:rPr>
        <w:t>paramount chiefdoms</w:t>
      </w:r>
      <w:r>
        <w:rPr>
          <w:rFonts w:hint="default" w:ascii="Times New Roman Regular" w:hAnsi="Times New Roman Regular" w:cs="Times New Roman Regular"/>
        </w:rPr>
        <w:t>—political entities that incorporate multiple individually substantial chiefdoms—can be understood as a form of incipient state. Therefore, when a polity reaches the paramount chiefdom level, the authors begin according partial weight (0.75 points) (pp. 5, 14).</w:t>
      </w:r>
    </w:p>
    <w:p w14:paraId="269E669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Methods for Identifying State Origins:</w:t>
      </w:r>
    </w:p>
    <w:p w14:paraId="6437340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authors employ a </w:t>
      </w:r>
      <w:r>
        <w:rPr>
          <w:rFonts w:hint="default" w:ascii="Times New Roman Regular" w:hAnsi="Times New Roman Regular" w:cs="Times New Roman Regular"/>
          <w:lang w:val="en-US"/>
        </w:rPr>
        <w:t>“diagnostic traits approach”</w:t>
      </w:r>
      <w:r>
        <w:rPr>
          <w:rFonts w:hint="default" w:ascii="Times New Roman Regular" w:hAnsi="Times New Roman Regular" w:cs="Times New Roman Regular"/>
        </w:rPr>
        <w:t xml:space="preserve"> to identify the timing of state emergence. Specifically, when written records are unavailable, the authors rely on the following archaeological evidence to confirm state formation:</w:t>
      </w:r>
    </w:p>
    <w:p w14:paraId="7015D419">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Monumental structures (such as palaces and temples)</w:t>
      </w:r>
    </w:p>
    <w:p w14:paraId="0D97478C">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Large urban settlements</w:t>
      </w:r>
    </w:p>
    <w:p w14:paraId="48B36B6D">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Other material evidence showing the monopolization of power (p. 14)</w:t>
      </w:r>
    </w:p>
    <w:p w14:paraId="200A315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Using Iraq as an example, Uruk</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transition from small settlements to large urban centers with grand architectural structures in the middle of the fourth millennium BCE is viewed as a marker of state formation (p. 14).</w:t>
      </w:r>
    </w:p>
    <w:p w14:paraId="17DF599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Coding Examples:</w:t>
      </w:r>
    </w:p>
    <w:p w14:paraId="080D69E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Using Belgium as an example: this territory came under large-scale political organization for the first time between 59 and 52 BCE when it was integrated into the Roman Empire. At this time, z1z^1 z1 is coded as 1 (complete state exists), but z2z^2 z2 is coded as 0.5 (external rule), and z3z^3 z3 is coded according to the proportion of territory under Roman control (p. 5). </w:t>
      </w:r>
    </w:p>
    <w:p w14:paraId="267A6B1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Using Mexico as an example: during the period 450-100 BCE, early urban settlements appeared at Chiapas and Oaxaca, and the authors assigned a score of 0.75 (paramount chiefdom level). By 100 BCE, with large-scale urban growth at Teotihuacan and the development of institutions such as a standing army, the score was raised to 1 (complete state) (p. 14, footnote 23).</w:t>
      </w:r>
    </w:p>
    <w:p w14:paraId="30518515">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0875173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核心论点 / Argument: What is the core argument about the relationship between the independent and dependent variable(s)?</w:t>
      </w:r>
    </w:p>
    <w:p w14:paraId="6FA1A28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本文的核心论点是：</w:t>
      </w:r>
      <w:r>
        <w:rPr>
          <w:rStyle w:val="7"/>
          <w:rFonts w:hint="default" w:ascii="Times New Roman Regular" w:hAnsi="Times New Roman Regular" w:cs="Times New Roman Regular"/>
        </w:rPr>
        <w:t>国家历史与当代经济发展之间呈现驼峰形（倒U形）关系，而非此前文献认为的线性正相关关系</w:t>
      </w:r>
      <w:r>
        <w:rPr>
          <w:rFonts w:hint="default" w:ascii="Times New Roman Regular" w:hAnsi="Times New Roman Regular" w:cs="Times New Roman Regular"/>
        </w:rPr>
        <w:t>。</w:t>
      </w:r>
    </w:p>
    <w:p w14:paraId="5181C93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论点的具体内涵：</w:t>
      </w:r>
    </w:p>
    <w:p w14:paraId="1C4B3A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作者认为，无论是国家历史极短（如撒哈拉以南非洲许多国家）还是国家历史极长（如埃及Egypt /ˈiːdʒɪpt/、伊拉克、土耳其Turkey /ˈtɜːrki/、中国China /ˈtʃaɪnə/等古老文明）的国家，其当代经济发展水平都相对较低。而那些拥有中等国家历史得分的国家——如英国（United Kingdom /juːˌnaɪtɪd ˈkɪŋdəm/）、丹麦（Denmark /ˈdenmɑːrk/）、日本（Japan /dʒəˈpæn/）等——则是当今世界最富裕的国家（第2-3页）。</w:t>
      </w:r>
    </w:p>
    <w:p w14:paraId="6F97FCA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与既有文献的对比：</w:t>
      </w:r>
    </w:p>
    <w:p w14:paraId="3297C3C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此前的研究（如Bockstette等人2002）仅使用公元1年至1950年的国家历史数据，发现国家历史与经济发展之间呈正相关关系。本文揭示这一发现实际上是数据不完整导致的误导性结论。由于公元前的国家历史未被编码，埃及、伊拉克等古老文明的国家历史得分被严重低估，与英国等中等历史国家的得分趋近，从而掩盖了真实的驼峰形关系（第12页）。</w:t>
      </w:r>
    </w:p>
    <w:p w14:paraId="281F3C3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论点的数据支撑：</w:t>
      </w:r>
    </w:p>
    <w:p w14:paraId="5ED37E1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基于扩展后的国家历史指数，作者发现：</w:t>
      </w:r>
    </w:p>
    <w:p w14:paraId="23BA77C6">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预测的收入最大化国家历史水平约为0.355，非常接近英国和大多数西欧国家的得分（第31页）</w:t>
      </w:r>
    </w:p>
    <w:p w14:paraId="0839C91F">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国家历史与人均GDP的二次项回归显示，线性项系数显著为正，二次项系数显著为负，确认了倒U形关系（第28页表5）</w:t>
      </w:r>
    </w:p>
    <w:p w14:paraId="516D00F1">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这一关系在使用祖先调整后的国家历史指数时更加稳健，解释力显著提高（R²从5.2%提升至23.4%）（第33页）</w:t>
      </w:r>
    </w:p>
    <w:p w14:paraId="347648E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论点的历史佐证：</w:t>
      </w:r>
    </w:p>
    <w:p w14:paraId="5C06DA8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作者以四个国家为例阐释这一模式：</w:t>
      </w:r>
    </w:p>
    <w:p w14:paraId="4A73E9E2">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埃及</w:t>
      </w:r>
      <w:r>
        <w:rPr>
          <w:rFonts w:hint="default" w:ascii="Times New Roman Regular" w:hAnsi="Times New Roman Regular" w:cs="Times New Roman Regular"/>
        </w:rPr>
        <w:t>：国家起源于约公元前3200年，是最古老的国家之一。早期经历了辉煌的古王国时期，但从公元前一千年开始陷入相对停滞，被罗马帝国等后来者超越（第8-9页）。</w:t>
      </w:r>
    </w:p>
    <w:p w14:paraId="1F34D09D">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意大利（Italy /ˈɪtəli/，意大利）</w:t>
      </w:r>
      <w:r>
        <w:rPr>
          <w:rFonts w:hint="default" w:ascii="Times New Roman Regular" w:hAnsi="Times New Roman Regular" w:cs="Times New Roman Regular"/>
        </w:rPr>
        <w:t>：国家可追溯至公元前850年的伊特鲁里亚人（Etruscans /ɪˈtrʌskənz/，伊特拉斯坎人）。罗马帝国时期达到顶峰，但在476年西罗马帝国灭亡后开始衰落，最终被北欧国家超越（第9页）。</w:t>
      </w:r>
    </w:p>
    <w:p w14:paraId="6AE0904D">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英国</w:t>
      </w:r>
      <w:r>
        <w:rPr>
          <w:rFonts w:hint="default" w:ascii="Times New Roman Regular" w:hAnsi="Times New Roman Regular" w:cs="Times New Roman Regular"/>
        </w:rPr>
        <w:t>：国家历史始于约公元前50年罗马统治时期，公元401年开始出现内部政体。凭借大西洋贸易和制度创新，英国在拿破仑战争后成为世界领先强国（第9页）。</w:t>
      </w:r>
    </w:p>
    <w:p w14:paraId="679191A2">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爱沙尼亚（Estonia /ɛˈstoʊniə/，爱沙尼亚）</w:t>
      </w:r>
      <w:r>
        <w:rPr>
          <w:rFonts w:hint="default" w:ascii="Times New Roman Regular" w:hAnsi="Times New Roman Regular" w:cs="Times New Roman Regular"/>
        </w:rPr>
        <w:t>：直到1237年才首次出现有组织政府。尽管国家历史最短，但独立后经济增长迅速，2014年人均收入达到英国的约70%（第9-10页）。</w:t>
      </w:r>
    </w:p>
    <w:p w14:paraId="70FC839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core argument of this paper is: </w:t>
      </w:r>
      <w:r>
        <w:rPr>
          <w:rStyle w:val="7"/>
          <w:rFonts w:hint="default" w:ascii="Times New Roman Regular" w:hAnsi="Times New Roman Regular" w:cs="Times New Roman Regular"/>
        </w:rPr>
        <w:t>The relationship between state history and contemporary economic development exhibits a hump-shaped (inverted U-shaped) pattern, rather than the linear positive correlation suggested by previous literature</w:t>
      </w:r>
      <w:r>
        <w:rPr>
          <w:rFonts w:hint="default" w:ascii="Times New Roman Regular" w:hAnsi="Times New Roman Regular" w:cs="Times New Roman Regular"/>
        </w:rPr>
        <w:t>.</w:t>
      </w:r>
    </w:p>
    <w:p w14:paraId="788DAA2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Specific Content of the Argument:</w:t>
      </w:r>
    </w:p>
    <w:p w14:paraId="6A7CC86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argue that countries with either very short state histories (such as many countries in Sub-Saharan Africa) or very long state histories (such as ancient civilizations like Egypt, Iraq, Turkey, and China) have relatively lower levels of contemporary economic development. In contrast, countries with intermediate state history scores—such as the United Kingdom, Denmark, and Japan—are among the wealthiest nations in the world today (pp. 2-3).</w:t>
      </w:r>
    </w:p>
    <w:p w14:paraId="28FD547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Comparison with Existing Literature:</w:t>
      </w:r>
    </w:p>
    <w:p w14:paraId="5D0CAEE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Previous studies (such as Bockstette et al. 2002) used only state history data from 1 CE to 1950 CE and found a positive correlation between state history and economic development. This paper reveals that this finding was actually a misleading conclusion caused by incomplete data. Because state history before the Common Era was not coded, the state history scores of ancient civilizations like Egypt and Iraq were severely underestimated, converging with scores of intermediate-history countries like the UK, thereby masking the true hump-shaped relationship (p. 12).</w:t>
      </w:r>
    </w:p>
    <w:p w14:paraId="2F0A60B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Data Support for the Argument:</w:t>
      </w:r>
    </w:p>
    <w:p w14:paraId="451167E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Based on the extended state history index, the authors find:</w:t>
      </w:r>
    </w:p>
    <w:p w14:paraId="6CAB3A72">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The predicted income-maximizing level of state history is approximately 0.355, very close to the scores of the United Kingdom and most Western European countries (p. 31)</w:t>
      </w:r>
    </w:p>
    <w:p w14:paraId="500B60B6">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Quadratic regressions of state history on per capita GDP show that the linear term coefficient is significantly positive and the quadratic term coefficient is significantly negative, confirming the inverted U-shaped relationship (p. 28, Table 5)</w:t>
      </w:r>
    </w:p>
    <w:p w14:paraId="4E5E95F3">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This relationship is more robust when using the ancestry-adjusted state history index, with explanatory power significantly improving (R² increases from 5.2% to 23.4%) (p. 33)</w:t>
      </w:r>
    </w:p>
    <w:p w14:paraId="4C80103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Historical Evidence for the Argument:</w:t>
      </w:r>
    </w:p>
    <w:p w14:paraId="1528B3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illustrate this pattern using four countries as examples:</w:t>
      </w:r>
    </w:p>
    <w:p w14:paraId="26C4AD5C">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Egypt</w:t>
      </w:r>
      <w:r>
        <w:rPr>
          <w:rFonts w:hint="default" w:ascii="Times New Roman Regular" w:hAnsi="Times New Roman Regular" w:cs="Times New Roman Regular"/>
        </w:rPr>
        <w:t>: State origins date to around 3200 BCE, making it one of the oldest states. It experienced a glorious Old Kingdom period early on but entered relative stagnation from the first millennium BCE, being overtaken by later arrivals such as the Roman Empire (pp. 8-9).</w:t>
      </w:r>
    </w:p>
    <w:p w14:paraId="0FDEBE23">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Italy</w:t>
      </w:r>
      <w:r>
        <w:rPr>
          <w:rFonts w:hint="default" w:ascii="Times New Roman Regular" w:hAnsi="Times New Roman Regular" w:cs="Times New Roman Regular"/>
        </w:rPr>
        <w:t>: State origins can be traced to the Etruscans around 850 BCE. It reached its peak during the Roman Empire but began declining after the fall of the Western Roman Empire in 476 CE, eventually being overtaken by Northern European countries (p. 9).</w:t>
      </w:r>
    </w:p>
    <w:p w14:paraId="7CDB18BC">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United Kingdom</w:t>
      </w:r>
      <w:r>
        <w:rPr>
          <w:rFonts w:hint="default" w:ascii="Times New Roman Regular" w:hAnsi="Times New Roman Regular" w:cs="Times New Roman Regular"/>
        </w:rPr>
        <w:t>: State history began around 50 BCE during Roman rule, with internal polities emerging from 401 CE. Leveraging Atlantic trade and institutional innovations, Britain became the world</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leading power after the Napoleonic Wars (p. 9).</w:t>
      </w:r>
    </w:p>
    <w:p w14:paraId="36A1EEB6">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Estonia</w:t>
      </w:r>
      <w:r>
        <w:rPr>
          <w:rFonts w:hint="default" w:ascii="Times New Roman Regular" w:hAnsi="Times New Roman Regular" w:cs="Times New Roman Regular"/>
        </w:rPr>
        <w:t>: Organized government did not first appear until 1237. Despite having the shortest state history, economic growth has been rapid since independence, with per capita income reaching approximately 70% of the UK</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by 2014 (pp. 9-10).</w:t>
      </w:r>
    </w:p>
    <w:p w14:paraId="1CC8EE9A">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376C874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因果机制 / Mechanisms: What mechanisms are proposed to explain how the independent variable influences the outcome?</w:t>
      </w:r>
    </w:p>
    <w:p w14:paraId="4B7DDAB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作者提出了一个基于三个核心前提的理论框架来解释国家历史如何影响经济发展：</w:t>
      </w:r>
    </w:p>
    <w:p w14:paraId="0598E86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机制一：早期国家经验促进生产力增长</w:t>
      </w:r>
    </w:p>
    <w:p w14:paraId="5184A61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在新建立的国家中，财政能力和制度能力的提升，以及中央协调功能的加强，历史上有助于生产力提升和经济增长。具体而言：</w:t>
      </w:r>
    </w:p>
    <w:p w14:paraId="12DA4B61">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国家建设使政府能够从民众中征税，并将税收转化为提供安全保障和更有效农业生产模式的公共产品（第6页、第8页）</w:t>
      </w:r>
    </w:p>
    <w:p w14:paraId="139BEC41">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巩固的官僚体系能够投资大型公共项目、促进技术创新、进行有效的战争动员，从而刺激经济增长（第6页）</w:t>
      </w:r>
    </w:p>
    <w:p w14:paraId="535C9241">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Tilly（1990）、Collier（2009）、Besley和Persson（2013）等学者的研究表明，国家历史较短且缺乏自治、统治不稳定的国家通常财政能力较弱（第6页）</w:t>
      </w:r>
    </w:p>
    <w:p w14:paraId="6CE5E1CD">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Dincecco和Katz（2014）的实证研究揭示了行政基础设施、高税收与经济繁荣之间的强相关关系和潜在因果联系（第6页）</w:t>
      </w:r>
    </w:p>
    <w:p w14:paraId="5CA50B9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机制二：过度集权导致古老国家陷入停滞</w:t>
      </w:r>
    </w:p>
    <w:p w14:paraId="437817D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然而，超过一定临界点后，国家经验反而会助长榨取性制度和权力精英的崛起，这些精英侵吞税收而非将其转化为公共产品。具体论证如下：</w:t>
      </w:r>
    </w:p>
    <w:p w14:paraId="3FE3CC28">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Tilly（1990）和Olson（1993）等学者指出，最早的国家源于对抗外部掠夺者的集体行动需求。面对</w:t>
      </w:r>
      <w:r>
        <w:rPr>
          <w:rFonts w:hint="default" w:ascii="Times New Roman Regular" w:hAnsi="Times New Roman Regular" w:cs="Times New Roman Regular"/>
          <w:lang w:val="en-US"/>
        </w:rPr>
        <w:t>“流窜土匪”</w:t>
      </w:r>
      <w:r>
        <w:rPr>
          <w:rFonts w:hint="default" w:ascii="Times New Roman Regular" w:hAnsi="Times New Roman Regular" w:cs="Times New Roman Regular"/>
        </w:rPr>
        <w:t>（roving bandits），由社区成员成为独裁者来收取租金是福利增进的选择（第7页）</w:t>
      </w:r>
    </w:p>
    <w:p w14:paraId="222D6CC6">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但缺乏约束机制时，独裁者本身会变成</w:t>
      </w:r>
      <w:r>
        <w:rPr>
          <w:rFonts w:hint="default" w:ascii="Times New Roman Regular" w:hAnsi="Times New Roman Regular" w:cs="Times New Roman Regular"/>
          <w:lang w:val="en-US"/>
        </w:rPr>
        <w:t>“流窜土匪”</w:t>
      </w:r>
      <w:r>
        <w:rPr>
          <w:rFonts w:hint="default" w:ascii="Times New Roman Regular" w:hAnsi="Times New Roman Regular" w:cs="Times New Roman Regular"/>
        </w:rPr>
        <w:t>，最大化租金榨取。因此，在专制政体中，良好的经济表现长期来看是不可持续的（第7页）</w:t>
      </w:r>
    </w:p>
    <w:p w14:paraId="0F185BC2">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历史上古代国家因过度集权而崩溃的例子比比皆是： </w:t>
      </w:r>
    </w:p>
    <w:p w14:paraId="7F273D18">
      <w:pPr>
        <w:keepNext w:val="0"/>
        <w:keepLines w:val="0"/>
        <w:pageBreakBefore w:val="0"/>
        <w:widowControl/>
        <w:numPr>
          <w:ilvl w:val="1"/>
          <w:numId w:val="21"/>
        </w:numPr>
        <w:suppressLineNumbers w:val="0"/>
        <w:tabs>
          <w:tab w:val="left" w:pos="1440"/>
        </w:tabs>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美索不达米亚（Mesopotamia /ˌmesəpəˈteɪmiə/，美索不达米亚）的乌尔第三王朝（Ur III /ʊr/，乌尔第三王朝，约公元前2000年）因地方城邦寻求独立、反对将资源从边缘输送到乌尔的过度集权官僚体系而灭亡（第7页）</w:t>
      </w:r>
    </w:p>
    <w:p w14:paraId="008CF7B3">
      <w:pPr>
        <w:keepNext w:val="0"/>
        <w:keepLines w:val="0"/>
        <w:pageBreakBefore w:val="0"/>
        <w:widowControl/>
        <w:numPr>
          <w:ilvl w:val="1"/>
          <w:numId w:val="21"/>
        </w:numPr>
        <w:suppressLineNumbers w:val="0"/>
        <w:tabs>
          <w:tab w:val="left" w:pos="1440"/>
        </w:tabs>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几个世纪后，汉谟拉比（Hammurabi /ˌhæməˈrɑːbi/，汉谟拉比）帝国也因地方当局反抗为国王在巴比伦（Babylon /ˈbæbɪlɒn/，巴比伦）荣耀而耗尽资源的做法而崩溃（约公元前1600年）（第7页）</w:t>
      </w:r>
    </w:p>
    <w:p w14:paraId="08556DA9">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Hariri（2012）的研究表明，较早本土形成的国家比后来的国家更容易发展专制制度（第7页）</w:t>
      </w:r>
    </w:p>
    <w:p w14:paraId="4C17F6A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机制三：后来者可以学习并超越先行者</w:t>
      </w:r>
    </w:p>
    <w:p w14:paraId="538A6F2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国家历史较短的国家能够利用国家历史较长国家的经验和错误，将生产力水平提升至后者所能达到的最高点之上。具体机制包括：</w:t>
      </w:r>
    </w:p>
    <w:p w14:paraId="76C95B41">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制度学习与创新</w:t>
      </w:r>
      <w:r>
        <w:rPr>
          <w:rFonts w:hint="default" w:ascii="Times New Roman Regular" w:hAnsi="Times New Roman Regular" w:cs="Times New Roman Regular"/>
        </w:rPr>
        <w:t>：罗马人可以从埃及的经验中学习到，由神圣君主领导的国家不如共和制乃至后来的帝制更能有效利用人力资源——无论是政治上还是军事上（第11页）</w:t>
      </w:r>
    </w:p>
    <w:p w14:paraId="4821D246">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避免过度集权的路径</w:t>
      </w:r>
      <w:r>
        <w:rPr>
          <w:rFonts w:hint="default" w:ascii="Times New Roman Regular" w:hAnsi="Times New Roman Regular" w:cs="Times New Roman Regular"/>
        </w:rPr>
        <w:t>：在英格兰、荷兰（Netherlands /ˈneðərləndz/，荷兰）和斯堪的纳维亚（Scandinavia /ˌskændɪˈneɪviə/，斯堪的纳维亚）等最初处于边缘的地区，地方精英和商业精英有效地对抗了新兴民族国家成熟过程中的权力集中化倾向，从而发展出带有行政约束的民主政治结构（第8页）</w:t>
      </w:r>
    </w:p>
    <w:p w14:paraId="0FE2E6FC">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地理位置的优势</w:t>
      </w:r>
      <w:r>
        <w:rPr>
          <w:rFonts w:hint="default" w:ascii="Times New Roman Regular" w:hAnsi="Times New Roman Regular" w:cs="Times New Roman Regular"/>
        </w:rPr>
        <w:t>：英国在1500年后能够超越意大利，部分原因在于其面向大西洋的位置带来的贸易和殖民机会，但同样重要的是其优越的政治制度——强化了政府问责制、鼓励商业发展、催生了卓越的海军和军事能力，并在新兴国际信贷体系中占据领先地位（第11页）</w:t>
      </w:r>
    </w:p>
    <w:p w14:paraId="676405DB">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较少遭受外部冲击</w:t>
      </w:r>
      <w:r>
        <w:rPr>
          <w:rFonts w:hint="default" w:ascii="Times New Roman Regular" w:hAnsi="Times New Roman Regular" w:cs="Times New Roman Regular"/>
        </w:rPr>
        <w:t>：曾经处于古老文明边缘的地区，国家制度发展较慢，同时也较少遭受游荡军队的袭击和迁徙民族（如波斯人Persian /ˈpɜːrʒən/、希腊人Hellenic /həˈlenɪk/、匈奴人Hun /hʌn/、伊斯兰教徒Islamic /ɪzˈlæmɪk/、蒙古人Mongol /ˈmɒŋɡəl/、突厥人Turkic /ˈtɜːrkɪk/等）的入侵（第8页）</w:t>
      </w:r>
    </w:p>
    <w:p w14:paraId="44F3B0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补充机制：殖民主义的复杂影响</w:t>
      </w:r>
    </w:p>
    <w:p w14:paraId="79CF7A9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作者还讨论了殖民主义对古老国家和年轻国家的不同影响：</w:t>
      </w:r>
    </w:p>
    <w:p w14:paraId="78356865">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对于古老国家：中等年龄国家（如英国、法国France /fræns/）的殖民可能对早期发展国家的停滞水平产生负面影响，榨取性制度和全球化推动的其他形式经济支配不仅帮助后来者超越早期国家，甚至可能影响后者的生产力停滞或下降（第12页）</w:t>
      </w:r>
    </w:p>
    <w:p w14:paraId="22B7F51C">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对于撒哈拉以南非洲等年轻殖民地国家：没有前殖民时期国家制度的地区不仅历史短暂，而且超过一半的宏观政治历史处于外来统治之下。现代国家结构从外部强加给它们，无法有机地建设制度能力，面对后殖民挑战时更加脆弱（第12页）</w:t>
      </w:r>
    </w:p>
    <w:p w14:paraId="1C81DC44">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6F97876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propose a theoretical framework based on three core premises to explain how state history affects economic development:</w:t>
      </w:r>
    </w:p>
    <w:p w14:paraId="6CD995E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Mechanism One: Early State Experience Promotes Productivity Growth</w:t>
      </w:r>
    </w:p>
    <w:p w14:paraId="25596C3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In newly established states, improvements in fiscal and institutional capacity, along with strengthened central coordination, have historically been conducive to productivity increases and economic growth. Specifically:</w:t>
      </w:r>
    </w:p>
    <w:p w14:paraId="1E5F2A23">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State building enables governments to extract taxes from the population, which in turn are transformed into public goods that provide security and more efficient modes of agricultural production (pp. 6, 8)</w:t>
      </w:r>
    </w:p>
    <w:p w14:paraId="6869F9D2">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A consolidated bureaucracy enables investments in large public projects, technological innovation, and effective warfare, thus spurring economic growth (p. 6)</w:t>
      </w:r>
    </w:p>
    <w:p w14:paraId="526968C0">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Research by scholars such as Tilly (1990), Collier (2009), and Besley and Persson (2013) indicates that states with short histories, especially if characterized by lack of autonomy and rule instability, generally have weaker fiscal capacity (p. 6)</w:t>
      </w:r>
    </w:p>
    <w:p w14:paraId="3DF2A320">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Empirical research by Dincecco and Katz (2014) reveals strong correlations and potential causal links between administrative infrastructure, high taxes, and economic prosperity (p. 6)</w:t>
      </w:r>
    </w:p>
    <w:p w14:paraId="061E971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Mechanism Two: Overcentralization Leads to Stagnation in Ancient States</w:t>
      </w:r>
    </w:p>
    <w:p w14:paraId="54C3A23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However, beyond a certain critical point, state experience is instead conducive to the rise of extractive institutions and powerful elites that appropriate tax revenue rather than turn it into public goods. The specific arguments are as follows:</w:t>
      </w:r>
    </w:p>
    <w:p w14:paraId="3EAFF645">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Scholars such as Tilly (1990) and Olson (1993) point out that the earliest states developed from the basic need to sustain collective action against external predators. Against </w:t>
      </w:r>
      <w:r>
        <w:rPr>
          <w:rFonts w:hint="default" w:ascii="Times New Roman Regular" w:hAnsi="Times New Roman Regular" w:cs="Times New Roman Regular"/>
          <w:lang w:val="en-US"/>
        </w:rPr>
        <w:t>“roving bandits,”</w:t>
      </w:r>
      <w:r>
        <w:rPr>
          <w:rFonts w:hint="default" w:ascii="Times New Roman Regular" w:hAnsi="Times New Roman Regular" w:cs="Times New Roman Regular"/>
        </w:rPr>
        <w:t xml:space="preserve"> it was welfare-enhancing to have a community member become a dictator who collected rents (p. 7)</w:t>
      </w:r>
    </w:p>
    <w:p w14:paraId="635C0813">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But without constraining mechanisms, the autocrat himself becomes a </w:t>
      </w:r>
      <w:r>
        <w:rPr>
          <w:rFonts w:hint="default" w:ascii="Times New Roman Regular" w:hAnsi="Times New Roman Regular" w:cs="Times New Roman Regular"/>
          <w:lang w:val="en-US"/>
        </w:rPr>
        <w:t>“roving bandit,”</w:t>
      </w:r>
      <w:r>
        <w:rPr>
          <w:rFonts w:hint="default" w:ascii="Times New Roman Regular" w:hAnsi="Times New Roman Regular" w:cs="Times New Roman Regular"/>
        </w:rPr>
        <w:t xml:space="preserve"> maximizing rent extraction. Hence, in an autocracy, good economic performance is unsustainable in the long run (p. 7)</w:t>
      </w:r>
    </w:p>
    <w:p w14:paraId="7C3CBFDD">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Historical examples of ancient states collapsing due to overcentralization abound: </w:t>
      </w:r>
    </w:p>
    <w:p w14:paraId="267EFA68">
      <w:pPr>
        <w:keepNext w:val="0"/>
        <w:keepLines w:val="0"/>
        <w:pageBreakBefore w:val="0"/>
        <w:widowControl/>
        <w:numPr>
          <w:ilvl w:val="1"/>
          <w:numId w:val="26"/>
        </w:numPr>
        <w:suppressLineNumbers w:val="0"/>
        <w:tabs>
          <w:tab w:val="left" w:pos="1440"/>
        </w:tabs>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The expansive Mesopotamian empire Ur III (c. 2000 BCE) fell when local city-states sought independence, rejecting the overbearing supercentralized bureaucracy designed to channel resources from the periphery to Ur (p. 7)</w:t>
      </w:r>
    </w:p>
    <w:p w14:paraId="32D4F360">
      <w:pPr>
        <w:keepNext w:val="0"/>
        <w:keepLines w:val="0"/>
        <w:pageBreakBefore w:val="0"/>
        <w:widowControl/>
        <w:numPr>
          <w:ilvl w:val="1"/>
          <w:numId w:val="26"/>
        </w:numPr>
        <w:suppressLineNumbers w:val="0"/>
        <w:tabs>
          <w:tab w:val="left" w:pos="1440"/>
        </w:tabs>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Only a few centuries later, Hammurabi</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great empire collapsed after disempowered local authorities rebelled against the drain on resources for the king</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glorification in Babylon (c. 1600 BCE) (p. 7)</w:t>
      </w:r>
    </w:p>
    <w:p w14:paraId="05A2E262">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Hariri</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(2012) research shows that older indigenously formed states were more likely to develop autocratic institutions than later states (p. 7)</w:t>
      </w:r>
    </w:p>
    <w:p w14:paraId="7FE10D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Mechanism Three: Latecomers Can Learn from and Surpass Early States</w:t>
      </w:r>
    </w:p>
    <w:p w14:paraId="6636D57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Countries with less state experience can exploit the experience and mistakes of countries with greater state experience to advance their productivity levels beyond the maximum reached by the latter. The specific mechanisms include:</w:t>
      </w:r>
    </w:p>
    <w:p w14:paraId="5512E8D5">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Institutional learning and innovation</w:t>
      </w:r>
      <w:r>
        <w:rPr>
          <w:rFonts w:hint="default" w:ascii="Times New Roman Regular" w:hAnsi="Times New Roman Regular" w:cs="Times New Roman Regular"/>
        </w:rPr>
        <w:t>: The Romans could learn from Egypt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experience that a state led by a divine regent was inferior to a republican and subsequently imperial order that made better use of human resources, politically and militarily (p. 11)</w:t>
      </w:r>
    </w:p>
    <w:p w14:paraId="18D7B4CD">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Avoiding overcentralization paths</w:t>
      </w:r>
      <w:r>
        <w:rPr>
          <w:rFonts w:hint="default" w:ascii="Times New Roman Regular" w:hAnsi="Times New Roman Regular" w:cs="Times New Roman Regular"/>
        </w:rPr>
        <w:t>: In initially peripheral areas like England, the Netherlands, and Scandinavia, local and commercial elites effectively countered tendencies towards power centralization during the maturation process of these younger nation-states, thereby developing democratic political structures with constraints on executive power (p. 8)</w:t>
      </w:r>
    </w:p>
    <w:p w14:paraId="69317712">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Geographic location advantages</w:t>
      </w:r>
      <w:r>
        <w:rPr>
          <w:rFonts w:hint="default" w:ascii="Times New Roman Regular" w:hAnsi="Times New Roman Regular" w:cs="Times New Roman Regular"/>
        </w:rPr>
        <w:t>: Britain was able to overtake Italy after 1500 CE partly due to its Atlantic-facing location bringing trade and colonization opportunities, but equally important were its superior political institutions—strengthening government accountability, encouraging commerce, developing superior naval and military capabilities, and leading in the emerging system of international credit (p. 11)</w:t>
      </w:r>
    </w:p>
    <w:p w14:paraId="57A758B8">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Less exposure to external shocks</w:t>
      </w:r>
      <w:r>
        <w:rPr>
          <w:rFonts w:hint="default" w:ascii="Times New Roman Regular" w:hAnsi="Times New Roman Regular" w:cs="Times New Roman Regular"/>
        </w:rPr>
        <w:t>: Regions once peripheral to the more ancient civilizations, slower to develop state institutions, were also less exposed to raids by roaming armies and to incursions by migrating peoples (such as the Persian, Hellenic, Hun, Islamic, Mongol, and Turkic incursions) (p. 8)</w:t>
      </w:r>
    </w:p>
    <w:p w14:paraId="3A3A8F2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Supplementary Mechanism: Complex Effects of Colonialism</w:t>
      </w:r>
    </w:p>
    <w:p w14:paraId="6D7E27B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also discuss the differential impacts of colonialism on ancient and young states:</w:t>
      </w:r>
    </w:p>
    <w:p w14:paraId="0B57DB1E">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For ancient states: Colonization by middle-aged states (such as Britain and France) may have generated negative effects on the stagnation level of earlier developed states. Extractive institutions and other forms of economic domination fueled by globalization may not only have helped latecomers to overtake earlier states but may even have influenced the productivity stagnation or decline of the latter (p. 12)</w:t>
      </w:r>
    </w:p>
    <w:p w14:paraId="5C7AD11C">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For young colonial states in Sub-Saharan Africa: Regions with no pre-colonial state institutions had not only short histories but also spent more than half of their macro-political histories under external rule. With modern state structures thrust upon them from without, they could not build institutional capacity organically, leaving them vulnerable in the face of post-colonial challenges (p. 12)</w:t>
      </w:r>
    </w:p>
    <w:p w14:paraId="3016BD1D">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1ADD8ED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数据 / Data: What data is used to test the argument?</w:t>
      </w:r>
    </w:p>
    <w:p w14:paraId="37AFB8F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数据的地理覆盖范围：</w:t>
      </w:r>
    </w:p>
    <w:p w14:paraId="654DAF1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本研究涵盖159个当代国家，基本覆盖了全球除最小国家之外的所有国家。作者将世界划分为四个主要农业核心区进行分析：</w:t>
      </w:r>
    </w:p>
    <w:p w14:paraId="0BCF9D3A">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西方区域</w:t>
      </w:r>
      <w:r>
        <w:rPr>
          <w:rFonts w:hint="default" w:ascii="Times New Roman Regular" w:hAnsi="Times New Roman Regular" w:cs="Times New Roman Regular"/>
        </w:rPr>
        <w:t>：包括62个国家，涵盖欧洲、北非、中东，以及阿富汗（Afghanistan /æfˈɡænɪstæn/）、亚美尼亚（Armenia /ɑːrˈmiːniə/）、阿塞拜疆（Azerbaijan /ˌæzərbaɪˈdʒɑːn/）、格鲁吉亚（Georgia /ˈdʒɔːrdʒə/）、印度（India /ˈɪndiə/）、伊朗（Iran /ɪˈrɑːn/）、哈萨克斯坦（Kazakhstan /ˈkɑːzɑːkstɑːn/）等中亚和南亚国家（第18页脚注33）</w:t>
      </w:r>
    </w:p>
    <w:p w14:paraId="0B16D6A3">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东亚区域</w:t>
      </w:r>
      <w:r>
        <w:rPr>
          <w:rFonts w:hint="default" w:ascii="Times New Roman Regular" w:hAnsi="Times New Roman Regular" w:cs="Times New Roman Regular"/>
        </w:rPr>
        <w:t>：包括20个国家</w:t>
      </w:r>
    </w:p>
    <w:p w14:paraId="087FC5F3">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美洲区域</w:t>
      </w:r>
      <w:r>
        <w:rPr>
          <w:rFonts w:hint="default" w:ascii="Times New Roman Regular" w:hAnsi="Times New Roman Regular" w:cs="Times New Roman Regular"/>
        </w:rPr>
        <w:t>：包括27个国家，涵盖北美、南美和加勒比地区（Caribbean /ˌkærɪˈbiːən/）</w:t>
      </w:r>
    </w:p>
    <w:p w14:paraId="53FDF5E0">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撒哈拉以南非洲</w:t>
      </w:r>
      <w:r>
        <w:rPr>
          <w:rFonts w:hint="default" w:ascii="Times New Roman Regular" w:hAnsi="Times New Roman Regular" w:cs="Times New Roman Regular"/>
        </w:rPr>
        <w:t>：包括47个国家</w:t>
      </w:r>
    </w:p>
    <w:p w14:paraId="2D1C1CC8">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大洋洲（Oceania /ˌoʊʃiˈeɪniə/）</w:t>
      </w:r>
      <w:r>
        <w:rPr>
          <w:rFonts w:hint="default" w:ascii="Times New Roman Regular" w:hAnsi="Times New Roman Regular" w:cs="Times New Roman Regular"/>
        </w:rPr>
        <w:t>：样本中仅3个国家</w:t>
      </w:r>
    </w:p>
    <w:p w14:paraId="4F85FE9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时间周期：</w:t>
      </w:r>
    </w:p>
    <w:p w14:paraId="22BB337E">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扩展的国家历史数据覆盖公元前3500年至公元2000年</w:t>
      </w:r>
    </w:p>
    <w:p w14:paraId="380B0C52">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共计110个50年周期</w:t>
      </w:r>
    </w:p>
    <w:p w14:paraId="66B86065">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形成包含17,490个国家-周期观测值的面板数据集（第2页）</w:t>
      </w:r>
    </w:p>
    <w:p w14:paraId="1B932C0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分析单位：</w:t>
      </w:r>
    </w:p>
    <w:p w14:paraId="3F1118D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分析的基本单位是当代国家的领土范围。作者承认，现代国家的边界有时与古代的地缘政治逻辑很少相似，但认为在研究者关注追踪国家历史以理解当代发展水平的前提下，现代国家配置仍是自然的出发点（第3页）。</w:t>
      </w:r>
    </w:p>
    <w:p w14:paraId="2ED65B0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数据来源：</w:t>
      </w:r>
    </w:p>
    <w:p w14:paraId="79F9A1C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国家历史数据的主要来源：</w:t>
      </w:r>
    </w:p>
    <w:p w14:paraId="567A3FE5">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大英百科全书在线版（Encyclopedia Britannica Online）作为主要信息来源</w:t>
      </w:r>
    </w:p>
    <w:p w14:paraId="6C024ADD">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当大英百科全书信息不足时，补充使用其他学术来源</w:t>
      </w:r>
    </w:p>
    <w:p w14:paraId="3318930F">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考古学数据用于缺乏文字记录的时期（第16页）</w:t>
      </w:r>
    </w:p>
    <w:p w14:paraId="2F10FBD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经济发展指标的数据来源：</w:t>
      </w:r>
    </w:p>
    <w:p w14:paraId="0271F9E6">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人均GDP（2000年）</w:t>
      </w:r>
      <w:r>
        <w:rPr>
          <w:rFonts w:hint="default" w:ascii="Times New Roman Regular" w:hAnsi="Times New Roman Regular" w:cs="Times New Roman Regular"/>
        </w:rPr>
        <w:t>：世界银行世界发展指标数据库，以2000年美元计价（第19页）</w:t>
      </w:r>
    </w:p>
    <w:p w14:paraId="5E90EFCD">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技术采用指数（1500年和2000年）</w:t>
      </w:r>
      <w:r>
        <w:rPr>
          <w:rFonts w:hint="default" w:ascii="Times New Roman Regular" w:hAnsi="Times New Roman Regular" w:cs="Times New Roman Regular"/>
        </w:rPr>
        <w:t>：Comin等人（2010）构建的数据集，基于农业、交通、通讯、书写和军事五个部门的技术存在和复杂程度（第20页）</w:t>
      </w:r>
    </w:p>
    <w:p w14:paraId="0547A636">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人口密度（1500年及以前）</w:t>
      </w:r>
      <w:r>
        <w:rPr>
          <w:rFonts w:hint="default" w:ascii="Times New Roman Regular" w:hAnsi="Times New Roman Regular" w:cs="Times New Roman Regular"/>
        </w:rPr>
        <w:t>：McEvedy和Jones（1978）的《世界人口历史图集》提供人口数据，土地面积数据来自世界银行（第19页）</w:t>
      </w:r>
    </w:p>
    <w:p w14:paraId="036A2EE6">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城市化率（1500年）</w:t>
      </w:r>
      <w:r>
        <w:rPr>
          <w:rFonts w:hint="default" w:ascii="Times New Roman Regular" w:hAnsi="Times New Roman Regular" w:cs="Times New Roman Regular"/>
        </w:rPr>
        <w:t>：Acemoglu等人（2005）报告的数据，定义为居住在人口至少5000的城市地区的总人口百分比（第19页、第24-25页）</w:t>
      </w:r>
    </w:p>
    <w:p w14:paraId="245A95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控制变量的数据来源：</w:t>
      </w:r>
    </w:p>
    <w:p w14:paraId="4ED4BBA3">
      <w:pPr>
        <w:keepNext w:val="0"/>
        <w:keepLines w:val="0"/>
        <w:pageBreakBefore w:val="0"/>
        <w:widowControl/>
        <w:numPr>
          <w:ilvl w:val="0"/>
          <w:numId w:val="3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新石器革命时间（Agyears）</w:t>
      </w:r>
      <w:r>
        <w:rPr>
          <w:rFonts w:hint="default" w:ascii="Times New Roman Regular" w:hAnsi="Times New Roman Regular" w:cs="Times New Roman Regular"/>
        </w:rPr>
        <w:t>：Putterman和Trainor（2006）汇编的数据，记录2000年时距新石器转型过去的千年数（第19-20页）</w:t>
      </w:r>
    </w:p>
    <w:p w14:paraId="1EC78ADC">
      <w:pPr>
        <w:keepNext w:val="0"/>
        <w:keepLines w:val="0"/>
        <w:pageBreakBefore w:val="0"/>
        <w:widowControl/>
        <w:numPr>
          <w:ilvl w:val="0"/>
          <w:numId w:val="3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人类首次定居时间（Origtime）</w:t>
      </w:r>
      <w:r>
        <w:rPr>
          <w:rFonts w:hint="default" w:ascii="Times New Roman Regular" w:hAnsi="Times New Roman Regular" w:cs="Times New Roman Regular"/>
        </w:rPr>
        <w:t>：Ahlerup和Olsson（2012）编码的数据，表示现代人类首次不间断定居至今的时间（千年）（第19-20页）</w:t>
      </w:r>
    </w:p>
    <w:p w14:paraId="41936202">
      <w:pPr>
        <w:keepNext w:val="0"/>
        <w:keepLines w:val="0"/>
        <w:pageBreakBefore w:val="0"/>
        <w:widowControl/>
        <w:numPr>
          <w:ilvl w:val="0"/>
          <w:numId w:val="3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地理和气候控制变量</w:t>
      </w:r>
      <w:r>
        <w:rPr>
          <w:rFonts w:hint="default" w:ascii="Times New Roman Regular" w:hAnsi="Times New Roman Regular" w:cs="Times New Roman Regular"/>
        </w:rPr>
        <w:t>：来自波特兰物理地理数据集和Ashraf与Galor（2013）汇编的数据集，包括绝对纬度、是否内陆、距海岸和河流距离、平均海拔、土地适宜性、可耕地比例、温度、降水、疟疾风险等（第20页）</w:t>
      </w:r>
    </w:p>
    <w:p w14:paraId="1E733F5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迁移数据来源：</w:t>
      </w:r>
    </w:p>
    <w:p w14:paraId="5C8A6285">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祖先调整矩阵</w:t>
      </w:r>
      <w:r>
        <w:rPr>
          <w:rFonts w:hint="default" w:ascii="Times New Roman Regular" w:hAnsi="Times New Roman Regular" w:cs="Times New Roman Regular"/>
        </w:rPr>
        <w:t>：Putterman和Weil（2010）开发的迁移矩阵，用于计算当代人口祖先的加权平均国家历史得分（第22-23页）</w:t>
      </w:r>
    </w:p>
    <w:p w14:paraId="1F296DC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样本统计描述：</w:t>
      </w:r>
    </w:p>
    <w:p w14:paraId="18AD88F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根据表1的汇总统计（第19页）：</w:t>
      </w:r>
    </w:p>
    <w:p w14:paraId="5621BAFE">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扩展的国家历史指数（Statehist）：均值0.234，标准差0.172，范围0.017-0.743</w:t>
      </w:r>
    </w:p>
    <w:p w14:paraId="2259E744">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1500年国家历史指数：均值0.171，标准差0.183，范围0-0.760</w:t>
      </w:r>
    </w:p>
    <w:p w14:paraId="5EB1BE9F">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国家年龄（千年）：均值1.640，标准差1.430，范围0.100-5.500</w:t>
      </w:r>
    </w:p>
    <w:p w14:paraId="16C845AF">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人均GDP对数（2000年）：均值7.488，标准差1.606，范围4.463-10.531</w:t>
      </w:r>
    </w:p>
    <w:p w14:paraId="33AF1C5D">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技术采用指数（2000年）：均值0.451，标准差0.198，范围0.174-1.012</w:t>
      </w:r>
    </w:p>
    <w:p w14:paraId="57BADC82">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27F0FBD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Geographic Coverage of the Data:</w:t>
      </w:r>
    </w:p>
    <w:p w14:paraId="092407C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This study covers 159 contemporary countries, essentially including all countries in the world except the smallest ones. The authors divide the world into four main agricultural core areas for analysis:</w:t>
      </w:r>
    </w:p>
    <w:p w14:paraId="5E7EC50E">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Western Region</w:t>
      </w:r>
      <w:r>
        <w:rPr>
          <w:rFonts w:hint="default" w:ascii="Times New Roman Regular" w:hAnsi="Times New Roman Regular" w:cs="Times New Roman Regular"/>
        </w:rPr>
        <w:t>: Including 62 countries, covering Europe, North Africa, the Middle East, as well as Central and South Asian countries such as Afghanistan, Armenia, Azerbaijan, Georgia, India, Iran, and Kazakhstan (p. 18, footnote 33)</w:t>
      </w:r>
    </w:p>
    <w:p w14:paraId="4ECB8793">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East Asian Region</w:t>
      </w:r>
      <w:r>
        <w:rPr>
          <w:rFonts w:hint="default" w:ascii="Times New Roman Regular" w:hAnsi="Times New Roman Regular" w:cs="Times New Roman Regular"/>
        </w:rPr>
        <w:t>: Including 20 countries</w:t>
      </w:r>
    </w:p>
    <w:p w14:paraId="3363DE27">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Americas Region</w:t>
      </w:r>
      <w:r>
        <w:rPr>
          <w:rFonts w:hint="default" w:ascii="Times New Roman Regular" w:hAnsi="Times New Roman Regular" w:cs="Times New Roman Regular"/>
        </w:rPr>
        <w:t>: Including 27 countries, covering North America, South America, and the Caribbean</w:t>
      </w:r>
    </w:p>
    <w:p w14:paraId="7ECBA641">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Sub-Saharan Africa</w:t>
      </w:r>
      <w:r>
        <w:rPr>
          <w:rFonts w:hint="default" w:ascii="Times New Roman Regular" w:hAnsi="Times New Roman Regular" w:cs="Times New Roman Regular"/>
        </w:rPr>
        <w:t>: Including 47 countries</w:t>
      </w:r>
    </w:p>
    <w:p w14:paraId="3D876653">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Oceania</w:t>
      </w:r>
      <w:r>
        <w:rPr>
          <w:rFonts w:hint="default" w:ascii="Times New Roman Regular" w:hAnsi="Times New Roman Regular" w:cs="Times New Roman Regular"/>
        </w:rPr>
        <w:t>: Only 3 countries in the sample</w:t>
      </w:r>
    </w:p>
    <w:p w14:paraId="19D8E0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Time Period:</w:t>
      </w:r>
    </w:p>
    <w:p w14:paraId="7777F2BE">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The extended state history data covers from 3500 BCE to 2000 CE</w:t>
      </w:r>
    </w:p>
    <w:p w14:paraId="54EF345C">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A total of 110 fifty-year periods</w:t>
      </w:r>
    </w:p>
    <w:p w14:paraId="76DEEA06">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Forming a panel dataset with 17,490 country-period observations (p. 2)</w:t>
      </w:r>
    </w:p>
    <w:p w14:paraId="75F933E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Unit of Analysis:</w:t>
      </w:r>
    </w:p>
    <w:p w14:paraId="422B04A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basic unit of analysis is the territory delimited by contemporary country borders. The authors acknowledge that the borders of current countries sometimes have very little resemblance to the geopolitical logic in ancient times, but argue that to the extent researchers are interested in tracking the histories of countries to understand contemporary levels of development, the modern configuration of countries is still a natural point of departure (p. 3).</w:t>
      </w:r>
    </w:p>
    <w:p w14:paraId="43D8451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Data Sources:</w:t>
      </w:r>
    </w:p>
    <w:p w14:paraId="1C6F75B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Primary sources for state history data:</w:t>
      </w:r>
    </w:p>
    <w:p w14:paraId="3C655B11">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Encyclopedia Britannica Online as the main information source</w:t>
      </w:r>
    </w:p>
    <w:p w14:paraId="457C35E2">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Supplementary use of other academic sources when Britannica information is insufficient</w:t>
      </w:r>
    </w:p>
    <w:p w14:paraId="1F59E3FC">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Archaeological data used for periods lacking written records (p. 16)</w:t>
      </w:r>
    </w:p>
    <w:p w14:paraId="3E713C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Data sources for economic development indicators:</w:t>
      </w:r>
    </w:p>
    <w:p w14:paraId="4B51E8AA">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Per capita GDP (2000 CE)</w:t>
      </w:r>
      <w:r>
        <w:rPr>
          <w:rFonts w:hint="default" w:ascii="Times New Roman Regular" w:hAnsi="Times New Roman Regular" w:cs="Times New Roman Regular"/>
        </w:rPr>
        <w:t>: World Bank World Development Indicators database, in constant 2000 US dollars (p. 19)</w:t>
      </w:r>
    </w:p>
    <w:p w14:paraId="14C19BA8">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Technology Adoption Index (1500 CE and 2000 CE)</w:t>
      </w:r>
      <w:r>
        <w:rPr>
          <w:rFonts w:hint="default" w:ascii="Times New Roman Regular" w:hAnsi="Times New Roman Regular" w:cs="Times New Roman Regular"/>
        </w:rPr>
        <w:t>: Dataset constructed by Comin et al. (2010), based on the presence and complexity of technologies in five sectors: agriculture, transportation, communications, writing, and military (p. 20)</w:t>
      </w:r>
    </w:p>
    <w:p w14:paraId="0EAA8EDE">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Population density (1500 CE and earlier)</w:t>
      </w:r>
      <w:r>
        <w:rPr>
          <w:rFonts w:hint="default" w:ascii="Times New Roman Regular" w:hAnsi="Times New Roman Regular" w:cs="Times New Roman Regular"/>
        </w:rPr>
        <w:t xml:space="preserve">: McEvedy and Jones (1978) </w:t>
      </w:r>
      <w:r>
        <w:rPr>
          <w:rStyle w:val="8"/>
          <w:rFonts w:hint="default" w:ascii="Times New Roman Regular" w:hAnsi="Times New Roman Regular" w:cs="Times New Roman Regular"/>
        </w:rPr>
        <w:t>Atlas of World Population History</w:t>
      </w:r>
      <w:r>
        <w:rPr>
          <w:rFonts w:hint="default" w:ascii="Times New Roman Regular" w:hAnsi="Times New Roman Regular" w:cs="Times New Roman Regular"/>
        </w:rPr>
        <w:t xml:space="preserve"> provides population data, with land area data from the World Bank (p. 19)</w:t>
      </w:r>
    </w:p>
    <w:p w14:paraId="6EEDE4AB">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Urbanization rate (1500 CE)</w:t>
      </w:r>
      <w:r>
        <w:rPr>
          <w:rFonts w:hint="default" w:ascii="Times New Roman Regular" w:hAnsi="Times New Roman Regular" w:cs="Times New Roman Regular"/>
        </w:rPr>
        <w:t>: Data reported by Acemoglu et al. (2005), defined as the percentage of total population residing in urban areas with populations of at least 5,000 (pp. 19, 24-25)</w:t>
      </w:r>
    </w:p>
    <w:p w14:paraId="3DE5114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Data sources for control variables:</w:t>
      </w:r>
    </w:p>
    <w:p w14:paraId="509C8D54">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Years since Neolithic Transition (Agyears)</w:t>
      </w:r>
      <w:r>
        <w:rPr>
          <w:rFonts w:hint="default" w:ascii="Times New Roman Regular" w:hAnsi="Times New Roman Regular" w:cs="Times New Roman Regular"/>
        </w:rPr>
        <w:t>: Data assembled by Putterman and Trainor (2006), recording the number of millennia elapsed in 2000 CE since the Neolithic transition took place (pp. 19-20)</w:t>
      </w:r>
    </w:p>
    <w:p w14:paraId="260BCA45">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Time since first human settlement (Origtime)</w:t>
      </w:r>
      <w:r>
        <w:rPr>
          <w:rFonts w:hint="default" w:ascii="Times New Roman Regular" w:hAnsi="Times New Roman Regular" w:cs="Times New Roman Regular"/>
        </w:rPr>
        <w:t>: Data coded by Ahlerup and Olsson (2012), representing the time in millennia since initial uninterrupted settlement by modern humans (pp. 19-20)</w:t>
      </w:r>
    </w:p>
    <w:p w14:paraId="4E305D60">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Geographic and climatic control variables</w:t>
      </w:r>
      <w:r>
        <w:rPr>
          <w:rFonts w:hint="default" w:ascii="Times New Roman Regular" w:hAnsi="Times New Roman Regular" w:cs="Times New Roman Regular"/>
        </w:rPr>
        <w:t>: From the Portland Physical Geography dataset and the dataset compiled by Ashraf and Galor (2013), including absolute latitude, landlocked status, distance to coast and rivers, mean elevation, land suitability, percentage arable land, temperature, precipitation, and malaria risk (p. 20)</w:t>
      </w:r>
    </w:p>
    <w:p w14:paraId="2FFA38C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Migration data source:</w:t>
      </w:r>
    </w:p>
    <w:p w14:paraId="647DC620">
      <w:pPr>
        <w:keepNext w:val="0"/>
        <w:keepLines w:val="0"/>
        <w:pageBreakBefore w:val="0"/>
        <w:widowControl/>
        <w:numPr>
          <w:ilvl w:val="0"/>
          <w:numId w:val="4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Ancestry adjustment matrix</w:t>
      </w:r>
      <w:r>
        <w:rPr>
          <w:rFonts w:hint="default" w:ascii="Times New Roman Regular" w:hAnsi="Times New Roman Regular" w:cs="Times New Roman Regular"/>
        </w:rPr>
        <w:t>: Migration matrix developed by Putterman and Weil (2010), used to calculate the weighted average state history score of contemporary population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ancestors (pp. 22-23)</w:t>
      </w:r>
    </w:p>
    <w:p w14:paraId="02C817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Sample Descriptive Statistics:</w:t>
      </w:r>
    </w:p>
    <w:p w14:paraId="3E5B8F9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According to the summary statistics in Table 1 (p. 19):</w:t>
      </w:r>
    </w:p>
    <w:p w14:paraId="4CD93E6B">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Extended state history index (Statehist): Mean 0.234, standard deviation 0.172, range 0.017-0.743</w:t>
      </w:r>
    </w:p>
    <w:p w14:paraId="04324EE0">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State history index in 1500 CE: Mean 0.171, standard deviation 0.183, range 0-0.760</w:t>
      </w:r>
    </w:p>
    <w:p w14:paraId="4A7161EF">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State age (millennia): Mean 1.640, standard deviation 1.430, range 0.100-5.500</w:t>
      </w:r>
    </w:p>
    <w:p w14:paraId="38BE4896">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Log per capita GDP (2000 CE): Mean 7.488, standard deviation 1.606, range 4.463-10.531</w:t>
      </w:r>
    </w:p>
    <w:p w14:paraId="34FB3A9F">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Technology adoption index (2000 CE): Mean 0.451, standard deviation 0.198, range 0.174-1.012</w:t>
      </w:r>
    </w:p>
    <w:p w14:paraId="403F9CCC">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7612FA7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方法 / Methods: What methods are employed to assess the argument? What assumptions must hold for these methods to be valid?</w:t>
      </w:r>
    </w:p>
    <w:p w14:paraId="558F0EA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核心计量方法：</w:t>
      </w:r>
    </w:p>
    <w:p w14:paraId="1242ABD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本文采用</w:t>
      </w:r>
      <w:r>
        <w:rPr>
          <w:rStyle w:val="7"/>
          <w:rFonts w:hint="default" w:ascii="Times New Roman Regular" w:hAnsi="Times New Roman Regular" w:cs="Times New Roman Regular"/>
        </w:rPr>
        <w:t>普通最小二乘法（OLS）回归</w:t>
      </w:r>
      <w:r>
        <w:rPr>
          <w:rFonts w:hint="default" w:ascii="Times New Roman Regular" w:hAnsi="Times New Roman Regular" w:cs="Times New Roman Regular"/>
        </w:rPr>
        <w:t>作为主要估计方法，重点检验国家历史与经济发展之间的二次（非线性）关系。基本模型设定如下：</w:t>
      </w:r>
    </w:p>
    <w:p w14:paraId="17CBD3A1">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jc w:val="left"/>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 xml:space="preserve">Technology1500i=β0+β1⋅Statehist1500i+β2⋅Statehist1500i2+ϵiTechnology1500_i = \beta_0 + \beta_1 \cdot Statehist1500_i + \beta_2 \cdot Statehist1500_i^2 + \epsilon_iTechnology1500i​=β0​+β1​⋅Statehist1500i​+β2​⋅Statehist1500i2​+ϵi​ </w:t>
      </w:r>
    </w:p>
    <w:p w14:paraId="5F0D49D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以及包含控制变量的扩展模型：</w:t>
      </w:r>
    </w:p>
    <w:p w14:paraId="2CB17F47">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jc w:val="left"/>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 xml:space="preserve">Technology1500i=β0+β1⋅Statehist1500i+β2⋅Statehist1500i2+βj′⋅Zi+βk′⋅Xi+λc+ϵiTechnology1500_i = \beta_0 + \beta_1 \cdot Statehist1500_i + \beta_2 \cdot Statehist1500_i^2 + \beta_j' \cdot Z_i + \beta_k' \cdot X_i + \lambda_c + \epsilon_iTechnology1500i​=β0​+β1​⋅Statehist1500i​+β2​⋅Statehist1500i2​+βj′​⋅Zi​+βk′​⋅Xi​+λc​+ϵi​ </w:t>
      </w:r>
    </w:p>
    <w:p w14:paraId="6AD98CE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其中ZiZ_i Zi​为历史控制变量向量，XiX_i Xi​为地理控制变量向量，λc\lambda_c λc​为大陆固定效应（第20页）。 </w:t>
      </w:r>
    </w:p>
    <w:p w14:paraId="3E6505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检验倒U形关系的方法：</w:t>
      </w:r>
    </w:p>
    <w:p w14:paraId="11B81F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为验证二次函数形式的凹性确实意味着非单调性（即同时存在上升和下降部分），作者采用Simonsohn（2016）提出的</w:t>
      </w:r>
      <w:r>
        <w:rPr>
          <w:rFonts w:hint="default" w:ascii="Times New Roman Regular" w:hAnsi="Times New Roman Regular" w:cs="Times New Roman Regular"/>
          <w:lang w:val="en-US"/>
        </w:rPr>
        <w:t>“两线检验”</w:t>
      </w:r>
      <w:r>
        <w:rPr>
          <w:rFonts w:hint="default" w:ascii="Times New Roman Regular" w:hAnsi="Times New Roman Regular" w:cs="Times New Roman Regular"/>
        </w:rPr>
        <w:t>方法：</w:t>
      </w:r>
    </w:p>
    <w:p w14:paraId="724C1EFE">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在国家历史的预测最大化点将样本分为两部分</w:t>
      </w:r>
    </w:p>
    <w:p w14:paraId="5B44C667">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分别对低于和高于该点的国家进行仅包含线性项的回归</w:t>
      </w:r>
    </w:p>
    <w:p w14:paraId="0070C45F">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如果两边系数符号相反且均显著，则确认存在倒U形关系（第21页脚注37）</w:t>
      </w:r>
    </w:p>
    <w:p w14:paraId="7B587AC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稳健性检验：</w:t>
      </w:r>
    </w:p>
    <w:p w14:paraId="3C705FE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 不同折旧率的敏感性分析：</w:t>
      </w:r>
    </w:p>
    <w:p w14:paraId="2DA990D5">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除主要使用的1%折旧率外，作者还测试了0.1%和2%的折旧率</w:t>
      </w:r>
    </w:p>
    <w:p w14:paraId="63DEDD55">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结果在不同折旧率下保持定性一致（第21页、第31页）</w:t>
      </w:r>
    </w:p>
    <w:p w14:paraId="34A07F2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 祖先调整：</w:t>
      </w:r>
    </w:p>
    <w:p w14:paraId="2FE73AE6">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使用Putterman和Weil（2010）的迁移矩阵调整国家历史指数</w:t>
      </w:r>
    </w:p>
    <w:p w14:paraId="54356B47">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这一调整显著提高了模型的解释力（第23页、第33页）</w:t>
      </w:r>
    </w:p>
    <w:p w14:paraId="217EACD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 空间自相关的处理：</w:t>
      </w:r>
    </w:p>
    <w:p w14:paraId="3DB21318">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Conley（1999）标准误修正</w:t>
      </w:r>
      <w:r>
        <w:rPr>
          <w:rFonts w:hint="default" w:ascii="Times New Roman Regular" w:hAnsi="Times New Roman Regular" w:cs="Times New Roman Regular"/>
        </w:rPr>
        <w:t>：使用地理距离加权的协方差矩阵，设定20个坐标度的阈值（第35页）</w:t>
      </w:r>
    </w:p>
    <w:p w14:paraId="6AB34E51">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空间自回归模型（SAR）</w:t>
      </w:r>
      <w:r>
        <w:rPr>
          <w:rFonts w:hint="default" w:ascii="Times New Roman Regular" w:hAnsi="Times New Roman Regular" w:cs="Times New Roman Regular"/>
        </w:rPr>
        <w:t>：允许因变量是邻国结果的函数（第35页）</w:t>
      </w:r>
    </w:p>
    <w:p w14:paraId="106F98F3">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SARAR模型</w:t>
      </w:r>
      <w:r>
        <w:rPr>
          <w:rFonts w:hint="default" w:ascii="Times New Roman Regular" w:hAnsi="Times New Roman Regular" w:cs="Times New Roman Regular"/>
        </w:rPr>
        <w:t>：同时允许因变量和误差项遵循空间自回归过程（第35页）</w:t>
      </w:r>
    </w:p>
    <w:p w14:paraId="6EB97272">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空间权重矩阵采用测地线中心点之间的大圆距离的倒数（第35页脚注54）</w:t>
      </w:r>
    </w:p>
    <w:p w14:paraId="139A305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4. 样本排除检验：</w:t>
      </w:r>
    </w:p>
    <w:p w14:paraId="0187CCF6">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分别排除中东、撒哈拉以南非洲、北非等地区</w:t>
      </w:r>
    </w:p>
    <w:p w14:paraId="77AF5215">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排除前欧洲殖民地</w:t>
      </w:r>
    </w:p>
    <w:p w14:paraId="5A4BFEAB">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结果在大多数情况下保持稳健（第33页）</w:t>
      </w:r>
    </w:p>
    <w:p w14:paraId="66D1A12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5. 替代控制变量：</w:t>
      </w:r>
    </w:p>
    <w:p w14:paraId="1B608689">
      <w:pPr>
        <w:keepNext w:val="0"/>
        <w:keepLines w:val="0"/>
        <w:pageBreakBefore w:val="0"/>
        <w:widowControl/>
        <w:numPr>
          <w:ilvl w:val="0"/>
          <w:numId w:val="4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加入新石器革命时间、国家年龄的线性和二次项</w:t>
      </w:r>
    </w:p>
    <w:p w14:paraId="0A3E21CB">
      <w:pPr>
        <w:keepNext w:val="0"/>
        <w:keepLines w:val="0"/>
        <w:pageBreakBefore w:val="0"/>
        <w:widowControl/>
        <w:numPr>
          <w:ilvl w:val="0"/>
          <w:numId w:val="4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加入绝对纬度、距离亚的斯亚贝巴（Addis Ababa /ˌædɪs ˈæbəbə/）的迁徙距离、预测遗传多样性等变量（第32页脚注45）</w:t>
      </w:r>
    </w:p>
    <w:p w14:paraId="59AFA89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方法有效性所需的假设：</w:t>
      </w:r>
    </w:p>
    <w:p w14:paraId="02F6E1C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 外生性假设：</w:t>
      </w:r>
    </w:p>
    <w:p w14:paraId="0569CC14">
      <w:pPr>
        <w:keepNext w:val="0"/>
        <w:keepLines w:val="0"/>
        <w:pageBreakBefore w:val="0"/>
        <w:widowControl/>
        <w:numPr>
          <w:ilvl w:val="0"/>
          <w:numId w:val="4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OLS估计的一致性要求自变量与误差项不相关</w:t>
      </w:r>
    </w:p>
    <w:p w14:paraId="5F344149">
      <w:pPr>
        <w:keepNext w:val="0"/>
        <w:keepLines w:val="0"/>
        <w:pageBreakBefore w:val="0"/>
        <w:widowControl/>
        <w:numPr>
          <w:ilvl w:val="0"/>
          <w:numId w:val="4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作者承认国家历史可能是内生的，因为生产力和技术水平有时会推动征服、改变边界，从而影响国家历史（第34-35页）</w:t>
      </w:r>
    </w:p>
    <w:p w14:paraId="2E70F78D">
      <w:pPr>
        <w:keepNext w:val="0"/>
        <w:keepLines w:val="0"/>
        <w:pageBreakBefore w:val="0"/>
        <w:widowControl/>
        <w:numPr>
          <w:ilvl w:val="0"/>
          <w:numId w:val="4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通过加入大量控制变量和固定效应来缓解遗漏变量偏误</w:t>
      </w:r>
    </w:p>
    <w:p w14:paraId="7FFAEE3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 边界外生性假设：</w:t>
      </w:r>
    </w:p>
    <w:p w14:paraId="23887DAD">
      <w:pPr>
        <w:keepNext w:val="0"/>
        <w:keepLines w:val="0"/>
        <w:pageBreakBefore w:val="0"/>
        <w:widowControl/>
        <w:numPr>
          <w:ilvl w:val="0"/>
          <w:numId w:val="5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使用当代国家边界定义历史变量假设边界不是内生的</w:t>
      </w:r>
    </w:p>
    <w:p w14:paraId="58E2E7BE">
      <w:pPr>
        <w:keepNext w:val="0"/>
        <w:keepLines w:val="0"/>
        <w:pageBreakBefore w:val="0"/>
        <w:widowControl/>
        <w:numPr>
          <w:ilvl w:val="0"/>
          <w:numId w:val="5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作者承认这一假设可能不成立，但认为由于大多数国家在历史上实际改变过边界，这在一定程度上缓解了问题（第3页）</w:t>
      </w:r>
    </w:p>
    <w:p w14:paraId="5818EE7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 测量误差的随机性：</w:t>
      </w:r>
    </w:p>
    <w:p w14:paraId="45400F52">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如果古代数据的测量误差是随机的，估计值偏向零</w:t>
      </w:r>
    </w:p>
    <w:p w14:paraId="6D378921">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如果测量误差与结果变量相关，则偏误方向难以预测（第34页）</w:t>
      </w:r>
    </w:p>
    <w:p w14:paraId="45ABE09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4. 函数形式正确性：</w:t>
      </w:r>
    </w:p>
    <w:p w14:paraId="326BC122">
      <w:pPr>
        <w:keepNext w:val="0"/>
        <w:keepLines w:val="0"/>
        <w:pageBreakBefore w:val="0"/>
        <w:widowControl/>
        <w:numPr>
          <w:ilvl w:val="0"/>
          <w:numId w:val="5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二次函数设定假设国家历史与经济发展之间的关系可以用抛物线近似</w:t>
      </w:r>
    </w:p>
    <w:p w14:paraId="0EA5A0AA">
      <w:pPr>
        <w:keepNext w:val="0"/>
        <w:keepLines w:val="0"/>
        <w:pageBreakBefore w:val="0"/>
        <w:widowControl/>
        <w:numPr>
          <w:ilvl w:val="0"/>
          <w:numId w:val="5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作者通过比较线性与二次模型的解释力来验证这一假设（如表5中R²从0.020提升到0.052）（第28页）</w:t>
      </w:r>
    </w:p>
    <w:p w14:paraId="3E89FA60">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7C484D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Core Econometric Methods:</w:t>
      </w:r>
    </w:p>
    <w:p w14:paraId="59DF64F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This paper employs </w:t>
      </w:r>
      <w:r>
        <w:rPr>
          <w:rStyle w:val="7"/>
          <w:rFonts w:hint="default" w:ascii="Times New Roman Regular" w:hAnsi="Times New Roman Regular" w:cs="Times New Roman Regular"/>
        </w:rPr>
        <w:t>Ordinary Least Squares (OLS) regression</w:t>
      </w:r>
      <w:r>
        <w:rPr>
          <w:rFonts w:hint="default" w:ascii="Times New Roman Regular" w:hAnsi="Times New Roman Regular" w:cs="Times New Roman Regular"/>
        </w:rPr>
        <w:t xml:space="preserve"> as the primary estimation method, focusing on testing the quadratic (nonlinear) relationship between state history and economic development. The basic model specification is:</w:t>
      </w:r>
    </w:p>
    <w:p w14:paraId="4CC447EB">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jc w:val="left"/>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 xml:space="preserve">Technology1500i=β0+β1⋅Statehist1500i+β2⋅Statehist1500i2+ϵiTechnology1500_i = \beta_0 + \beta_1 \cdot Statehist1500_i + \beta_2 \cdot Statehist1500_i^2 + \epsilon_iTechnology1500i​=β0​+β1​⋅Statehist1500i​+β2​⋅Statehist1500i2​+ϵi​ </w:t>
      </w:r>
    </w:p>
    <w:p w14:paraId="762F219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And the extended model with control variables:</w:t>
      </w:r>
    </w:p>
    <w:p w14:paraId="77051EAB">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jc w:val="left"/>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 xml:space="preserve">Technology1500i=β0+β1⋅Statehist1500i+β2⋅Statehist1500i2+βj′⋅Zi+βk′⋅Xi+λc+ϵiTechnology1500_i = \beta_0 + \beta_1 \cdot Statehist1500_i + \beta_2 \cdot Statehist1500_i^2 + \beta_j' \cdot Z_i + \beta_k' \cdot X_i + \lambda_c + \epsilon_iTechnology1500i​=β0​+β1​⋅Statehist1500i​+β2​⋅Statehist1500i2​+βj′​⋅Zi​+βk′​⋅Xi​+λc​+ϵi​ </w:t>
      </w:r>
    </w:p>
    <w:p w14:paraId="608A726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Where ZiZ_i Zi​ is the vector of historical control variables, XiX_i Xi​ is the vector of geographic control variables, and λc\lambda_c λc​ represents continent fixed effects (p. 20). </w:t>
      </w:r>
    </w:p>
    <w:p w14:paraId="7732C40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Methods for Testing the Inverted U-shaped Relationship:</w:t>
      </w:r>
    </w:p>
    <w:p w14:paraId="412FE73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To verify that the concavity of the quadratic functional form indeed implies non-monotonicity (i.e., having both rising and falling portions), the authors employ the </w:t>
      </w:r>
      <w:r>
        <w:rPr>
          <w:rFonts w:hint="default" w:ascii="Times New Roman Regular" w:hAnsi="Times New Roman Regular" w:cs="Times New Roman Regular"/>
          <w:lang w:val="en-US"/>
        </w:rPr>
        <w:t>“two-lines test”</w:t>
      </w:r>
      <w:r>
        <w:rPr>
          <w:rFonts w:hint="default" w:ascii="Times New Roman Regular" w:hAnsi="Times New Roman Regular" w:cs="Times New Roman Regular"/>
        </w:rPr>
        <w:t xml:space="preserve"> method proposed by Simonsohn (2016):</w:t>
      </w:r>
    </w:p>
    <w:p w14:paraId="1A973AB9">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Splitting the sample at the predicted maximizing point of state history</w:t>
      </w:r>
    </w:p>
    <w:p w14:paraId="31DA0AA0">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Running regressions with only the linear term separately for countries below and above that point</w:t>
      </w:r>
    </w:p>
    <w:p w14:paraId="1621FFB0">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If the coefficients on both sides have opposite signs and are both significant, this confirms the existence of an inverted U-shaped relationship (p. 21, footnote 37)</w:t>
      </w:r>
    </w:p>
    <w:p w14:paraId="00F3BEA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Robustness Checks:</w:t>
      </w:r>
    </w:p>
    <w:p w14:paraId="661A4B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 Sensitivity analysis with different depreciation rates:</w:t>
      </w:r>
    </w:p>
    <w:p w14:paraId="21EFFE53">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In addition to the primarily used 1% depreciation rate, the authors also test 0.1% and 2% rates</w:t>
      </w:r>
    </w:p>
    <w:p w14:paraId="1FF58AEE">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Results remain qualitatively consistent across different depreciation rates (pp. 21, 31)</w:t>
      </w:r>
    </w:p>
    <w:p w14:paraId="2CFA9AF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 Ancestry adjustment:</w:t>
      </w:r>
    </w:p>
    <w:p w14:paraId="234A1894">
      <w:pPr>
        <w:keepNext w:val="0"/>
        <w:keepLines w:val="0"/>
        <w:pageBreakBefore w:val="0"/>
        <w:widowControl/>
        <w:numPr>
          <w:ilvl w:val="0"/>
          <w:numId w:val="5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Using the migration matrix from Putterman and Weil (2010) to adjust the state history index</w:t>
      </w:r>
    </w:p>
    <w:p w14:paraId="185A1355">
      <w:pPr>
        <w:keepNext w:val="0"/>
        <w:keepLines w:val="0"/>
        <w:pageBreakBefore w:val="0"/>
        <w:widowControl/>
        <w:numPr>
          <w:ilvl w:val="0"/>
          <w:numId w:val="5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This adjustment significantly improves the model</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explanatory power (pp. 23, 33)</w:t>
      </w:r>
    </w:p>
    <w:p w14:paraId="56A86AA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 Treatment of spatial autocorrelation:</w:t>
      </w:r>
    </w:p>
    <w:p w14:paraId="34CBE75A">
      <w:pPr>
        <w:keepNext w:val="0"/>
        <w:keepLines w:val="0"/>
        <w:pageBreakBefore w:val="0"/>
        <w:widowControl/>
        <w:numPr>
          <w:ilvl w:val="0"/>
          <w:numId w:val="5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Conley (1999) standard error correction</w:t>
      </w:r>
      <w:r>
        <w:rPr>
          <w:rFonts w:hint="default" w:ascii="Times New Roman Regular" w:hAnsi="Times New Roman Regular" w:cs="Times New Roman Regular"/>
        </w:rPr>
        <w:t>: Using a covariance matrix weighted by geographic distance, with a threshold of 20 coordinate degrees (p. 35)</w:t>
      </w:r>
    </w:p>
    <w:p w14:paraId="401B1F1D">
      <w:pPr>
        <w:keepNext w:val="0"/>
        <w:keepLines w:val="0"/>
        <w:pageBreakBefore w:val="0"/>
        <w:widowControl/>
        <w:numPr>
          <w:ilvl w:val="0"/>
          <w:numId w:val="5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Spatial Autoregressive Model (SAR)</w:t>
      </w:r>
      <w:r>
        <w:rPr>
          <w:rFonts w:hint="default" w:ascii="Times New Roman Regular" w:hAnsi="Times New Roman Regular" w:cs="Times New Roman Regular"/>
        </w:rPr>
        <w:t>: Allowing the dependent variable to be a function of neighboring countrie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outcomes (p. 35)</w:t>
      </w:r>
    </w:p>
    <w:p w14:paraId="15794A81">
      <w:pPr>
        <w:keepNext w:val="0"/>
        <w:keepLines w:val="0"/>
        <w:pageBreakBefore w:val="0"/>
        <w:widowControl/>
        <w:numPr>
          <w:ilvl w:val="0"/>
          <w:numId w:val="5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SARAR Model</w:t>
      </w:r>
      <w:r>
        <w:rPr>
          <w:rFonts w:hint="default" w:ascii="Times New Roman Regular" w:hAnsi="Times New Roman Regular" w:cs="Times New Roman Regular"/>
        </w:rPr>
        <w:t>: Allowing both the dependent variable and error terms to follow spatial autoregressive processes (p. 35)</w:t>
      </w:r>
    </w:p>
    <w:p w14:paraId="4DE24178">
      <w:pPr>
        <w:keepNext w:val="0"/>
        <w:keepLines w:val="0"/>
        <w:pageBreakBefore w:val="0"/>
        <w:widowControl/>
        <w:numPr>
          <w:ilvl w:val="0"/>
          <w:numId w:val="5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The spatial weighting matrix uses the inverse of great-circle distances between geodesic centroids (p. 35, footnote 54)</w:t>
      </w:r>
    </w:p>
    <w:p w14:paraId="4B7AB2B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4. Sample exclusion tests:</w:t>
      </w:r>
    </w:p>
    <w:p w14:paraId="5E84C2B7">
      <w:pPr>
        <w:keepNext w:val="0"/>
        <w:keepLines w:val="0"/>
        <w:pageBreakBefore w:val="0"/>
        <w:widowControl/>
        <w:numPr>
          <w:ilvl w:val="0"/>
          <w:numId w:val="5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Separately excluding regions such as the Middle East, Sub-Saharan Africa, and North Africa</w:t>
      </w:r>
    </w:p>
    <w:p w14:paraId="65F67747">
      <w:pPr>
        <w:keepNext w:val="0"/>
        <w:keepLines w:val="0"/>
        <w:pageBreakBefore w:val="0"/>
        <w:widowControl/>
        <w:numPr>
          <w:ilvl w:val="0"/>
          <w:numId w:val="5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Excluding former European colonies</w:t>
      </w:r>
    </w:p>
    <w:p w14:paraId="45A0C0E5">
      <w:pPr>
        <w:keepNext w:val="0"/>
        <w:keepLines w:val="0"/>
        <w:pageBreakBefore w:val="0"/>
        <w:widowControl/>
        <w:numPr>
          <w:ilvl w:val="0"/>
          <w:numId w:val="5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Results remain robust in most cases (p. 33)</w:t>
      </w:r>
    </w:p>
    <w:p w14:paraId="051CE9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5. Alternative control variables:</w:t>
      </w:r>
    </w:p>
    <w:p w14:paraId="2321CA82">
      <w:pPr>
        <w:keepNext w:val="0"/>
        <w:keepLines w:val="0"/>
        <w:pageBreakBefore w:val="0"/>
        <w:widowControl/>
        <w:numPr>
          <w:ilvl w:val="0"/>
          <w:numId w:val="5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Adding linear and squared terms for time since Neolithic transition and state age</w:t>
      </w:r>
    </w:p>
    <w:p w14:paraId="14F714B3">
      <w:pPr>
        <w:keepNext w:val="0"/>
        <w:keepLines w:val="0"/>
        <w:pageBreakBefore w:val="0"/>
        <w:widowControl/>
        <w:numPr>
          <w:ilvl w:val="0"/>
          <w:numId w:val="5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Adding variables such as absolute latitude, migratory distance from Addis Ababa, and predicted genetic diversity (p. 32, footnote 45)</w:t>
      </w:r>
    </w:p>
    <w:p w14:paraId="7D81D3E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Assumptions Required for Method Validity:</w:t>
      </w:r>
    </w:p>
    <w:p w14:paraId="3FA7DC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 Exogeneity assumption:</w:t>
      </w:r>
    </w:p>
    <w:p w14:paraId="4267A9C2">
      <w:pPr>
        <w:keepNext w:val="0"/>
        <w:keepLines w:val="0"/>
        <w:pageBreakBefore w:val="0"/>
        <w:widowControl/>
        <w:numPr>
          <w:ilvl w:val="0"/>
          <w:numId w:val="5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Consistency of OLS estimates requires that the independent variable is uncorrelated with the error term</w:t>
      </w:r>
    </w:p>
    <w:p w14:paraId="67B62E99">
      <w:pPr>
        <w:keepNext w:val="0"/>
        <w:keepLines w:val="0"/>
        <w:pageBreakBefore w:val="0"/>
        <w:widowControl/>
        <w:numPr>
          <w:ilvl w:val="0"/>
          <w:numId w:val="5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acknowledge that state history may be endogenous because productivity and technological sophistication sometimes drive conquest, changing borders and thereby influencing state history (pp. 34-35)</w:t>
      </w:r>
    </w:p>
    <w:p w14:paraId="0F33F127">
      <w:pPr>
        <w:keepNext w:val="0"/>
        <w:keepLines w:val="0"/>
        <w:pageBreakBefore w:val="0"/>
        <w:widowControl/>
        <w:numPr>
          <w:ilvl w:val="0"/>
          <w:numId w:val="5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A large number of control variables and fixed effects are added to mitigate omitted variable bias</w:t>
      </w:r>
    </w:p>
    <w:p w14:paraId="3F3076B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 Border exogeneity assumption:</w:t>
      </w:r>
    </w:p>
    <w:p w14:paraId="66710B50">
      <w:pPr>
        <w:keepNext w:val="0"/>
        <w:keepLines w:val="0"/>
        <w:pageBreakBefore w:val="0"/>
        <w:widowControl/>
        <w:numPr>
          <w:ilvl w:val="0"/>
          <w:numId w:val="6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Using contemporary country borders to define historical variables assumes borders are not endogenous</w:t>
      </w:r>
    </w:p>
    <w:p w14:paraId="747D452F">
      <w:pPr>
        <w:keepNext w:val="0"/>
        <w:keepLines w:val="0"/>
        <w:pageBreakBefore w:val="0"/>
        <w:widowControl/>
        <w:numPr>
          <w:ilvl w:val="0"/>
          <w:numId w:val="6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acknowledge this assumption may not hold but argue that because most countries have actually changed their borders throughout history, this somewhat mitigates the problem (p. 3)</w:t>
      </w:r>
    </w:p>
    <w:p w14:paraId="2206BB9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 Random measurement error assumption:</w:t>
      </w:r>
    </w:p>
    <w:p w14:paraId="75B307D4">
      <w:pPr>
        <w:keepNext w:val="0"/>
        <w:keepLines w:val="0"/>
        <w:pageBreakBefore w:val="0"/>
        <w:widowControl/>
        <w:numPr>
          <w:ilvl w:val="0"/>
          <w:numId w:val="6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If measurement error in ancient data is random, estimates are biased toward zero</w:t>
      </w:r>
    </w:p>
    <w:p w14:paraId="60802709">
      <w:pPr>
        <w:keepNext w:val="0"/>
        <w:keepLines w:val="0"/>
        <w:pageBreakBefore w:val="0"/>
        <w:widowControl/>
        <w:numPr>
          <w:ilvl w:val="0"/>
          <w:numId w:val="6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If measurement error is correlated with outcome variables, the direction of bias is difficult to predict (p. 34)</w:t>
      </w:r>
    </w:p>
    <w:p w14:paraId="7D859F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4. Correct functional form assumption:</w:t>
      </w:r>
    </w:p>
    <w:p w14:paraId="3CE2D29F">
      <w:pPr>
        <w:keepNext w:val="0"/>
        <w:keepLines w:val="0"/>
        <w:pageBreakBefore w:val="0"/>
        <w:widowControl/>
        <w:numPr>
          <w:ilvl w:val="0"/>
          <w:numId w:val="6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The quadratic specification assumes the relationship between state history and economic development can be approximated by a parabola</w:t>
      </w:r>
    </w:p>
    <w:p w14:paraId="0C56D1E2">
      <w:pPr>
        <w:keepNext w:val="0"/>
        <w:keepLines w:val="0"/>
        <w:pageBreakBefore w:val="0"/>
        <w:widowControl/>
        <w:numPr>
          <w:ilvl w:val="0"/>
          <w:numId w:val="6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verify this assumption by comparing the explanatory power of linear and quadratic models (e.g., R² increases from 0.020 to 0.052 in Table 5) (p. 28)</w:t>
      </w:r>
    </w:p>
    <w:p w14:paraId="34E5857C">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27FE39A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学术贡献 / Contribution: What would the academia see as the reading</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main contribution?</w:t>
      </w:r>
    </w:p>
    <w:p w14:paraId="72024FA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本文对学术界的贡献可从以下几个维度进行总结：</w:t>
      </w:r>
    </w:p>
    <w:p w14:paraId="41D9962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1. 原创性数据贡献</w:t>
      </w:r>
    </w:p>
    <w:p w14:paraId="35C763B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本文最直接的贡献是将国家历史指数从公元1年向前延伸至公元前3500年。这一数据扩展工作涉及：</w:t>
      </w:r>
    </w:p>
    <w:p w14:paraId="45C97D4A">
      <w:pPr>
        <w:keepNext w:val="0"/>
        <w:keepLines w:val="0"/>
        <w:pageBreakBefore w:val="0"/>
        <w:widowControl/>
        <w:numPr>
          <w:ilvl w:val="0"/>
          <w:numId w:val="6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对159个当代国家在110个50年周期内的系统编码</w:t>
      </w:r>
    </w:p>
    <w:p w14:paraId="5B24DA1C">
      <w:pPr>
        <w:keepNext w:val="0"/>
        <w:keepLines w:val="0"/>
        <w:pageBreakBefore w:val="0"/>
        <w:widowControl/>
        <w:numPr>
          <w:ilvl w:val="0"/>
          <w:numId w:val="6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形成包含17,490个国家-周期观测值的面板数据集</w:t>
      </w:r>
    </w:p>
    <w:p w14:paraId="66C4CDDA">
      <w:pPr>
        <w:keepNext w:val="0"/>
        <w:keepLines w:val="0"/>
        <w:pageBreakBefore w:val="0"/>
        <w:widowControl/>
        <w:numPr>
          <w:ilvl w:val="0"/>
          <w:numId w:val="6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详尽的在线数据编码附录，为每个国家-周期观测值提供编码依据（第2页）</w:t>
      </w:r>
    </w:p>
    <w:p w14:paraId="6848DFA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这一数据集为研究国家建设与长期经济发展的学者提供了宝贵的实证基础。</w:t>
      </w:r>
    </w:p>
    <w:p w14:paraId="7F9E45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2. 修正既有理论发现</w:t>
      </w:r>
    </w:p>
    <w:p w14:paraId="3A9A6D0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揭示了此前文献中关于国家历史与经济发展正相关关系的发现实际上是数据不完整导致的误导性结论。通过将公元前的国家历史纳入分析，作者证明了真实关系是驼峰形而非线性的（第2页、第12页）。这一发现要求学者重新审视Bockstette等人（2002）以来关于国家历史正向影响经济发展的主流观点。</w:t>
      </w:r>
    </w:p>
    <w:p w14:paraId="443F288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3. 理论框架创新</w:t>
      </w:r>
    </w:p>
    <w:p w14:paraId="5E81D6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作者构建了一个解释国家历史与经济发展非线性关系的理论框架，整合了以下学术传统：</w:t>
      </w:r>
    </w:p>
    <w:p w14:paraId="4DA593CF">
      <w:pPr>
        <w:keepNext w:val="0"/>
        <w:keepLines w:val="0"/>
        <w:pageBreakBefore w:val="0"/>
        <w:widowControl/>
        <w:numPr>
          <w:ilvl w:val="0"/>
          <w:numId w:val="6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Olson（1993）的</w:t>
      </w:r>
      <w:r>
        <w:rPr>
          <w:rFonts w:hint="default" w:ascii="Times New Roman Regular" w:hAnsi="Times New Roman Regular" w:cs="Times New Roman Regular"/>
          <w:lang w:val="en-US"/>
        </w:rPr>
        <w:t>“驻扎土匪”</w:t>
      </w:r>
      <w:r>
        <w:rPr>
          <w:rFonts w:hint="default" w:ascii="Times New Roman Regular" w:hAnsi="Times New Roman Regular" w:cs="Times New Roman Regular"/>
        </w:rPr>
        <w:t>（stationary bandit）理论</w:t>
      </w:r>
    </w:p>
    <w:p w14:paraId="49B399A0">
      <w:pPr>
        <w:keepNext w:val="0"/>
        <w:keepLines w:val="0"/>
        <w:pageBreakBefore w:val="0"/>
        <w:widowControl/>
        <w:numPr>
          <w:ilvl w:val="0"/>
          <w:numId w:val="6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Tilly（1990）的战争与国家形成理论</w:t>
      </w:r>
    </w:p>
    <w:p w14:paraId="17AA83DE">
      <w:pPr>
        <w:keepNext w:val="0"/>
        <w:keepLines w:val="0"/>
        <w:pageBreakBefore w:val="0"/>
        <w:widowControl/>
        <w:numPr>
          <w:ilvl w:val="0"/>
          <w:numId w:val="6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Besley和Persson（2009, 2013）的财政能力理论</w:t>
      </w:r>
    </w:p>
    <w:p w14:paraId="666E5828">
      <w:pPr>
        <w:keepNext w:val="0"/>
        <w:keepLines w:val="0"/>
        <w:pageBreakBefore w:val="0"/>
        <w:widowControl/>
        <w:numPr>
          <w:ilvl w:val="0"/>
          <w:numId w:val="6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Hariri（2012）关于早期国家专制遗产的研究</w:t>
      </w:r>
    </w:p>
    <w:p w14:paraId="3523CF0F">
      <w:pPr>
        <w:keepNext w:val="0"/>
        <w:keepLines w:val="0"/>
        <w:pageBreakBefore w:val="0"/>
        <w:widowControl/>
        <w:numPr>
          <w:ilvl w:val="0"/>
          <w:numId w:val="6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Acemoglu和Robinson（2012）关于包容性与榨取性制度的分析</w:t>
      </w:r>
    </w:p>
    <w:p w14:paraId="33D192C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该框架创新性地提出了</w:t>
      </w:r>
      <w:r>
        <w:rPr>
          <w:rFonts w:hint="default" w:ascii="Times New Roman Regular" w:hAnsi="Times New Roman Regular" w:cs="Times New Roman Regular"/>
          <w:lang w:val="en-US"/>
        </w:rPr>
        <w:t>“后来者优势”</w:t>
      </w:r>
      <w:r>
        <w:rPr>
          <w:rFonts w:hint="default" w:ascii="Times New Roman Regular" w:hAnsi="Times New Roman Regular" w:cs="Times New Roman Regular"/>
        </w:rPr>
        <w:t>的机制，解释了为何中等历史的国家能够超越古老文明（第6-8页）。</w:t>
      </w:r>
    </w:p>
    <w:p w14:paraId="523F48C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4. 跨学科综合</w:t>
      </w:r>
    </w:p>
    <w:p w14:paraId="16E67E3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本文成功整合了政治人类学（Service 1962; Carneiro 1981）、历史社会学（Tilly 1990; Weber 1968）、制度经济学（North 1990; Acemoglu等）和长期增长理论（Ashraf和Galor 2013）的研究传统。这种跨学科视角丰富了我们对国家形成与经济发展长期关系的理解。</w:t>
      </w:r>
    </w:p>
    <w:p w14:paraId="35B20A2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5. 实证方法的改进</w:t>
      </w:r>
    </w:p>
    <w:p w14:paraId="4DB436D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本文在实证方法上的贡献包括：</w:t>
      </w:r>
    </w:p>
    <w:p w14:paraId="7F597459">
      <w:pPr>
        <w:keepNext w:val="0"/>
        <w:keepLines w:val="0"/>
        <w:pageBreakBefore w:val="0"/>
        <w:widowControl/>
        <w:numPr>
          <w:ilvl w:val="0"/>
          <w:numId w:val="6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系统使用空间计量方法处理国家间的空间依赖性</w:t>
      </w:r>
    </w:p>
    <w:p w14:paraId="69730600">
      <w:pPr>
        <w:keepNext w:val="0"/>
        <w:keepLines w:val="0"/>
        <w:pageBreakBefore w:val="0"/>
        <w:widowControl/>
        <w:numPr>
          <w:ilvl w:val="0"/>
          <w:numId w:val="6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采用祖先调整方法处理后哥伦布时代的人口迁移</w:t>
      </w:r>
    </w:p>
    <w:p w14:paraId="0D19EF10">
      <w:pPr>
        <w:keepNext w:val="0"/>
        <w:keepLines w:val="0"/>
        <w:pageBreakBefore w:val="0"/>
        <w:widowControl/>
        <w:numPr>
          <w:ilvl w:val="0"/>
          <w:numId w:val="6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使用</w:t>
      </w:r>
      <w:r>
        <w:rPr>
          <w:rFonts w:hint="default" w:ascii="Times New Roman Regular" w:hAnsi="Times New Roman Regular" w:cs="Times New Roman Regular"/>
          <w:lang w:val="en-US"/>
        </w:rPr>
        <w:t>“两线检验”</w:t>
      </w:r>
      <w:r>
        <w:rPr>
          <w:rFonts w:hint="default" w:ascii="Times New Roman Regular" w:hAnsi="Times New Roman Regular" w:cs="Times New Roman Regular"/>
        </w:rPr>
        <w:t>方法验证非单调关系</w:t>
      </w:r>
    </w:p>
    <w:p w14:paraId="41295A01">
      <w:pPr>
        <w:keepNext w:val="0"/>
        <w:keepLines w:val="0"/>
        <w:pageBreakBefore w:val="0"/>
        <w:widowControl/>
        <w:numPr>
          <w:ilvl w:val="0"/>
          <w:numId w:val="6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全面的稳健性检验展示了结论的可靠性</w:t>
      </w:r>
    </w:p>
    <w:p w14:paraId="4AD6EB3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6. 对</w:t>
      </w:r>
      <w:r>
        <w:rPr>
          <w:rStyle w:val="7"/>
          <w:rFonts w:hint="default" w:ascii="Times New Roman Regular" w:hAnsi="Times New Roman Regular" w:cs="Times New Roman Regular"/>
          <w:lang w:val="en-US"/>
        </w:rPr>
        <w:t>“命运逆转”</w:t>
      </w:r>
      <w:r>
        <w:rPr>
          <w:rStyle w:val="7"/>
          <w:rFonts w:hint="default" w:ascii="Times New Roman Regular" w:hAnsi="Times New Roman Regular" w:cs="Times New Roman Regular"/>
        </w:rPr>
        <w:t>文献的贡献</w:t>
      </w:r>
    </w:p>
    <w:p w14:paraId="08731B3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本文与Acemoglu等人（2001, 2002）关于殖民地</w:t>
      </w:r>
      <w:r>
        <w:rPr>
          <w:rFonts w:hint="default" w:ascii="Times New Roman Regular" w:hAnsi="Times New Roman Regular" w:cs="Times New Roman Regular"/>
          <w:lang w:val="en-US"/>
        </w:rPr>
        <w:t>“命运逆转”</w:t>
      </w:r>
      <w:r>
        <w:rPr>
          <w:rFonts w:hint="default" w:ascii="Times New Roman Regular" w:hAnsi="Times New Roman Regular" w:cs="Times New Roman Regular"/>
        </w:rPr>
        <w:t>的研究、Hariri（2012）关于早期国家专制遗产的研究、以及Olsson和Paik（2013）关于新石器革命与西方逆转的研究形成对话和补充。作者展示了完整的国家历史如何帮助我们理解为何一些曾经先进的文明（如埃及、伊拉克）如今相对落后（第3-4页）。</w:t>
      </w:r>
    </w:p>
    <w:p w14:paraId="07E6D1AC">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7F29C0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academic contributions of this paper can be summarized from the following dimensions:</w:t>
      </w:r>
    </w:p>
    <w:p w14:paraId="6BB195F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1. Original Data Contribution</w:t>
      </w:r>
    </w:p>
    <w:p w14:paraId="726E22B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most direct contribution of this paper is extending the state history index from 1 CE backward to 3500 BCE. This data extension effort involves:</w:t>
      </w:r>
    </w:p>
    <w:p w14:paraId="362F33A5">
      <w:pPr>
        <w:keepNext w:val="0"/>
        <w:keepLines w:val="0"/>
        <w:pageBreakBefore w:val="0"/>
        <w:widowControl/>
        <w:numPr>
          <w:ilvl w:val="0"/>
          <w:numId w:val="6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Systematic coding of 159 contemporary countries across 110 fifty-year periods</w:t>
      </w:r>
    </w:p>
    <w:p w14:paraId="3573A723">
      <w:pPr>
        <w:keepNext w:val="0"/>
        <w:keepLines w:val="0"/>
        <w:pageBreakBefore w:val="0"/>
        <w:widowControl/>
        <w:numPr>
          <w:ilvl w:val="0"/>
          <w:numId w:val="6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Creating a panel dataset with 17,490 country-period observations</w:t>
      </w:r>
    </w:p>
    <w:p w14:paraId="290E1D8C">
      <w:pPr>
        <w:keepNext w:val="0"/>
        <w:keepLines w:val="0"/>
        <w:pageBreakBefore w:val="0"/>
        <w:widowControl/>
        <w:numPr>
          <w:ilvl w:val="0"/>
          <w:numId w:val="6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A comprehensive online data coding appendix providing justification for each country-period observation (p. 2)</w:t>
      </w:r>
    </w:p>
    <w:p w14:paraId="7AFCA3C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This dataset provides an invaluable empirical foundation for scholars studying state building and long-run economic development.</w:t>
      </w:r>
    </w:p>
    <w:p w14:paraId="1C99B59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2. Correcting Existing Theoretical Findings</w:t>
      </w:r>
    </w:p>
    <w:p w14:paraId="0DA2984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This paper reveals that the previous literature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finding of a positive correlation between state history and economic development was actually a misleading conclusion caused by incomplete data. By incorporating BCE state history into the analysis, the authors demonstrate that the true relationship is hump-shaped rather than linear (pp. 2, 12). This finding requires scholars to reexamine the mainstream view since Bockstette et al. (2002) that state history positively influences economic development.</w:t>
      </w:r>
    </w:p>
    <w:p w14:paraId="00EF341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3. Theoretical Framework Innovation</w:t>
      </w:r>
    </w:p>
    <w:p w14:paraId="3897CA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construct a theoretical framework explaining the nonlinear relationship between state history and economic development, integrating the following academic traditions:</w:t>
      </w:r>
    </w:p>
    <w:p w14:paraId="5B1581C2">
      <w:pPr>
        <w:keepNext w:val="0"/>
        <w:keepLines w:val="0"/>
        <w:pageBreakBefore w:val="0"/>
        <w:widowControl/>
        <w:numPr>
          <w:ilvl w:val="0"/>
          <w:numId w:val="6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Olson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(1993) </w:t>
      </w:r>
      <w:r>
        <w:rPr>
          <w:rFonts w:hint="default" w:ascii="Times New Roman Regular" w:hAnsi="Times New Roman Regular" w:cs="Times New Roman Regular"/>
          <w:lang w:val="en-US"/>
        </w:rPr>
        <w:t>“stationary bandit”</w:t>
      </w:r>
      <w:r>
        <w:rPr>
          <w:rFonts w:hint="default" w:ascii="Times New Roman Regular" w:hAnsi="Times New Roman Regular" w:cs="Times New Roman Regular"/>
        </w:rPr>
        <w:t xml:space="preserve"> theory</w:t>
      </w:r>
    </w:p>
    <w:p w14:paraId="12AB19E3">
      <w:pPr>
        <w:keepNext w:val="0"/>
        <w:keepLines w:val="0"/>
        <w:pageBreakBefore w:val="0"/>
        <w:widowControl/>
        <w:numPr>
          <w:ilvl w:val="0"/>
          <w:numId w:val="6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Tilly</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(1990) theory of war and state formation</w:t>
      </w:r>
    </w:p>
    <w:p w14:paraId="22C38EF2">
      <w:pPr>
        <w:keepNext w:val="0"/>
        <w:keepLines w:val="0"/>
        <w:pageBreakBefore w:val="0"/>
        <w:widowControl/>
        <w:numPr>
          <w:ilvl w:val="0"/>
          <w:numId w:val="6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Besley and Persson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(2009, 2013) fiscal capacity theory</w:t>
      </w:r>
    </w:p>
    <w:p w14:paraId="430E01B3">
      <w:pPr>
        <w:keepNext w:val="0"/>
        <w:keepLines w:val="0"/>
        <w:pageBreakBefore w:val="0"/>
        <w:widowControl/>
        <w:numPr>
          <w:ilvl w:val="0"/>
          <w:numId w:val="6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Hariri</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(2012) research on the autocratic legacy of early statehood</w:t>
      </w:r>
    </w:p>
    <w:p w14:paraId="3D215A7D">
      <w:pPr>
        <w:keepNext w:val="0"/>
        <w:keepLines w:val="0"/>
        <w:pageBreakBefore w:val="0"/>
        <w:widowControl/>
        <w:numPr>
          <w:ilvl w:val="0"/>
          <w:numId w:val="6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Acemoglu and Robinson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(2012) analysis of inclusive versus extractive institutions</w:t>
      </w:r>
    </w:p>
    <w:p w14:paraId="7E86C8E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framework innovatively proposes the mechanism of </w:t>
      </w:r>
      <w:r>
        <w:rPr>
          <w:rFonts w:hint="default" w:ascii="Times New Roman Regular" w:hAnsi="Times New Roman Regular" w:cs="Times New Roman Regular"/>
          <w:lang w:val="en-US"/>
        </w:rPr>
        <w:t>“latecomer advantage,”</w:t>
      </w:r>
      <w:r>
        <w:rPr>
          <w:rFonts w:hint="default" w:ascii="Times New Roman Regular" w:hAnsi="Times New Roman Regular" w:cs="Times New Roman Regular"/>
        </w:rPr>
        <w:t xml:space="preserve"> explaining why states with intermediate histories can surpass ancient civilizations (pp. 6-8).</w:t>
      </w:r>
    </w:p>
    <w:p w14:paraId="46F1074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4. Interdisciplinary Synthesis</w:t>
      </w:r>
    </w:p>
    <w:p w14:paraId="4C7DFD4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This paper successfully integrates research traditions from political anthropology (Service 1962; Carneiro 1981), historical sociology (Tilly 1990; Weber 1968), institutional economics (North 1990; Acemoglu et al.), and long-run growth theory (Ashraf and Galor 2013). This interdisciplinary perspective enriches our understanding of the long-run relationship between state formation and economic development.</w:t>
      </w:r>
    </w:p>
    <w:p w14:paraId="7BA6170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5. Improvements in Empirical Methods</w:t>
      </w:r>
    </w:p>
    <w:p w14:paraId="3140778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paper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contributions to empirical methods include:</w:t>
      </w:r>
    </w:p>
    <w:p w14:paraId="331ADCF0">
      <w:pPr>
        <w:keepNext w:val="0"/>
        <w:keepLines w:val="0"/>
        <w:pageBreakBefore w:val="0"/>
        <w:widowControl/>
        <w:numPr>
          <w:ilvl w:val="0"/>
          <w:numId w:val="6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Systematic use of spatial econometric methods to address spatial dependence among countries</w:t>
      </w:r>
    </w:p>
    <w:p w14:paraId="57E78337">
      <w:pPr>
        <w:keepNext w:val="0"/>
        <w:keepLines w:val="0"/>
        <w:pageBreakBefore w:val="0"/>
        <w:widowControl/>
        <w:numPr>
          <w:ilvl w:val="0"/>
          <w:numId w:val="6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Employing ancestry adjustment methods to account for post-Columbian population migration</w:t>
      </w:r>
    </w:p>
    <w:p w14:paraId="5B3529CE">
      <w:pPr>
        <w:keepNext w:val="0"/>
        <w:keepLines w:val="0"/>
        <w:pageBreakBefore w:val="0"/>
        <w:widowControl/>
        <w:numPr>
          <w:ilvl w:val="0"/>
          <w:numId w:val="6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Using the </w:t>
      </w:r>
      <w:r>
        <w:rPr>
          <w:rFonts w:hint="default" w:ascii="Times New Roman Regular" w:hAnsi="Times New Roman Regular" w:cs="Times New Roman Regular"/>
          <w:lang w:val="en-US"/>
        </w:rPr>
        <w:t>“two-lines test”</w:t>
      </w:r>
      <w:r>
        <w:rPr>
          <w:rFonts w:hint="default" w:ascii="Times New Roman Regular" w:hAnsi="Times New Roman Regular" w:cs="Times New Roman Regular"/>
        </w:rPr>
        <w:t xml:space="preserve"> method to verify non-monotonic relationships</w:t>
      </w:r>
    </w:p>
    <w:p w14:paraId="44E1D5E4">
      <w:pPr>
        <w:keepNext w:val="0"/>
        <w:keepLines w:val="0"/>
        <w:pageBreakBefore w:val="0"/>
        <w:widowControl/>
        <w:numPr>
          <w:ilvl w:val="0"/>
          <w:numId w:val="6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Comprehensive robustness checks demonstrating the reliability of conclusions</w:t>
      </w:r>
    </w:p>
    <w:p w14:paraId="2524FCB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 xml:space="preserve">6. Contribution to the </w:t>
      </w:r>
      <w:r>
        <w:rPr>
          <w:rStyle w:val="7"/>
          <w:rFonts w:hint="default" w:ascii="Times New Roman Regular" w:hAnsi="Times New Roman Regular" w:cs="Times New Roman Regular"/>
          <w:lang w:val="en-US"/>
        </w:rPr>
        <w:t>“Reversal of Fortune”</w:t>
      </w:r>
      <w:r>
        <w:rPr>
          <w:rStyle w:val="7"/>
          <w:rFonts w:hint="default" w:ascii="Times New Roman Regular" w:hAnsi="Times New Roman Regular" w:cs="Times New Roman Regular"/>
        </w:rPr>
        <w:t xml:space="preserve"> Literature</w:t>
      </w:r>
    </w:p>
    <w:p w14:paraId="6A14223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This paper dialogues with and complements Acemoglu et al.</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(2001, 2002) research on the </w:t>
      </w:r>
      <w:r>
        <w:rPr>
          <w:rFonts w:hint="default" w:ascii="Times New Roman Regular" w:hAnsi="Times New Roman Regular" w:cs="Times New Roman Regular"/>
          <w:lang w:val="en-US"/>
        </w:rPr>
        <w:t>“reversal of fortune”</w:t>
      </w:r>
      <w:r>
        <w:rPr>
          <w:rFonts w:hint="default" w:ascii="Times New Roman Regular" w:hAnsi="Times New Roman Regular" w:cs="Times New Roman Regular"/>
        </w:rPr>
        <w:t xml:space="preserve"> in colonies, Hariri</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(2012) research on the autocratic legacy of early statehood, and Olsson and Paik</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(2013) research on the Neolithic Revolution and Western reversal. The authors demonstrate how complete state history helps us understand why some once-advanced civilizations (such as Egypt and Iraq) are now relatively backward (pp. 3-4).</w:t>
      </w:r>
    </w:p>
    <w:p w14:paraId="358DF915">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3DAA194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局限性与改进建议 / Suggestions: What would professional scholars and researchers identify as limitations of the reading and how would they suggest a way to address or improve it?</w:t>
      </w:r>
    </w:p>
    <w:p w14:paraId="5B0A1DF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局限性一：边界内生性问题</w:t>
      </w:r>
    </w:p>
    <w:p w14:paraId="2052A3C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作者承认使用当代国家边界定义历史变量面临边界内生性的挑战。历史上，边界因国家能力增强或削弱、政治体制变更、军事征服和殖民化而频繁变动（第34页）。</w:t>
      </w:r>
    </w:p>
    <w:p w14:paraId="55C41FE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批评角度：</w:t>
      </w:r>
      <w:r>
        <w:rPr>
          <w:rFonts w:hint="default" w:ascii="Times New Roman Regular" w:hAnsi="Times New Roman Regular" w:cs="Times New Roman Regular"/>
        </w:rPr>
        <w:t xml:space="preserve"> 例如，Alesina和Spolaore（1997）表明民主化可能导致分裂；Gennaioli和Voth（2015）表明1500年后欧洲的军事创新导致领土征服和边界重新划定。如果更强大的国家倾向于扩张领土以纳入国家历史更长的地区，或者更弱的国家收缩至国家历史更短的地区，则估计结果可能存在偏误。</w:t>
      </w:r>
    </w:p>
    <w:p w14:paraId="5D6BC3E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改进建议：</w:t>
      </w:r>
    </w:p>
    <w:p w14:paraId="35BC5D44">
      <w:pPr>
        <w:keepNext w:val="0"/>
        <w:keepLines w:val="0"/>
        <w:pageBreakBefore w:val="0"/>
        <w:widowControl/>
        <w:numPr>
          <w:ilvl w:val="0"/>
          <w:numId w:val="6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采用网格单元（grid cell）分析方法替代国家边界，将世界随机划分为等面积网格单元，研究每个网格单元的国家历史和经济发展（如Michalopoulos 2012; Depetris-Chauvin 2014）。作者承认这将需要更大规模的编码工作（第35页）</w:t>
      </w:r>
    </w:p>
    <w:p w14:paraId="3A6BFD7C">
      <w:pPr>
        <w:keepNext w:val="0"/>
        <w:keepLines w:val="0"/>
        <w:pageBreakBefore w:val="0"/>
        <w:widowControl/>
        <w:numPr>
          <w:ilvl w:val="0"/>
          <w:numId w:val="6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使用历史边界数据进行面板分析，追踪特定政治实体而非固定领土的发展轨迹</w:t>
      </w:r>
    </w:p>
    <w:p w14:paraId="2D0E3679">
      <w:pPr>
        <w:keepNext w:val="0"/>
        <w:keepLines w:val="0"/>
        <w:pageBreakBefore w:val="0"/>
        <w:widowControl/>
        <w:numPr>
          <w:ilvl w:val="0"/>
          <w:numId w:val="6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开发工具变量策略处理边界内生性</w:t>
      </w:r>
    </w:p>
    <w:p w14:paraId="3C64B5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局限性二：因果识别的挑战</w:t>
      </w:r>
    </w:p>
    <w:p w14:paraId="42CF9C0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本文主要展示的是相关关系而非因果关系。国家历史可能受到经济发展的反向影响——生产力和技术水平有时推动征服，改变边界，从而影响国家历史（第34-35页）。</w:t>
      </w:r>
    </w:p>
    <w:p w14:paraId="63CA360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批评角度：</w:t>
      </w:r>
      <w:r>
        <w:rPr>
          <w:rFonts w:hint="default" w:ascii="Times New Roman Regular" w:hAnsi="Times New Roman Regular" w:cs="Times New Roman Regular"/>
        </w:rPr>
        <w:t xml:space="preserve"> 遗漏变量偏误可能仍然存在。例如，地理环境可能同时影响国家形成的时机和经济发展潜力，而作者包含的控制变量可能不足以完全消除这种混杂。</w:t>
      </w:r>
    </w:p>
    <w:p w14:paraId="0AB220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改进建议：</w:t>
      </w:r>
    </w:p>
    <w:p w14:paraId="722819A8">
      <w:pPr>
        <w:keepNext w:val="0"/>
        <w:keepLines w:val="0"/>
        <w:pageBreakBefore w:val="0"/>
        <w:widowControl/>
        <w:numPr>
          <w:ilvl w:val="0"/>
          <w:numId w:val="7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寻找影响国家形成时机但不直接影响当代经济发展的工具变量（如早期农业传播路径、河流位置等）</w:t>
      </w:r>
    </w:p>
    <w:p w14:paraId="6DB596E4">
      <w:pPr>
        <w:keepNext w:val="0"/>
        <w:keepLines w:val="0"/>
        <w:pageBreakBefore w:val="0"/>
        <w:widowControl/>
        <w:numPr>
          <w:ilvl w:val="0"/>
          <w:numId w:val="7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利用国家形成的准自然实验（如殖民边界的任意划定）进行断点回归设计</w:t>
      </w:r>
    </w:p>
    <w:p w14:paraId="1314918D">
      <w:pPr>
        <w:keepNext w:val="0"/>
        <w:keepLines w:val="0"/>
        <w:pageBreakBefore w:val="0"/>
        <w:widowControl/>
        <w:numPr>
          <w:ilvl w:val="0"/>
          <w:numId w:val="7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开发结构方程模型明确区分因果路径</w:t>
      </w:r>
    </w:p>
    <w:p w14:paraId="034558A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局限性三：古代数据的测量误差</w:t>
      </w:r>
    </w:p>
    <w:p w14:paraId="5C35466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公元前时期的国家历史编码不可避免地存在测量误差，因为考古证据往往不完整且解释存在争议。作者采用</w:t>
      </w:r>
      <w:r>
        <w:rPr>
          <w:rFonts w:hint="default" w:ascii="Times New Roman Regular" w:hAnsi="Times New Roman Regular" w:cs="Times New Roman Regular"/>
          <w:lang w:val="en-US"/>
        </w:rPr>
        <w:t>“诊断特征法”</w:t>
      </w:r>
      <w:r>
        <w:rPr>
          <w:rFonts w:hint="default" w:ascii="Times New Roman Regular" w:hAnsi="Times New Roman Regular" w:cs="Times New Roman Regular"/>
        </w:rPr>
        <w:t>存在将新兴文明误分类为国家的风险（第14页脚注21）。</w:t>
      </w:r>
    </w:p>
    <w:p w14:paraId="349F307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批评角度：</w:t>
      </w:r>
      <w:r>
        <w:rPr>
          <w:rFonts w:hint="default" w:ascii="Times New Roman Regular" w:hAnsi="Times New Roman Regular" w:cs="Times New Roman Regular"/>
        </w:rPr>
        <w:t xml:space="preserve"> 测量误差如果与结果变量相关（例如，数据记录更完整的地区可能同时是经济更发达的地区），可能导致有偏估计。</w:t>
      </w:r>
    </w:p>
    <w:p w14:paraId="72F78BE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改进建议：</w:t>
      </w:r>
    </w:p>
    <w:p w14:paraId="7D4266F4">
      <w:pPr>
        <w:keepNext w:val="0"/>
        <w:keepLines w:val="0"/>
        <w:pageBreakBefore w:val="0"/>
        <w:widowControl/>
        <w:numPr>
          <w:ilvl w:val="0"/>
          <w:numId w:val="7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进行多种编码方案的敏感性分析</w:t>
      </w:r>
    </w:p>
    <w:p w14:paraId="423F0420">
      <w:pPr>
        <w:keepNext w:val="0"/>
        <w:keepLines w:val="0"/>
        <w:pageBreakBefore w:val="0"/>
        <w:widowControl/>
        <w:numPr>
          <w:ilvl w:val="0"/>
          <w:numId w:val="7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利用多个独立数据来源进行交叉验证</w:t>
      </w:r>
    </w:p>
    <w:p w14:paraId="60706125">
      <w:pPr>
        <w:keepNext w:val="0"/>
        <w:keepLines w:val="0"/>
        <w:pageBreakBefore w:val="0"/>
        <w:widowControl/>
        <w:numPr>
          <w:ilvl w:val="0"/>
          <w:numId w:val="7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开发概率性编码方法，将测量不确定性纳入统计推断</w:t>
      </w:r>
    </w:p>
    <w:p w14:paraId="1097626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局限性四：机制检验不足</w:t>
      </w:r>
    </w:p>
    <w:p w14:paraId="32D547B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虽然作者提出了清晰的理论机制（财政能力建设、过度集权、后来者学习），但实证分析主要停留在约简形式（reduced form）层面，缺乏对具体机制的直接检验（第36页）。</w:t>
      </w:r>
    </w:p>
    <w:p w14:paraId="033E1CB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批评角度：</w:t>
      </w:r>
      <w:r>
        <w:rPr>
          <w:rFonts w:hint="default" w:ascii="Times New Roman Regular" w:hAnsi="Times New Roman Regular" w:cs="Times New Roman Regular"/>
        </w:rPr>
        <w:t xml:space="preserve"> 驼峰形关系可能由多种机制产生，现有证据难以区分不同解释。例如，古老国家的相对落后可能源于制度僵化、资源诅咒、地理劣势或其他因素。</w:t>
      </w:r>
    </w:p>
    <w:p w14:paraId="2116506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改进建议：</w:t>
      </w:r>
    </w:p>
    <w:p w14:paraId="0FC7DD4D">
      <w:pPr>
        <w:keepNext w:val="0"/>
        <w:keepLines w:val="0"/>
        <w:pageBreakBefore w:val="0"/>
        <w:widowControl/>
        <w:numPr>
          <w:ilvl w:val="0"/>
          <w:numId w:val="7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收集历史制度质量数据（如行政约束、税收能力、法治程度）作为中介变量</w:t>
      </w:r>
    </w:p>
    <w:p w14:paraId="3CBED9DA">
      <w:pPr>
        <w:keepNext w:val="0"/>
        <w:keepLines w:val="0"/>
        <w:pageBreakBefore w:val="0"/>
        <w:widowControl/>
        <w:numPr>
          <w:ilvl w:val="0"/>
          <w:numId w:val="7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分析国家历史各组成部分（年龄、自治程度、领土覆盖）的独立影响</w:t>
      </w:r>
    </w:p>
    <w:p w14:paraId="3EFD6313">
      <w:pPr>
        <w:keepNext w:val="0"/>
        <w:keepLines w:val="0"/>
        <w:pageBreakBefore w:val="0"/>
        <w:widowControl/>
        <w:numPr>
          <w:ilvl w:val="0"/>
          <w:numId w:val="7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进行案例比较研究深入分析机制</w:t>
      </w:r>
    </w:p>
    <w:p w14:paraId="2AB85EC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局限性五：折旧率选择的任意性</w:t>
      </w:r>
    </w:p>
    <w:p w14:paraId="47AB48B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作者使用1%的折旧率赋予不同时期的国家历史不同权重，但这一选择缺乏理论基础（第15-16页）。</w:t>
      </w:r>
    </w:p>
    <w:p w14:paraId="6BF922A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批评角度：</w:t>
      </w:r>
      <w:r>
        <w:rPr>
          <w:rFonts w:hint="default" w:ascii="Times New Roman Regular" w:hAnsi="Times New Roman Regular" w:cs="Times New Roman Regular"/>
        </w:rPr>
        <w:t xml:space="preserve"> 不同折旧率会显著改变古老国家和年轻国家的相对得分，从而可能影响实证结果。</w:t>
      </w:r>
    </w:p>
    <w:p w14:paraId="5F41B16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改进建议：</w:t>
      </w:r>
    </w:p>
    <w:p w14:paraId="19AB142E">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开发基于理论的折旧率校准方法</w:t>
      </w:r>
    </w:p>
    <w:p w14:paraId="571F8DB0">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使用更灵活的加权函数（如非参数方法）估计最优时间权重</w:t>
      </w:r>
    </w:p>
    <w:p w14:paraId="7F055470">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系统比较不同折旧率假设下的结果（作者已部分进行，但可更系统化）</w:t>
      </w:r>
    </w:p>
    <w:p w14:paraId="380215B2">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7434283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Limitation One: Border Endogeneity Problem</w:t>
      </w:r>
    </w:p>
    <w:p w14:paraId="0668143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acknowledge that using contemporary country borders to define historical variables faces the challenge of border endogeneity. Throughout history, borders have shifted frequently due to states consolidating or weakening their administrative or military capacities, political regime changes, military conquests, and colonization (p. 34).</w:t>
      </w:r>
    </w:p>
    <w:p w14:paraId="522D480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Critical perspective:</w:t>
      </w:r>
      <w:r>
        <w:rPr>
          <w:rFonts w:hint="default" w:ascii="Times New Roman Regular" w:hAnsi="Times New Roman Regular" w:cs="Times New Roman Regular"/>
        </w:rPr>
        <w:t xml:space="preserve"> For example, Alesina and Spolaore (1997) showed that democratization can lead to secession; Gennaioli and Voth (2015) showed that post-1500 military innovations in Europe led to territorial conquests and border redefinition. If stronger states tend to expand their territories to include regions with longer state histories, or weaker states contract to regions with shorter state histories, the estimates may be biased.</w:t>
      </w:r>
    </w:p>
    <w:p w14:paraId="5BC0717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Suggested improvements:</w:t>
      </w:r>
    </w:p>
    <w:p w14:paraId="7C11E59E">
      <w:pPr>
        <w:keepNext w:val="0"/>
        <w:keepLines w:val="0"/>
        <w:pageBreakBefore w:val="0"/>
        <w:widowControl/>
        <w:numPr>
          <w:ilvl w:val="0"/>
          <w:numId w:val="7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Adopt grid cell analysis methods instead of country borders, randomly dividing the world into equal-area grid cells and studying state history and economic development in each cell (as in Michalopoulos 2012; Depetris-Chauvin 2014). The authors acknowledge this would require a much larger coding effort (p. 35)</w:t>
      </w:r>
    </w:p>
    <w:p w14:paraId="52B50F2F">
      <w:pPr>
        <w:keepNext w:val="0"/>
        <w:keepLines w:val="0"/>
        <w:pageBreakBefore w:val="0"/>
        <w:widowControl/>
        <w:numPr>
          <w:ilvl w:val="0"/>
          <w:numId w:val="7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Use historical border data for panel analysis, tracking the development trajectory of specific political entities rather than fixed territories</w:t>
      </w:r>
    </w:p>
    <w:p w14:paraId="32758C2A">
      <w:pPr>
        <w:keepNext w:val="0"/>
        <w:keepLines w:val="0"/>
        <w:pageBreakBefore w:val="0"/>
        <w:widowControl/>
        <w:numPr>
          <w:ilvl w:val="0"/>
          <w:numId w:val="7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Develop instrumental variable strategies to address border endogeneity</w:t>
      </w:r>
    </w:p>
    <w:p w14:paraId="4D92C9B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Limitation Two: Challenges to Causal Identification</w:t>
      </w:r>
    </w:p>
    <w:p w14:paraId="6D4F077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This paper primarily demonstrates correlational rather than causal relationships. State history may be reversely influenced by economic development—productivity and technological sophistication sometimes drive conquest, changing borders and thereby influencing state history (pp. 34-35).</w:t>
      </w:r>
    </w:p>
    <w:p w14:paraId="600F8A3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Critical perspective:</w:t>
      </w:r>
      <w:r>
        <w:rPr>
          <w:rFonts w:hint="default" w:ascii="Times New Roman Regular" w:hAnsi="Times New Roman Regular" w:cs="Times New Roman Regular"/>
        </w:rPr>
        <w:t xml:space="preserve"> Omitted variable bias may still exist. For example, geographic environment may simultaneously affect the timing of state formation and economic development potential, and the control variables included by the authors may not be sufficient to completely eliminate this confounding.</w:t>
      </w:r>
    </w:p>
    <w:p w14:paraId="5C963EE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Suggested improvements:</w:t>
      </w:r>
    </w:p>
    <w:p w14:paraId="010B0C1C">
      <w:pPr>
        <w:keepNext w:val="0"/>
        <w:keepLines w:val="0"/>
        <w:pageBreakBefore w:val="0"/>
        <w:widowControl/>
        <w:numPr>
          <w:ilvl w:val="0"/>
          <w:numId w:val="7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Seek instrumental variables that affect the timing of state formation but do not directly affect contemporary economic development (such as early agricultural diffusion paths, river locations, etc.)</w:t>
      </w:r>
    </w:p>
    <w:p w14:paraId="0E594201">
      <w:pPr>
        <w:keepNext w:val="0"/>
        <w:keepLines w:val="0"/>
        <w:pageBreakBefore w:val="0"/>
        <w:widowControl/>
        <w:numPr>
          <w:ilvl w:val="0"/>
          <w:numId w:val="7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Use quasi-natural experiments in state formation (such as arbitrary demarcation of colonial borders) for regression discontinuity designs</w:t>
      </w:r>
    </w:p>
    <w:p w14:paraId="5175ECE9">
      <w:pPr>
        <w:keepNext w:val="0"/>
        <w:keepLines w:val="0"/>
        <w:pageBreakBefore w:val="0"/>
        <w:widowControl/>
        <w:numPr>
          <w:ilvl w:val="0"/>
          <w:numId w:val="7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Develop structural equation models to explicitly distinguish causal pathways</w:t>
      </w:r>
    </w:p>
    <w:p w14:paraId="544BA35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Limitation Three: Measurement Error in Ancient Data</w:t>
      </w:r>
    </w:p>
    <w:p w14:paraId="1EC1A82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coding of state history for the BCE period inevitably contains measurement error because archaeological evidence is often incomplete and subject to disputed interpretation. The </w:t>
      </w:r>
      <w:r>
        <w:rPr>
          <w:rFonts w:hint="default" w:ascii="Times New Roman Regular" w:hAnsi="Times New Roman Regular" w:cs="Times New Roman Regular"/>
          <w:lang w:val="en-US"/>
        </w:rPr>
        <w:t>“diagnostic traits approach”</w:t>
      </w:r>
      <w:r>
        <w:rPr>
          <w:rFonts w:hint="default" w:ascii="Times New Roman Regular" w:hAnsi="Times New Roman Regular" w:cs="Times New Roman Regular"/>
        </w:rPr>
        <w:t xml:space="preserve"> adopted by the authors carries the risk of misclassifying emerging civilizations as states (p. 14, footnote 21).</w:t>
      </w:r>
    </w:p>
    <w:p w14:paraId="20B1628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Critical perspective:</w:t>
      </w:r>
      <w:r>
        <w:rPr>
          <w:rFonts w:hint="default" w:ascii="Times New Roman Regular" w:hAnsi="Times New Roman Regular" w:cs="Times New Roman Regular"/>
        </w:rPr>
        <w:t xml:space="preserve"> If measurement error is correlated with outcome variables (for example, regions with more complete data records may also be more economically developed), this may lead to biased estimates.</w:t>
      </w:r>
    </w:p>
    <w:p w14:paraId="235E33C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Suggested improvements:</w:t>
      </w:r>
    </w:p>
    <w:p w14:paraId="391C4C94">
      <w:pPr>
        <w:keepNext w:val="0"/>
        <w:keepLines w:val="0"/>
        <w:pageBreakBefore w:val="0"/>
        <w:widowControl/>
        <w:numPr>
          <w:ilvl w:val="0"/>
          <w:numId w:val="7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Conduct sensitivity analyses using multiple coding schemes</w:t>
      </w:r>
    </w:p>
    <w:p w14:paraId="4ACA040C">
      <w:pPr>
        <w:keepNext w:val="0"/>
        <w:keepLines w:val="0"/>
        <w:pageBreakBefore w:val="0"/>
        <w:widowControl/>
        <w:numPr>
          <w:ilvl w:val="0"/>
          <w:numId w:val="7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Use multiple independent data sources for cross-validation</w:t>
      </w:r>
    </w:p>
    <w:p w14:paraId="36FDF3A6">
      <w:pPr>
        <w:keepNext w:val="0"/>
        <w:keepLines w:val="0"/>
        <w:pageBreakBefore w:val="0"/>
        <w:widowControl/>
        <w:numPr>
          <w:ilvl w:val="0"/>
          <w:numId w:val="7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Develop probabilistic coding methods that incorporate measurement uncertainty into statistical inference</w:t>
      </w:r>
    </w:p>
    <w:p w14:paraId="4CD12DE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Limitation Four: Insufficient Mechanism Testing</w:t>
      </w:r>
    </w:p>
    <w:p w14:paraId="58BEF9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Although the authors propose clear theoretical mechanisms (fiscal capacity building, overcentralization, latecomer learning), the empirical analysis mainly stays at the reduced form level and lacks direct testing of specific mechanisms (p. 36).</w:t>
      </w:r>
    </w:p>
    <w:p w14:paraId="75B9E6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Critical perspective:</w:t>
      </w:r>
      <w:r>
        <w:rPr>
          <w:rFonts w:hint="default" w:ascii="Times New Roman Regular" w:hAnsi="Times New Roman Regular" w:cs="Times New Roman Regular"/>
        </w:rPr>
        <w:t xml:space="preserve"> The hump-shaped relationship may be generated by multiple mechanisms, and existing evidence makes it difficult to distinguish between different explanations. For example, the relative backwardness of ancient states may stem from institutional rigidity, resource curse, geographic disadvantage, or other factors.</w:t>
      </w:r>
    </w:p>
    <w:p w14:paraId="1C6452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Suggested improvements:</w:t>
      </w:r>
    </w:p>
    <w:p w14:paraId="711C6890">
      <w:pPr>
        <w:keepNext w:val="0"/>
        <w:keepLines w:val="0"/>
        <w:pageBreakBefore w:val="0"/>
        <w:widowControl/>
        <w:numPr>
          <w:ilvl w:val="0"/>
          <w:numId w:val="7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Collect historical institutional quality data (such as administrative constraints, tax capacity, rule of law) as mediating variables</w:t>
      </w:r>
    </w:p>
    <w:p w14:paraId="55C6B6BA">
      <w:pPr>
        <w:keepNext w:val="0"/>
        <w:keepLines w:val="0"/>
        <w:pageBreakBefore w:val="0"/>
        <w:widowControl/>
        <w:numPr>
          <w:ilvl w:val="0"/>
          <w:numId w:val="7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Analyze the independent effects of each component of state history (age, autonomy, territorial coverage)</w:t>
      </w:r>
    </w:p>
    <w:p w14:paraId="51A6FD34">
      <w:pPr>
        <w:keepNext w:val="0"/>
        <w:keepLines w:val="0"/>
        <w:pageBreakBefore w:val="0"/>
        <w:widowControl/>
        <w:numPr>
          <w:ilvl w:val="0"/>
          <w:numId w:val="7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Conduct comparative case studies for in-depth mechanism analysis</w:t>
      </w:r>
    </w:p>
    <w:p w14:paraId="0F8CF5E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Limitation Five: Arbitrary Choice of Depreciation Rate</w:t>
      </w:r>
    </w:p>
    <w:p w14:paraId="094BB8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use a 1% depreciation rate to assign different weights to state history across different periods, but this choice lacks theoretical foundation (pp. 15-16).</w:t>
      </w:r>
    </w:p>
    <w:p w14:paraId="46E9A08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Critical perspective:</w:t>
      </w:r>
      <w:r>
        <w:rPr>
          <w:rFonts w:hint="default" w:ascii="Times New Roman Regular" w:hAnsi="Times New Roman Regular" w:cs="Times New Roman Regular"/>
        </w:rPr>
        <w:t xml:space="preserve"> Different depreciation rates will significantly change the relative scores of ancient and young states, potentially affecting empirical results.</w:t>
      </w:r>
    </w:p>
    <w:p w14:paraId="1799613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Suggested improvements:</w:t>
      </w:r>
    </w:p>
    <w:p w14:paraId="165CEB7E">
      <w:pPr>
        <w:keepNext w:val="0"/>
        <w:keepLines w:val="0"/>
        <w:pageBreakBefore w:val="0"/>
        <w:widowControl/>
        <w:numPr>
          <w:ilvl w:val="0"/>
          <w:numId w:val="7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Develop theory-based depreciation rate calibration methods</w:t>
      </w:r>
    </w:p>
    <w:p w14:paraId="03908067">
      <w:pPr>
        <w:keepNext w:val="0"/>
        <w:keepLines w:val="0"/>
        <w:pageBreakBefore w:val="0"/>
        <w:widowControl/>
        <w:numPr>
          <w:ilvl w:val="0"/>
          <w:numId w:val="7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Use more flexible weighting functions (such as nonparametric methods) to estimate optimal time weights</w:t>
      </w:r>
    </w:p>
    <w:p w14:paraId="1289A2B9">
      <w:pPr>
        <w:keepNext w:val="0"/>
        <w:keepLines w:val="0"/>
        <w:pageBreakBefore w:val="0"/>
        <w:widowControl/>
        <w:numPr>
          <w:ilvl w:val="0"/>
          <w:numId w:val="7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Systematically compare results under different depreciation rate assumptions (the authors have partially done this but could be more systematic)</w:t>
      </w:r>
    </w:p>
    <w:p w14:paraId="71705D6F">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7C4888F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研究拓展 / Extensions: What would professional scholars and researchers propose as a potential extension of the study or a new research question inspired by the paper?</w:t>
      </w:r>
    </w:p>
    <w:p w14:paraId="29F1750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拓展方向一：次国家层面的分析</w:t>
      </w:r>
    </w:p>
    <w:p w14:paraId="692736D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本文的分析单位是当代国家，但一国内部不同地区可能经历了不同的国家历史。</w:t>
      </w:r>
    </w:p>
    <w:p w14:paraId="67A6D20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潜在研究问题：</w:t>
      </w:r>
    </w:p>
    <w:p w14:paraId="7A7D790D">
      <w:pPr>
        <w:keepNext w:val="0"/>
        <w:keepLines w:val="0"/>
        <w:pageBreakBefore w:val="0"/>
        <w:widowControl/>
        <w:numPr>
          <w:ilvl w:val="0"/>
          <w:numId w:val="7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一国内部的国家历史空间差异如何影响地区经济发展差异？</w:t>
      </w:r>
    </w:p>
    <w:p w14:paraId="6BF6394C">
      <w:pPr>
        <w:keepNext w:val="0"/>
        <w:keepLines w:val="0"/>
        <w:pageBreakBefore w:val="0"/>
        <w:widowControl/>
        <w:numPr>
          <w:ilvl w:val="0"/>
          <w:numId w:val="7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历史上长期处于国家核心区域的地方与边缘地区在当代发展上是否存在系统性差异？</w:t>
      </w:r>
    </w:p>
    <w:p w14:paraId="33D20F2C">
      <w:pPr>
        <w:keepNext w:val="0"/>
        <w:keepLines w:val="0"/>
        <w:pageBreakBefore w:val="0"/>
        <w:widowControl/>
        <w:numPr>
          <w:ilvl w:val="0"/>
          <w:numId w:val="7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以中国为例：长期处于中央王朝统治核心的中原地区与边疆地区在当代发展上的差异是否可以追溯到历史国家经验的差异？</w:t>
      </w:r>
    </w:p>
    <w:p w14:paraId="20AA517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研究设计建议：</w:t>
      </w:r>
    </w:p>
    <w:p w14:paraId="7BE6EB66">
      <w:pPr>
        <w:keepNext w:val="0"/>
        <w:keepLines w:val="0"/>
        <w:pageBreakBefore w:val="0"/>
        <w:widowControl/>
        <w:numPr>
          <w:ilvl w:val="0"/>
          <w:numId w:val="8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使用网格单元或历史省份作为分析单位</w:t>
      </w:r>
    </w:p>
    <w:p w14:paraId="798C364B">
      <w:pPr>
        <w:keepNext w:val="0"/>
        <w:keepLines w:val="0"/>
        <w:pageBreakBefore w:val="0"/>
        <w:widowControl/>
        <w:numPr>
          <w:ilvl w:val="0"/>
          <w:numId w:val="8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构建次国家层面的国家历史指数</w:t>
      </w:r>
    </w:p>
    <w:p w14:paraId="757567B7">
      <w:pPr>
        <w:keepNext w:val="0"/>
        <w:keepLines w:val="0"/>
        <w:pageBreakBefore w:val="0"/>
        <w:widowControl/>
        <w:numPr>
          <w:ilvl w:val="0"/>
          <w:numId w:val="8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利用国内人口迁移数据进行祖先调整</w:t>
      </w:r>
    </w:p>
    <w:p w14:paraId="0836D9B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拓展方向二：制度中介机制的实证检验</w:t>
      </w:r>
    </w:p>
    <w:p w14:paraId="1E93C0F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本文理论框架强调制度质量（特别是行政约束和财政能力）作为关键中介变量，但缺乏直接的实证检验。</w:t>
      </w:r>
    </w:p>
    <w:p w14:paraId="371A131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潜在研究问题：</w:t>
      </w:r>
    </w:p>
    <w:p w14:paraId="65DF0A44">
      <w:pPr>
        <w:keepNext w:val="0"/>
        <w:keepLines w:val="0"/>
        <w:pageBreakBefore w:val="0"/>
        <w:widowControl/>
        <w:numPr>
          <w:ilvl w:val="0"/>
          <w:numId w:val="8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国家历史通过何种具体制度渠道影响经济发展？</w:t>
      </w:r>
    </w:p>
    <w:p w14:paraId="0DFE887A">
      <w:pPr>
        <w:keepNext w:val="0"/>
        <w:keepLines w:val="0"/>
        <w:pageBreakBefore w:val="0"/>
        <w:widowControl/>
        <w:numPr>
          <w:ilvl w:val="0"/>
          <w:numId w:val="8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是否可以区分</w:t>
      </w:r>
      <w:r>
        <w:rPr>
          <w:rFonts w:hint="default" w:ascii="Times New Roman Regular" w:hAnsi="Times New Roman Regular" w:cs="Times New Roman Regular"/>
          <w:lang w:val="en-US"/>
        </w:rPr>
        <w:t>“能力通道”</w:t>
      </w:r>
      <w:r>
        <w:rPr>
          <w:rFonts w:hint="default" w:ascii="Times New Roman Regular" w:hAnsi="Times New Roman Regular" w:cs="Times New Roman Regular"/>
        </w:rPr>
        <w:t>（国家建设提升治理能力）和</w:t>
      </w:r>
      <w:r>
        <w:rPr>
          <w:rFonts w:hint="default" w:ascii="Times New Roman Regular" w:hAnsi="Times New Roman Regular" w:cs="Times New Roman Regular"/>
          <w:lang w:val="en-US"/>
        </w:rPr>
        <w:t>“约束通道”</w:t>
      </w:r>
      <w:r>
        <w:rPr>
          <w:rFonts w:hint="default" w:ascii="Times New Roman Regular" w:hAnsi="Times New Roman Regular" w:cs="Times New Roman Regular"/>
        </w:rPr>
        <w:t>（制度约束防止权力滥用）的相对重要性？</w:t>
      </w:r>
    </w:p>
    <w:p w14:paraId="678760F7">
      <w:pPr>
        <w:keepNext w:val="0"/>
        <w:keepLines w:val="0"/>
        <w:pageBreakBefore w:val="0"/>
        <w:widowControl/>
        <w:numPr>
          <w:ilvl w:val="0"/>
          <w:numId w:val="8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古老国家的制度僵化是否可以通过可测量的制度指标来捕捉？</w:t>
      </w:r>
    </w:p>
    <w:p w14:paraId="4474A9A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研究设计建议：</w:t>
      </w:r>
    </w:p>
    <w:p w14:paraId="42199C9B">
      <w:pPr>
        <w:keepNext w:val="0"/>
        <w:keepLines w:val="0"/>
        <w:pageBreakBefore w:val="0"/>
        <w:widowControl/>
        <w:numPr>
          <w:ilvl w:val="0"/>
          <w:numId w:val="8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收集历史制度数据（如Polity数据的历史延伸、行政改革记录、税收数据）</w:t>
      </w:r>
    </w:p>
    <w:p w14:paraId="092786BF">
      <w:pPr>
        <w:keepNext w:val="0"/>
        <w:keepLines w:val="0"/>
        <w:pageBreakBefore w:val="0"/>
        <w:widowControl/>
        <w:numPr>
          <w:ilvl w:val="0"/>
          <w:numId w:val="8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使用结构方程模型或因果中介分析分解直接和间接效应</w:t>
      </w:r>
    </w:p>
    <w:p w14:paraId="209AC461">
      <w:pPr>
        <w:keepNext w:val="0"/>
        <w:keepLines w:val="0"/>
        <w:pageBreakBefore w:val="0"/>
        <w:widowControl/>
        <w:numPr>
          <w:ilvl w:val="0"/>
          <w:numId w:val="8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与Besley和Persson（2009）的国家能力数据进行整合分析</w:t>
      </w:r>
    </w:p>
    <w:p w14:paraId="7FB33C0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拓展方向三：国家形成的比较政治经济学</w:t>
      </w:r>
    </w:p>
    <w:p w14:paraId="6C0C540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本文将国家历史作为给定的外生因素，但国家形成本身是一个值得深入研究的内生过程。</w:t>
      </w:r>
    </w:p>
    <w:p w14:paraId="0A6E89E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潜在研究问题：</w:t>
      </w:r>
    </w:p>
    <w:p w14:paraId="17F00D7D">
      <w:pPr>
        <w:keepNext w:val="0"/>
        <w:keepLines w:val="0"/>
        <w:pageBreakBefore w:val="0"/>
        <w:widowControl/>
        <w:numPr>
          <w:ilvl w:val="0"/>
          <w:numId w:val="8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什么因素决定了不同地区国家形成的时机？</w:t>
      </w:r>
    </w:p>
    <w:p w14:paraId="7AD2689E">
      <w:pPr>
        <w:keepNext w:val="0"/>
        <w:keepLines w:val="0"/>
        <w:pageBreakBefore w:val="0"/>
        <w:widowControl/>
        <w:numPr>
          <w:ilvl w:val="0"/>
          <w:numId w:val="8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国家形成的不同路径（如内生发展vs.外部强加、战争驱动vs.贸易驱动）是否导致不同的长期发展轨迹？</w:t>
      </w:r>
    </w:p>
    <w:p w14:paraId="2D3262CD">
      <w:pPr>
        <w:keepNext w:val="0"/>
        <w:keepLines w:val="0"/>
        <w:pageBreakBefore w:val="0"/>
        <w:widowControl/>
        <w:numPr>
          <w:ilvl w:val="0"/>
          <w:numId w:val="8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为何一些地区能够发展出限制君主权力的制度（如英国的《大宪章》），而另一些地区则陷入长期专制？</w:t>
      </w:r>
    </w:p>
    <w:p w14:paraId="6DC4434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研究设计建议：</w:t>
      </w:r>
    </w:p>
    <w:p w14:paraId="2345A4CC">
      <w:pPr>
        <w:keepNext w:val="0"/>
        <w:keepLines w:val="0"/>
        <w:pageBreakBefore w:val="0"/>
        <w:widowControl/>
        <w:numPr>
          <w:ilvl w:val="0"/>
          <w:numId w:val="8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区分国家形成的不同路径并分别编码</w:t>
      </w:r>
    </w:p>
    <w:p w14:paraId="62EC55EC">
      <w:pPr>
        <w:keepNext w:val="0"/>
        <w:keepLines w:val="0"/>
        <w:pageBreakBefore w:val="0"/>
        <w:widowControl/>
        <w:numPr>
          <w:ilvl w:val="0"/>
          <w:numId w:val="8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研究国家形成路径与当代制度和发展结果的关联</w:t>
      </w:r>
    </w:p>
    <w:p w14:paraId="3873F0B1">
      <w:pPr>
        <w:keepNext w:val="0"/>
        <w:keepLines w:val="0"/>
        <w:pageBreakBefore w:val="0"/>
        <w:widowControl/>
        <w:numPr>
          <w:ilvl w:val="0"/>
          <w:numId w:val="8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利用Tilly（1990）关于欧洲国家形成的理论框架拓展至全球比较</w:t>
      </w:r>
    </w:p>
    <w:p w14:paraId="33DF577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拓展方向四：动态面板分析</w:t>
      </w:r>
    </w:p>
    <w:p w14:paraId="21D2AD9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本文主要进行跨截面分析，但国家历史数据的面板结构可以支持更丰富的动态分析。</w:t>
      </w:r>
    </w:p>
    <w:p w14:paraId="395918C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潜在研究问题：</w:t>
      </w:r>
    </w:p>
    <w:p w14:paraId="512D8216">
      <w:pPr>
        <w:keepNext w:val="0"/>
        <w:keepLines w:val="0"/>
        <w:pageBreakBefore w:val="0"/>
        <w:widowControl/>
        <w:numPr>
          <w:ilvl w:val="0"/>
          <w:numId w:val="8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国家历史的积累如何随时间影响发展轨迹的演变？</w:t>
      </w:r>
    </w:p>
    <w:p w14:paraId="001AD9F6">
      <w:pPr>
        <w:keepNext w:val="0"/>
        <w:keepLines w:val="0"/>
        <w:pageBreakBefore w:val="0"/>
        <w:widowControl/>
        <w:numPr>
          <w:ilvl w:val="0"/>
          <w:numId w:val="8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驼峰形关系是何时开始出现的？其历史演变过程是怎样的？</w:t>
      </w:r>
    </w:p>
    <w:p w14:paraId="7F2DF159">
      <w:pPr>
        <w:keepNext w:val="0"/>
        <w:keepLines w:val="0"/>
        <w:pageBreakBefore w:val="0"/>
        <w:widowControl/>
        <w:numPr>
          <w:ilvl w:val="0"/>
          <w:numId w:val="8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历史上的国家崩溃事件（如罗马帝国灭亡）对后续发展轨迹有何影响？</w:t>
      </w:r>
    </w:p>
    <w:p w14:paraId="56873C9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研究设计建议：</w:t>
      </w:r>
    </w:p>
    <w:p w14:paraId="440A4B37">
      <w:pPr>
        <w:keepNext w:val="0"/>
        <w:keepLines w:val="0"/>
        <w:pageBreakBefore w:val="0"/>
        <w:widowControl/>
        <w:numPr>
          <w:ilvl w:val="0"/>
          <w:numId w:val="8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利用面板数据进行动态面板估计</w:t>
      </w:r>
    </w:p>
    <w:p w14:paraId="00EC8F22">
      <w:pPr>
        <w:keepNext w:val="0"/>
        <w:keepLines w:val="0"/>
        <w:pageBreakBefore w:val="0"/>
        <w:widowControl/>
        <w:numPr>
          <w:ilvl w:val="0"/>
          <w:numId w:val="8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研究不同历史时期（如1 CE、500 CE、1000 CE、1500 CE、2000 CE）的关系形态演变</w:t>
      </w:r>
    </w:p>
    <w:p w14:paraId="53EAA5CF">
      <w:pPr>
        <w:keepNext w:val="0"/>
        <w:keepLines w:val="0"/>
        <w:pageBreakBefore w:val="0"/>
        <w:widowControl/>
        <w:numPr>
          <w:ilvl w:val="0"/>
          <w:numId w:val="8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进行事件研究分析国家崩溃的长期效应</w:t>
      </w:r>
    </w:p>
    <w:p w14:paraId="04F2A52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拓展方向五：政治结果的分析</w:t>
      </w:r>
    </w:p>
    <w:p w14:paraId="01391AE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本文聚焦于经济发展结果，但国家历史可能对政治发展产生同样重要的影响。</w:t>
      </w:r>
    </w:p>
    <w:p w14:paraId="3E17E3D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潜在研究问题：</w:t>
      </w:r>
    </w:p>
    <w:p w14:paraId="125F5604">
      <w:pPr>
        <w:keepNext w:val="0"/>
        <w:keepLines w:val="0"/>
        <w:pageBreakBefore w:val="0"/>
        <w:widowControl/>
        <w:numPr>
          <w:ilvl w:val="0"/>
          <w:numId w:val="8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国家历史与当代民主化程度之间是否也存在驼峰形关系？</w:t>
      </w:r>
    </w:p>
    <w:p w14:paraId="14091A54">
      <w:pPr>
        <w:keepNext w:val="0"/>
        <w:keepLines w:val="0"/>
        <w:pageBreakBefore w:val="0"/>
        <w:widowControl/>
        <w:numPr>
          <w:ilvl w:val="0"/>
          <w:numId w:val="8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国家历史如何影响当代国家能力的不同维度（如强制能力vs.行政能力vs.汲取能力）？</w:t>
      </w:r>
    </w:p>
    <w:p w14:paraId="0085292F">
      <w:pPr>
        <w:keepNext w:val="0"/>
        <w:keepLines w:val="0"/>
        <w:pageBreakBefore w:val="0"/>
        <w:widowControl/>
        <w:numPr>
          <w:ilvl w:val="0"/>
          <w:numId w:val="8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国家历史与当代政治稳定性、冲突风险、腐败程度之间的关系如何？</w:t>
      </w:r>
    </w:p>
    <w:p w14:paraId="1BCD95F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研究设计建议：</w:t>
      </w:r>
    </w:p>
    <w:p w14:paraId="4008592A">
      <w:pPr>
        <w:keepNext w:val="0"/>
        <w:keepLines w:val="0"/>
        <w:pageBreakBefore w:val="0"/>
        <w:widowControl/>
        <w:numPr>
          <w:ilvl w:val="0"/>
          <w:numId w:val="8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以Polity评分、自由之家评分、国家能力指数等作为因变量</w:t>
      </w:r>
    </w:p>
    <w:p w14:paraId="60377D28">
      <w:pPr>
        <w:keepNext w:val="0"/>
        <w:keepLines w:val="0"/>
        <w:pageBreakBefore w:val="0"/>
        <w:widowControl/>
        <w:numPr>
          <w:ilvl w:val="0"/>
          <w:numId w:val="8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区分不同类型的政治发展结果</w:t>
      </w:r>
    </w:p>
    <w:p w14:paraId="73C73D38">
      <w:pPr>
        <w:keepNext w:val="0"/>
        <w:keepLines w:val="0"/>
        <w:pageBreakBefore w:val="0"/>
        <w:widowControl/>
        <w:numPr>
          <w:ilvl w:val="0"/>
          <w:numId w:val="8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与Hariri（2012）关于早期国家专制遗产的研究进行对话</w:t>
      </w:r>
    </w:p>
    <w:p w14:paraId="55EAD63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拓展方向六：文化传承机制</w:t>
      </w:r>
    </w:p>
    <w:p w14:paraId="3829527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本文使用迁移矩阵进行祖先调整，但未深入探讨文化传承的具体机制。</w:t>
      </w:r>
    </w:p>
    <w:p w14:paraId="5C75848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潜在研究问题：</w:t>
      </w:r>
    </w:p>
    <w:p w14:paraId="25356B68">
      <w:pPr>
        <w:keepNext w:val="0"/>
        <w:keepLines w:val="0"/>
        <w:pageBreakBefore w:val="0"/>
        <w:widowControl/>
        <w:numPr>
          <w:ilvl w:val="0"/>
          <w:numId w:val="8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移民如何将原籍国的国家经验转化为可传承的文化特质或制度偏好？</w:t>
      </w:r>
    </w:p>
    <w:p w14:paraId="19DCA2AA">
      <w:pPr>
        <w:keepNext w:val="0"/>
        <w:keepLines w:val="0"/>
        <w:pageBreakBefore w:val="0"/>
        <w:widowControl/>
        <w:numPr>
          <w:ilvl w:val="0"/>
          <w:numId w:val="8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不同代际之间国家经验的传承是否存在衰减？</w:t>
      </w:r>
    </w:p>
    <w:p w14:paraId="543FC031">
      <w:pPr>
        <w:keepNext w:val="0"/>
        <w:keepLines w:val="0"/>
        <w:pageBreakBefore w:val="0"/>
        <w:widowControl/>
        <w:numPr>
          <w:ilvl w:val="0"/>
          <w:numId w:val="8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文化同化与原籍文化保持之间的张力如何影响国家历史的传承效应？</w:t>
      </w:r>
    </w:p>
    <w:p w14:paraId="002778C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研究设计建议：</w:t>
      </w:r>
    </w:p>
    <w:p w14:paraId="35ECDDFA">
      <w:pPr>
        <w:keepNext w:val="0"/>
        <w:keepLines w:val="0"/>
        <w:pageBreakBefore w:val="0"/>
        <w:widowControl/>
        <w:numPr>
          <w:ilvl w:val="0"/>
          <w:numId w:val="9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利用移民后代的调查数据研究代际传承</w:t>
      </w:r>
    </w:p>
    <w:p w14:paraId="3BFB2693">
      <w:pPr>
        <w:keepNext w:val="0"/>
        <w:keepLines w:val="0"/>
        <w:pageBreakBefore w:val="0"/>
        <w:widowControl/>
        <w:numPr>
          <w:ilvl w:val="0"/>
          <w:numId w:val="9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区分不同移民群体并比较其发展结果</w:t>
      </w:r>
    </w:p>
    <w:p w14:paraId="0DFB0971">
      <w:pPr>
        <w:keepNext w:val="0"/>
        <w:keepLines w:val="0"/>
        <w:pageBreakBefore w:val="0"/>
        <w:widowControl/>
        <w:numPr>
          <w:ilvl w:val="0"/>
          <w:numId w:val="9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与文化经济学和经济历史学的相关研究（如Nunn 2012; Alesina和Giuliano 2015）进行整合</w:t>
      </w:r>
    </w:p>
    <w:p w14:paraId="4CD627EA">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1B7777F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Extension Direction One: Subnational Level Analysis</w:t>
      </w:r>
    </w:p>
    <w:p w14:paraId="31B0E19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unit of analysis in this paper is the contemporary country, but different regions within a country may have experienced different state histories.</w:t>
      </w:r>
    </w:p>
    <w:p w14:paraId="0200B96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Potential research questions:</w:t>
      </w:r>
    </w:p>
    <w:p w14:paraId="66DDA9FC">
      <w:pPr>
        <w:keepNext w:val="0"/>
        <w:keepLines w:val="0"/>
        <w:pageBreakBefore w:val="0"/>
        <w:widowControl/>
        <w:numPr>
          <w:ilvl w:val="0"/>
          <w:numId w:val="9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How do spatial differences in state history within a country affect regional economic development disparities?</w:t>
      </w:r>
    </w:p>
    <w:p w14:paraId="1C21C9EF">
      <w:pPr>
        <w:keepNext w:val="0"/>
        <w:keepLines w:val="0"/>
        <w:pageBreakBefore w:val="0"/>
        <w:widowControl/>
        <w:numPr>
          <w:ilvl w:val="0"/>
          <w:numId w:val="9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Are there systematic differences in contemporary development between places that were historically in the core of state rule versus peripheral regions?</w:t>
      </w:r>
    </w:p>
    <w:p w14:paraId="059E68A2">
      <w:pPr>
        <w:keepNext w:val="0"/>
        <w:keepLines w:val="0"/>
        <w:pageBreakBefore w:val="0"/>
        <w:widowControl/>
        <w:numPr>
          <w:ilvl w:val="0"/>
          <w:numId w:val="9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Using China as an example: Can the differences in contemporary development between the Central Plains (long under the core rule of central dynasties) and frontier regions be traced to differences in historical state experience?</w:t>
      </w:r>
    </w:p>
    <w:p w14:paraId="1DD37F3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Suggested research design:</w:t>
      </w:r>
    </w:p>
    <w:p w14:paraId="209FC726">
      <w:pPr>
        <w:keepNext w:val="0"/>
        <w:keepLines w:val="0"/>
        <w:pageBreakBefore w:val="0"/>
        <w:widowControl/>
        <w:numPr>
          <w:ilvl w:val="0"/>
          <w:numId w:val="9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Use grid cells or historical provinces as units of analysis</w:t>
      </w:r>
    </w:p>
    <w:p w14:paraId="2CAE3285">
      <w:pPr>
        <w:keepNext w:val="0"/>
        <w:keepLines w:val="0"/>
        <w:pageBreakBefore w:val="0"/>
        <w:widowControl/>
        <w:numPr>
          <w:ilvl w:val="0"/>
          <w:numId w:val="9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Construct subnational-level state history indices</w:t>
      </w:r>
    </w:p>
    <w:p w14:paraId="3DDB5868">
      <w:pPr>
        <w:keepNext w:val="0"/>
        <w:keepLines w:val="0"/>
        <w:pageBreakBefore w:val="0"/>
        <w:widowControl/>
        <w:numPr>
          <w:ilvl w:val="0"/>
          <w:numId w:val="9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Use domestic migration data for ancestry adjustment</w:t>
      </w:r>
    </w:p>
    <w:p w14:paraId="1763DA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Extension Direction Two: Empirical Testing of Institutional Mediation Mechanisms</w:t>
      </w:r>
    </w:p>
    <w:p w14:paraId="531CBC3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theoretical framework of this paper emphasizes institutional quality (particularly administrative constraints and fiscal capacity) as key mediating variables, but lacks direct empirical testing.</w:t>
      </w:r>
    </w:p>
    <w:p w14:paraId="515C54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Potential research questions:</w:t>
      </w:r>
    </w:p>
    <w:p w14:paraId="33020CFF">
      <w:pPr>
        <w:keepNext w:val="0"/>
        <w:keepLines w:val="0"/>
        <w:pageBreakBefore w:val="0"/>
        <w:widowControl/>
        <w:numPr>
          <w:ilvl w:val="0"/>
          <w:numId w:val="9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Through what specific institutional channels does state history affect economic development?</w:t>
      </w:r>
    </w:p>
    <w:p w14:paraId="3D54431A">
      <w:pPr>
        <w:keepNext w:val="0"/>
        <w:keepLines w:val="0"/>
        <w:pageBreakBefore w:val="0"/>
        <w:widowControl/>
        <w:numPr>
          <w:ilvl w:val="0"/>
          <w:numId w:val="9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Can we distinguish the relative importance of the </w:t>
      </w:r>
      <w:r>
        <w:rPr>
          <w:rFonts w:hint="default" w:ascii="Times New Roman Regular" w:hAnsi="Times New Roman Regular" w:cs="Times New Roman Regular"/>
          <w:lang w:val="en-US"/>
        </w:rPr>
        <w:t>“capacity channel”</w:t>
      </w:r>
      <w:r>
        <w:rPr>
          <w:rFonts w:hint="default" w:ascii="Times New Roman Regular" w:hAnsi="Times New Roman Regular" w:cs="Times New Roman Regular"/>
        </w:rPr>
        <w:t xml:space="preserve"> (state building improving governance capacity) and the </w:t>
      </w:r>
      <w:r>
        <w:rPr>
          <w:rFonts w:hint="default" w:ascii="Times New Roman Regular" w:hAnsi="Times New Roman Regular" w:cs="Times New Roman Regular"/>
          <w:lang w:val="en-US"/>
        </w:rPr>
        <w:t>“constraint channel”</w:t>
      </w:r>
      <w:r>
        <w:rPr>
          <w:rFonts w:hint="default" w:ascii="Times New Roman Regular" w:hAnsi="Times New Roman Regular" w:cs="Times New Roman Regular"/>
        </w:rPr>
        <w:t xml:space="preserve"> (institutional constraints preventing power abuse)?</w:t>
      </w:r>
    </w:p>
    <w:p w14:paraId="43FA2792">
      <w:pPr>
        <w:keepNext w:val="0"/>
        <w:keepLines w:val="0"/>
        <w:pageBreakBefore w:val="0"/>
        <w:widowControl/>
        <w:numPr>
          <w:ilvl w:val="0"/>
          <w:numId w:val="9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Can institutional rigidity in ancient states be captured through measurable institutional indicators?</w:t>
      </w:r>
    </w:p>
    <w:p w14:paraId="24F87BB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Suggested research design:</w:t>
      </w:r>
    </w:p>
    <w:p w14:paraId="441833F0">
      <w:pPr>
        <w:keepNext w:val="0"/>
        <w:keepLines w:val="0"/>
        <w:pageBreakBefore w:val="0"/>
        <w:widowControl/>
        <w:numPr>
          <w:ilvl w:val="0"/>
          <w:numId w:val="9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Collect historical institutional data (such as historical extensions of Polity data, administrative reform records, tax data)</w:t>
      </w:r>
    </w:p>
    <w:p w14:paraId="5E4C6FAD">
      <w:pPr>
        <w:keepNext w:val="0"/>
        <w:keepLines w:val="0"/>
        <w:pageBreakBefore w:val="0"/>
        <w:widowControl/>
        <w:numPr>
          <w:ilvl w:val="0"/>
          <w:numId w:val="9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Use structural equation models or causal mediation analysis to decompose direct and indirect effects</w:t>
      </w:r>
    </w:p>
    <w:p w14:paraId="2D3E5E16">
      <w:pPr>
        <w:keepNext w:val="0"/>
        <w:keepLines w:val="0"/>
        <w:pageBreakBefore w:val="0"/>
        <w:widowControl/>
        <w:numPr>
          <w:ilvl w:val="0"/>
          <w:numId w:val="9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Integrate with Besley and Persson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(2009) state capacity data for analysis</w:t>
      </w:r>
    </w:p>
    <w:p w14:paraId="197E870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Extension Direction Three: Comparative Political Economy of State Formation</w:t>
      </w:r>
    </w:p>
    <w:p w14:paraId="6E3B9B8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This paper treats state history as a given exogenous factor, but state formation itself is an endogenous process worthy of in-depth study.</w:t>
      </w:r>
    </w:p>
    <w:p w14:paraId="4C30C54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Potential research questions:</w:t>
      </w:r>
    </w:p>
    <w:p w14:paraId="204F253C">
      <w:pPr>
        <w:keepNext w:val="0"/>
        <w:keepLines w:val="0"/>
        <w:pageBreakBefore w:val="0"/>
        <w:widowControl/>
        <w:numPr>
          <w:ilvl w:val="0"/>
          <w:numId w:val="9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What factors determine the timing of state formation in different regions?</w:t>
      </w:r>
    </w:p>
    <w:p w14:paraId="34133676">
      <w:pPr>
        <w:keepNext w:val="0"/>
        <w:keepLines w:val="0"/>
        <w:pageBreakBefore w:val="0"/>
        <w:widowControl/>
        <w:numPr>
          <w:ilvl w:val="0"/>
          <w:numId w:val="9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Do different paths of state formation (such as endogenous development vs. external imposition, war-driven vs. trade-driven) lead to different long-term development trajectories?</w:t>
      </w:r>
    </w:p>
    <w:p w14:paraId="5123F196">
      <w:pPr>
        <w:keepNext w:val="0"/>
        <w:keepLines w:val="0"/>
        <w:pageBreakBefore w:val="0"/>
        <w:widowControl/>
        <w:numPr>
          <w:ilvl w:val="0"/>
          <w:numId w:val="9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Why were some regions able to develop institutions limiting monarchical power (such as England</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Magna Carta) while others fell into prolonged autocracy?</w:t>
      </w:r>
    </w:p>
    <w:p w14:paraId="334ADCA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Suggested research design:</w:t>
      </w:r>
    </w:p>
    <w:p w14:paraId="5641BF0D">
      <w:pPr>
        <w:keepNext w:val="0"/>
        <w:keepLines w:val="0"/>
        <w:pageBreakBefore w:val="0"/>
        <w:widowControl/>
        <w:numPr>
          <w:ilvl w:val="0"/>
          <w:numId w:val="9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Distinguish different paths of state formation and code them separately</w:t>
      </w:r>
    </w:p>
    <w:p w14:paraId="6B2073DE">
      <w:pPr>
        <w:keepNext w:val="0"/>
        <w:keepLines w:val="0"/>
        <w:pageBreakBefore w:val="0"/>
        <w:widowControl/>
        <w:numPr>
          <w:ilvl w:val="0"/>
          <w:numId w:val="9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Study the association between state formation paths and contemporary institutional and developmental outcomes</w:t>
      </w:r>
    </w:p>
    <w:p w14:paraId="4C8601FC">
      <w:pPr>
        <w:keepNext w:val="0"/>
        <w:keepLines w:val="0"/>
        <w:pageBreakBefore w:val="0"/>
        <w:widowControl/>
        <w:numPr>
          <w:ilvl w:val="0"/>
          <w:numId w:val="9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Extend Tilly</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(1990) theoretical framework on European state formation to global comparison</w:t>
      </w:r>
    </w:p>
    <w:p w14:paraId="3ECD3A2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Extension Direction Four: Dynamic Panel Analysis</w:t>
      </w:r>
    </w:p>
    <w:p w14:paraId="6D0E0D9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This paper primarily conducts cross-sectional analysis, but the panel structure of state history data can support richer dynamic analysis.</w:t>
      </w:r>
    </w:p>
    <w:p w14:paraId="2C32665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Potential research questions:</w:t>
      </w:r>
    </w:p>
    <w:p w14:paraId="671F4055">
      <w:pPr>
        <w:keepNext w:val="0"/>
        <w:keepLines w:val="0"/>
        <w:pageBreakBefore w:val="0"/>
        <w:widowControl/>
        <w:numPr>
          <w:ilvl w:val="0"/>
          <w:numId w:val="9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How does the accumulation of state history affect the evolution of development trajectories over time?</w:t>
      </w:r>
    </w:p>
    <w:p w14:paraId="6E074EC0">
      <w:pPr>
        <w:keepNext w:val="0"/>
        <w:keepLines w:val="0"/>
        <w:pageBreakBefore w:val="0"/>
        <w:widowControl/>
        <w:numPr>
          <w:ilvl w:val="0"/>
          <w:numId w:val="9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When did the hump-shaped relationship begin to emerge? What is its historical evolution process?</w:t>
      </w:r>
    </w:p>
    <w:p w14:paraId="48731633">
      <w:pPr>
        <w:keepNext w:val="0"/>
        <w:keepLines w:val="0"/>
        <w:pageBreakBefore w:val="0"/>
        <w:widowControl/>
        <w:numPr>
          <w:ilvl w:val="0"/>
          <w:numId w:val="9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What are the effects of historical state collapse events (such as the fall of the Roman Empire) on subsequent development trajectories?</w:t>
      </w:r>
    </w:p>
    <w:p w14:paraId="0B9DF1B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Suggested research design:</w:t>
      </w:r>
    </w:p>
    <w:p w14:paraId="2584A16D">
      <w:pPr>
        <w:keepNext w:val="0"/>
        <w:keepLines w:val="0"/>
        <w:pageBreakBefore w:val="0"/>
        <w:widowControl/>
        <w:numPr>
          <w:ilvl w:val="0"/>
          <w:numId w:val="9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Use panel data for dynamic panel estimation</w:t>
      </w:r>
    </w:p>
    <w:p w14:paraId="4B60126D">
      <w:pPr>
        <w:keepNext w:val="0"/>
        <w:keepLines w:val="0"/>
        <w:pageBreakBefore w:val="0"/>
        <w:widowControl/>
        <w:numPr>
          <w:ilvl w:val="0"/>
          <w:numId w:val="9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Study the evolution of relationship patterns across different historical periods (such as 1 CE, 500 CE, 1000 CE, 1500 CE, 2000 CE)</w:t>
      </w:r>
    </w:p>
    <w:p w14:paraId="7CA4C2A4">
      <w:pPr>
        <w:keepNext w:val="0"/>
        <w:keepLines w:val="0"/>
        <w:pageBreakBefore w:val="0"/>
        <w:widowControl/>
        <w:numPr>
          <w:ilvl w:val="0"/>
          <w:numId w:val="9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Conduct event studies analyzing the long-term effects of state collapse</w:t>
      </w:r>
    </w:p>
    <w:p w14:paraId="580C4DC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Extension Direction Five: Analysis of Political Outcomes</w:t>
      </w:r>
    </w:p>
    <w:p w14:paraId="7106E98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This paper focuses on economic development outcomes, but state history may have equally important effects on political development.</w:t>
      </w:r>
    </w:p>
    <w:p w14:paraId="74BBA6D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Potential research questions:</w:t>
      </w:r>
    </w:p>
    <w:p w14:paraId="1C44F269">
      <w:pPr>
        <w:keepNext w:val="0"/>
        <w:keepLines w:val="0"/>
        <w:pageBreakBefore w:val="0"/>
        <w:widowControl/>
        <w:numPr>
          <w:ilvl w:val="0"/>
          <w:numId w:val="9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Is there also a hump-shaped relationship between state history and contemporary democratization levels?</w:t>
      </w:r>
    </w:p>
    <w:p w14:paraId="52E3DE35">
      <w:pPr>
        <w:keepNext w:val="0"/>
        <w:keepLines w:val="0"/>
        <w:pageBreakBefore w:val="0"/>
        <w:widowControl/>
        <w:numPr>
          <w:ilvl w:val="0"/>
          <w:numId w:val="9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How does state history affect different dimensions of contemporary state capacity (such as coercive capacity vs. administrative capacity vs. extractive capacity)?</w:t>
      </w:r>
    </w:p>
    <w:p w14:paraId="0EEDC737">
      <w:pPr>
        <w:keepNext w:val="0"/>
        <w:keepLines w:val="0"/>
        <w:pageBreakBefore w:val="0"/>
        <w:widowControl/>
        <w:numPr>
          <w:ilvl w:val="0"/>
          <w:numId w:val="99"/>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What is the relationship between state history and contemporary political stability, conflict risk, and corruption levels?</w:t>
      </w:r>
    </w:p>
    <w:p w14:paraId="2ADF810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Suggested research design:</w:t>
      </w:r>
    </w:p>
    <w:p w14:paraId="168C696D">
      <w:pPr>
        <w:keepNext w:val="0"/>
        <w:keepLines w:val="0"/>
        <w:pageBreakBefore w:val="0"/>
        <w:widowControl/>
        <w:numPr>
          <w:ilvl w:val="0"/>
          <w:numId w:val="10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Use Polity scores, Freedom House scores, state capacity indices, etc. as dependent variables</w:t>
      </w:r>
    </w:p>
    <w:p w14:paraId="06983BEB">
      <w:pPr>
        <w:keepNext w:val="0"/>
        <w:keepLines w:val="0"/>
        <w:pageBreakBefore w:val="0"/>
        <w:widowControl/>
        <w:numPr>
          <w:ilvl w:val="0"/>
          <w:numId w:val="10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Distinguish different types of political development outcomes</w:t>
      </w:r>
    </w:p>
    <w:p w14:paraId="4CE0861B">
      <w:pPr>
        <w:keepNext w:val="0"/>
        <w:keepLines w:val="0"/>
        <w:pageBreakBefore w:val="0"/>
        <w:widowControl/>
        <w:numPr>
          <w:ilvl w:val="0"/>
          <w:numId w:val="10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Dialogue with Hariri</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(2012) research on the autocratic legacy of early statehood</w:t>
      </w:r>
    </w:p>
    <w:p w14:paraId="77F8D51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7"/>
          <w:rFonts w:hint="default" w:ascii="Times New Roman Regular" w:hAnsi="Times New Roman Regular" w:cs="Times New Roman Regular"/>
        </w:rPr>
        <w:t>Extension Direction Six: Cultural Transmission Mechanisms</w:t>
      </w:r>
    </w:p>
    <w:p w14:paraId="7F1E3DB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This paper uses migration matrices for ancestry adjustment but does not deeply explore the specific mechanisms of cultural transmission.</w:t>
      </w:r>
    </w:p>
    <w:p w14:paraId="783C131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Potential research questions:</w:t>
      </w:r>
    </w:p>
    <w:p w14:paraId="14D25C87">
      <w:pPr>
        <w:keepNext w:val="0"/>
        <w:keepLines w:val="0"/>
        <w:pageBreakBefore w:val="0"/>
        <w:widowControl/>
        <w:numPr>
          <w:ilvl w:val="0"/>
          <w:numId w:val="10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How do migrants transform the state experience of their country of origin into transmissible cultural traits or institutional preferences?</w:t>
      </w:r>
    </w:p>
    <w:p w14:paraId="56BB3459">
      <w:pPr>
        <w:keepNext w:val="0"/>
        <w:keepLines w:val="0"/>
        <w:pageBreakBefore w:val="0"/>
        <w:widowControl/>
        <w:numPr>
          <w:ilvl w:val="0"/>
          <w:numId w:val="10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Is there decay in the transmission of state experience across generations?</w:t>
      </w:r>
    </w:p>
    <w:p w14:paraId="6F4191AC">
      <w:pPr>
        <w:keepNext w:val="0"/>
        <w:keepLines w:val="0"/>
        <w:pageBreakBefore w:val="0"/>
        <w:widowControl/>
        <w:numPr>
          <w:ilvl w:val="0"/>
          <w:numId w:val="10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How does the tension between cultural assimilation and preservation of origin culture affect the transmission effects of state history?</w:t>
      </w:r>
    </w:p>
    <w:p w14:paraId="6C04989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Suggested research design:</w:t>
      </w:r>
    </w:p>
    <w:p w14:paraId="539838B4">
      <w:pPr>
        <w:keepNext w:val="0"/>
        <w:keepLines w:val="0"/>
        <w:pageBreakBefore w:val="0"/>
        <w:widowControl/>
        <w:numPr>
          <w:ilvl w:val="0"/>
          <w:numId w:val="10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Use survey data on immigrant descendants to study intergenerational transmission</w:t>
      </w:r>
    </w:p>
    <w:p w14:paraId="768C82B5">
      <w:pPr>
        <w:keepNext w:val="0"/>
        <w:keepLines w:val="0"/>
        <w:pageBreakBefore w:val="0"/>
        <w:widowControl/>
        <w:numPr>
          <w:ilvl w:val="0"/>
          <w:numId w:val="10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Distinguish different immigrant groups and compare their developmental outcomes</w:t>
      </w:r>
    </w:p>
    <w:p w14:paraId="727E076F">
      <w:pPr>
        <w:keepNext w:val="0"/>
        <w:keepLines w:val="0"/>
        <w:pageBreakBefore w:val="0"/>
        <w:widowControl/>
        <w:numPr>
          <w:ilvl w:val="0"/>
          <w:numId w:val="10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Integrate with related research in cultural economics and economic history (such as Nunn 2012; Alesina and Giuliano 2015)</w:t>
      </w:r>
    </w:p>
    <w:p w14:paraId="573CF97A">
      <w:pPr>
        <w:keepNext w:val="0"/>
        <w:keepLines w:val="0"/>
        <w:pageBreakBefore w:val="0"/>
        <w:kinsoku/>
        <w:wordWrap/>
        <w:overflowPunct/>
        <w:topLinePunct w:val="0"/>
        <w:autoSpaceDE/>
        <w:autoSpaceDN/>
        <w:bidi w:val="0"/>
        <w:adjustRightInd/>
        <w:snapToGrid/>
        <w:spacing w:beforeAutospacing="0" w:afterAutospacing="0"/>
        <w:ind w:left="0"/>
        <w:textAlignment w:val="auto"/>
      </w:pPr>
    </w:p>
    <w:sectPr>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7DCEB9"/>
    <w:multiLevelType w:val="multilevel"/>
    <w:tmpl w:val="967DCE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F7B9D3D"/>
    <w:multiLevelType w:val="multilevel"/>
    <w:tmpl w:val="9F7B9D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F42D59"/>
    <w:multiLevelType w:val="multilevel"/>
    <w:tmpl w:val="9FF42D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9EE3F45"/>
    <w:multiLevelType w:val="multilevel"/>
    <w:tmpl w:val="A9EE3F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C4B6E1C"/>
    <w:multiLevelType w:val="multilevel"/>
    <w:tmpl w:val="AC4B6E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EF994B7"/>
    <w:multiLevelType w:val="multilevel"/>
    <w:tmpl w:val="AEF994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2FE0588"/>
    <w:multiLevelType w:val="multilevel"/>
    <w:tmpl w:val="B2FE05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3DF2918"/>
    <w:multiLevelType w:val="multilevel"/>
    <w:tmpl w:val="B3DF29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7B5F7E8"/>
    <w:multiLevelType w:val="multilevel"/>
    <w:tmpl w:val="B7B5F7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B9FEC1B"/>
    <w:multiLevelType w:val="multilevel"/>
    <w:tmpl w:val="BB9FEC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EFC8B73"/>
    <w:multiLevelType w:val="multilevel"/>
    <w:tmpl w:val="BEFC8B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F7252E0"/>
    <w:multiLevelType w:val="multilevel"/>
    <w:tmpl w:val="BF7252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F7E7250"/>
    <w:multiLevelType w:val="multilevel"/>
    <w:tmpl w:val="BF7E72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FF69AFC"/>
    <w:multiLevelType w:val="multilevel"/>
    <w:tmpl w:val="BFF69A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FF8634D"/>
    <w:multiLevelType w:val="multilevel"/>
    <w:tmpl w:val="BFF863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FFBC7B7"/>
    <w:multiLevelType w:val="multilevel"/>
    <w:tmpl w:val="BFFBC7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FFC292F"/>
    <w:multiLevelType w:val="multilevel"/>
    <w:tmpl w:val="BFFC29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FFFA901"/>
    <w:multiLevelType w:val="multilevel"/>
    <w:tmpl w:val="BFFFA9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3FA7DF6"/>
    <w:multiLevelType w:val="multilevel"/>
    <w:tmpl w:val="C3FA7D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67AC7F3"/>
    <w:multiLevelType w:val="multilevel"/>
    <w:tmpl w:val="C67AC7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77F53C4"/>
    <w:multiLevelType w:val="multilevel"/>
    <w:tmpl w:val="C77F53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C7FE6AEB"/>
    <w:multiLevelType w:val="multilevel"/>
    <w:tmpl w:val="C7FE6A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CFFD3C52"/>
    <w:multiLevelType w:val="multilevel"/>
    <w:tmpl w:val="CFFD3C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D1BF8089"/>
    <w:multiLevelType w:val="multilevel"/>
    <w:tmpl w:val="D1BF80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D7EF40F8"/>
    <w:multiLevelType w:val="multilevel"/>
    <w:tmpl w:val="D7EF40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DBD8562E"/>
    <w:multiLevelType w:val="multilevel"/>
    <w:tmpl w:val="DBD856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DDE53A83"/>
    <w:multiLevelType w:val="multilevel"/>
    <w:tmpl w:val="DDE53A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DEAE340D"/>
    <w:multiLevelType w:val="multilevel"/>
    <w:tmpl w:val="DEAE34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DF61EECE"/>
    <w:multiLevelType w:val="multilevel"/>
    <w:tmpl w:val="DF61EE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DF7F17C4"/>
    <w:multiLevelType w:val="multilevel"/>
    <w:tmpl w:val="DF7F17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E1C24167"/>
    <w:multiLevelType w:val="multilevel"/>
    <w:tmpl w:val="E1C241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E4FC06A0"/>
    <w:multiLevelType w:val="multilevel"/>
    <w:tmpl w:val="E4FC06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E53F378E"/>
    <w:multiLevelType w:val="multilevel"/>
    <w:tmpl w:val="E53F37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E7BF6304"/>
    <w:multiLevelType w:val="multilevel"/>
    <w:tmpl w:val="E7BF63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EA5D6293"/>
    <w:multiLevelType w:val="multilevel"/>
    <w:tmpl w:val="EA5D62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EB27CCE1"/>
    <w:multiLevelType w:val="multilevel"/>
    <w:tmpl w:val="EB27CC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EBF7C2CF"/>
    <w:multiLevelType w:val="multilevel"/>
    <w:tmpl w:val="EBF7C2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BFE0AC6"/>
    <w:multiLevelType w:val="multilevel"/>
    <w:tmpl w:val="EBFE0A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EF3CF0F7"/>
    <w:multiLevelType w:val="multilevel"/>
    <w:tmpl w:val="EF3CF0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EF3E21D5"/>
    <w:multiLevelType w:val="multilevel"/>
    <w:tmpl w:val="EF3E21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EFDB7D67"/>
    <w:multiLevelType w:val="multilevel"/>
    <w:tmpl w:val="EFDB7D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EFE3CFD2"/>
    <w:multiLevelType w:val="multilevel"/>
    <w:tmpl w:val="EFE3CF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EFE69813"/>
    <w:multiLevelType w:val="multilevel"/>
    <w:tmpl w:val="EFE698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F5FE367B"/>
    <w:multiLevelType w:val="multilevel"/>
    <w:tmpl w:val="F5FE36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F6FF1793"/>
    <w:multiLevelType w:val="multilevel"/>
    <w:tmpl w:val="F6FF17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F7AD0734"/>
    <w:multiLevelType w:val="multilevel"/>
    <w:tmpl w:val="F7AD07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F7DBB4C5"/>
    <w:multiLevelType w:val="multilevel"/>
    <w:tmpl w:val="F7DBB4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7EE7F4A"/>
    <w:multiLevelType w:val="multilevel"/>
    <w:tmpl w:val="F7EE7F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F7FFD815"/>
    <w:multiLevelType w:val="multilevel"/>
    <w:tmpl w:val="F7FFD8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F7FFE8B5"/>
    <w:multiLevelType w:val="multilevel"/>
    <w:tmpl w:val="F7FFE8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F8C77B78"/>
    <w:multiLevelType w:val="multilevel"/>
    <w:tmpl w:val="F8C77B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FABE79D1"/>
    <w:multiLevelType w:val="multilevel"/>
    <w:tmpl w:val="FABE79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FADDA6F5"/>
    <w:multiLevelType w:val="multilevel"/>
    <w:tmpl w:val="FADDA6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FB6E207C"/>
    <w:multiLevelType w:val="multilevel"/>
    <w:tmpl w:val="FB6E20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FB7FECC5"/>
    <w:multiLevelType w:val="multilevel"/>
    <w:tmpl w:val="FB7FEC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FBAE98FD"/>
    <w:multiLevelType w:val="multilevel"/>
    <w:tmpl w:val="FBAE98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FBD942E9"/>
    <w:multiLevelType w:val="multilevel"/>
    <w:tmpl w:val="FBD942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FBF9E293"/>
    <w:multiLevelType w:val="multilevel"/>
    <w:tmpl w:val="FBF9E2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FBFEC084"/>
    <w:multiLevelType w:val="multilevel"/>
    <w:tmpl w:val="FBFEC0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FD541141"/>
    <w:multiLevelType w:val="multilevel"/>
    <w:tmpl w:val="FD5411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FDEB1673"/>
    <w:multiLevelType w:val="multilevel"/>
    <w:tmpl w:val="FDEB16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FDFED8CD"/>
    <w:multiLevelType w:val="multilevel"/>
    <w:tmpl w:val="FDFED8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FEC325D0"/>
    <w:multiLevelType w:val="multilevel"/>
    <w:tmpl w:val="FEC325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FF7ABBC6"/>
    <w:multiLevelType w:val="multilevel"/>
    <w:tmpl w:val="FF7ABB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FF9D948F"/>
    <w:multiLevelType w:val="multilevel"/>
    <w:tmpl w:val="FF9D94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FFB7A5D3"/>
    <w:multiLevelType w:val="multilevel"/>
    <w:tmpl w:val="FFB7A5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FFD4D8B5"/>
    <w:multiLevelType w:val="multilevel"/>
    <w:tmpl w:val="FFD4D8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FFDF003E"/>
    <w:multiLevelType w:val="multilevel"/>
    <w:tmpl w:val="FFDF00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FFDF6491"/>
    <w:multiLevelType w:val="multilevel"/>
    <w:tmpl w:val="FFDF64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FFEF55CD"/>
    <w:multiLevelType w:val="multilevel"/>
    <w:tmpl w:val="FFEF55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FFFF78D1"/>
    <w:multiLevelType w:val="multilevel"/>
    <w:tmpl w:val="FFFF78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0FFE76A8"/>
    <w:multiLevelType w:val="multilevel"/>
    <w:tmpl w:val="0FFE76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25FA14FE"/>
    <w:multiLevelType w:val="multilevel"/>
    <w:tmpl w:val="25FA14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2FCFC001"/>
    <w:multiLevelType w:val="multilevel"/>
    <w:tmpl w:val="2FCFC0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3DF9F060"/>
    <w:multiLevelType w:val="multilevel"/>
    <w:tmpl w:val="3DF9F0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3FF62909"/>
    <w:multiLevelType w:val="multilevel"/>
    <w:tmpl w:val="3FF629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3FFE9BE8"/>
    <w:multiLevelType w:val="multilevel"/>
    <w:tmpl w:val="3FFE9B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3FFFA0E4"/>
    <w:multiLevelType w:val="multilevel"/>
    <w:tmpl w:val="3FFFA0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4B770816"/>
    <w:multiLevelType w:val="multilevel"/>
    <w:tmpl w:val="4B7708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4E7E37B2"/>
    <w:multiLevelType w:val="multilevel"/>
    <w:tmpl w:val="4E7E37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579B236D"/>
    <w:multiLevelType w:val="multilevel"/>
    <w:tmpl w:val="579B23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58BB9242"/>
    <w:multiLevelType w:val="multilevel"/>
    <w:tmpl w:val="58BB92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5F9E9360"/>
    <w:multiLevelType w:val="multilevel"/>
    <w:tmpl w:val="5F9E93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6BBE7A50"/>
    <w:multiLevelType w:val="multilevel"/>
    <w:tmpl w:val="6BBE7A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6DFF55D0"/>
    <w:multiLevelType w:val="multilevel"/>
    <w:tmpl w:val="6DFF55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6EFFFFCD"/>
    <w:multiLevelType w:val="multilevel"/>
    <w:tmpl w:val="6EFFFF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71FF6C35"/>
    <w:multiLevelType w:val="multilevel"/>
    <w:tmpl w:val="71FF6C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73D6BB34"/>
    <w:multiLevelType w:val="multilevel"/>
    <w:tmpl w:val="73D6BB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77AEAE32"/>
    <w:multiLevelType w:val="multilevel"/>
    <w:tmpl w:val="77AEAE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77EDD034"/>
    <w:multiLevelType w:val="multilevel"/>
    <w:tmpl w:val="77EDD0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7D6A9204"/>
    <w:multiLevelType w:val="multilevel"/>
    <w:tmpl w:val="7D6A92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7E3EFF9A"/>
    <w:multiLevelType w:val="multilevel"/>
    <w:tmpl w:val="7E3EFF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2">
    <w:nsid w:val="7E7E4B22"/>
    <w:multiLevelType w:val="multilevel"/>
    <w:tmpl w:val="7E7E4B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7EDAAF16"/>
    <w:multiLevelType w:val="multilevel"/>
    <w:tmpl w:val="7EDAAF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7EFC248B"/>
    <w:multiLevelType w:val="multilevel"/>
    <w:tmpl w:val="7EFC24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7EFD6EFB"/>
    <w:multiLevelType w:val="multilevel"/>
    <w:tmpl w:val="7EFD6E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7F3CE79B"/>
    <w:multiLevelType w:val="multilevel"/>
    <w:tmpl w:val="7F3CE7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7F3EBCA8"/>
    <w:multiLevelType w:val="multilevel"/>
    <w:tmpl w:val="7F3EBC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7F77947F"/>
    <w:multiLevelType w:val="multilevel"/>
    <w:tmpl w:val="7F7794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7FF325D7"/>
    <w:multiLevelType w:val="multilevel"/>
    <w:tmpl w:val="7FF325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1"/>
  </w:num>
  <w:num w:numId="2">
    <w:abstractNumId w:val="0"/>
  </w:num>
  <w:num w:numId="3">
    <w:abstractNumId w:val="52"/>
  </w:num>
  <w:num w:numId="4">
    <w:abstractNumId w:val="60"/>
  </w:num>
  <w:num w:numId="5">
    <w:abstractNumId w:val="62"/>
  </w:num>
  <w:num w:numId="6">
    <w:abstractNumId w:val="64"/>
  </w:num>
  <w:num w:numId="7">
    <w:abstractNumId w:val="40"/>
  </w:num>
  <w:num w:numId="8">
    <w:abstractNumId w:val="92"/>
  </w:num>
  <w:num w:numId="9">
    <w:abstractNumId w:val="26"/>
  </w:num>
  <w:num w:numId="10">
    <w:abstractNumId w:val="21"/>
  </w:num>
  <w:num w:numId="11">
    <w:abstractNumId w:val="37"/>
  </w:num>
  <w:num w:numId="12">
    <w:abstractNumId w:val="83"/>
  </w:num>
  <w:num w:numId="13">
    <w:abstractNumId w:val="24"/>
  </w:num>
  <w:num w:numId="14">
    <w:abstractNumId w:val="57"/>
  </w:num>
  <w:num w:numId="15">
    <w:abstractNumId w:val="63"/>
  </w:num>
  <w:num w:numId="16">
    <w:abstractNumId w:val="93"/>
  </w:num>
  <w:num w:numId="17">
    <w:abstractNumId w:val="48"/>
  </w:num>
  <w:num w:numId="18">
    <w:abstractNumId w:val="15"/>
  </w:num>
  <w:num w:numId="19">
    <w:abstractNumId w:val="94"/>
  </w:num>
  <w:num w:numId="20">
    <w:abstractNumId w:val="80"/>
  </w:num>
  <w:num w:numId="2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70"/>
  </w:num>
  <w:num w:numId="24">
    <w:abstractNumId w:val="79"/>
  </w:num>
  <w:num w:numId="25">
    <w:abstractNumId w:val="30"/>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8"/>
  </w:num>
  <w:num w:numId="28">
    <w:abstractNumId w:val="14"/>
  </w:num>
  <w:num w:numId="29">
    <w:abstractNumId w:val="10"/>
  </w:num>
  <w:num w:numId="30">
    <w:abstractNumId w:val="68"/>
  </w:num>
  <w:num w:numId="31">
    <w:abstractNumId w:val="27"/>
  </w:num>
  <w:num w:numId="32">
    <w:abstractNumId w:val="77"/>
  </w:num>
  <w:num w:numId="33">
    <w:abstractNumId w:val="4"/>
  </w:num>
  <w:num w:numId="34">
    <w:abstractNumId w:val="55"/>
  </w:num>
  <w:num w:numId="35">
    <w:abstractNumId w:val="23"/>
  </w:num>
  <w:num w:numId="36">
    <w:abstractNumId w:val="67"/>
  </w:num>
  <w:num w:numId="37">
    <w:abstractNumId w:val="41"/>
  </w:num>
  <w:num w:numId="38">
    <w:abstractNumId w:val="51"/>
  </w:num>
  <w:num w:numId="39">
    <w:abstractNumId w:val="36"/>
  </w:num>
  <w:num w:numId="40">
    <w:abstractNumId w:val="8"/>
  </w:num>
  <w:num w:numId="41">
    <w:abstractNumId w:val="5"/>
  </w:num>
  <w:num w:numId="42">
    <w:abstractNumId w:val="6"/>
  </w:num>
  <w:num w:numId="43">
    <w:abstractNumId w:val="74"/>
  </w:num>
  <w:num w:numId="44">
    <w:abstractNumId w:val="46"/>
  </w:num>
  <w:num w:numId="45">
    <w:abstractNumId w:val="20"/>
  </w:num>
  <w:num w:numId="46">
    <w:abstractNumId w:val="61"/>
  </w:num>
  <w:num w:numId="47">
    <w:abstractNumId w:val="44"/>
  </w:num>
  <w:num w:numId="48">
    <w:abstractNumId w:val="82"/>
  </w:num>
  <w:num w:numId="49">
    <w:abstractNumId w:val="45"/>
  </w:num>
  <w:num w:numId="50">
    <w:abstractNumId w:val="90"/>
  </w:num>
  <w:num w:numId="51">
    <w:abstractNumId w:val="87"/>
  </w:num>
  <w:num w:numId="52">
    <w:abstractNumId w:val="76"/>
  </w:num>
  <w:num w:numId="53">
    <w:abstractNumId w:val="17"/>
  </w:num>
  <w:num w:numId="54">
    <w:abstractNumId w:val="47"/>
  </w:num>
  <w:num w:numId="55">
    <w:abstractNumId w:val="97"/>
  </w:num>
  <w:num w:numId="56">
    <w:abstractNumId w:val="89"/>
  </w:num>
  <w:num w:numId="57">
    <w:abstractNumId w:val="56"/>
  </w:num>
  <w:num w:numId="58">
    <w:abstractNumId w:val="11"/>
  </w:num>
  <w:num w:numId="59">
    <w:abstractNumId w:val="78"/>
  </w:num>
  <w:num w:numId="60">
    <w:abstractNumId w:val="73"/>
  </w:num>
  <w:num w:numId="61">
    <w:abstractNumId w:val="1"/>
  </w:num>
  <w:num w:numId="62">
    <w:abstractNumId w:val="75"/>
  </w:num>
  <w:num w:numId="63">
    <w:abstractNumId w:val="49"/>
  </w:num>
  <w:num w:numId="64">
    <w:abstractNumId w:val="86"/>
  </w:num>
  <w:num w:numId="65">
    <w:abstractNumId w:val="71"/>
  </w:num>
  <w:num w:numId="66">
    <w:abstractNumId w:val="35"/>
  </w:num>
  <w:num w:numId="67">
    <w:abstractNumId w:val="19"/>
  </w:num>
  <w:num w:numId="68">
    <w:abstractNumId w:val="38"/>
  </w:num>
  <w:num w:numId="69">
    <w:abstractNumId w:val="96"/>
  </w:num>
  <w:num w:numId="70">
    <w:abstractNumId w:val="88"/>
  </w:num>
  <w:num w:numId="71">
    <w:abstractNumId w:val="98"/>
  </w:num>
  <w:num w:numId="72">
    <w:abstractNumId w:val="33"/>
  </w:num>
  <w:num w:numId="73">
    <w:abstractNumId w:val="53"/>
  </w:num>
  <w:num w:numId="74">
    <w:abstractNumId w:val="72"/>
  </w:num>
  <w:num w:numId="75">
    <w:abstractNumId w:val="28"/>
  </w:num>
  <w:num w:numId="76">
    <w:abstractNumId w:val="95"/>
  </w:num>
  <w:num w:numId="77">
    <w:abstractNumId w:val="85"/>
  </w:num>
  <w:num w:numId="78">
    <w:abstractNumId w:val="54"/>
  </w:num>
  <w:num w:numId="79">
    <w:abstractNumId w:val="13"/>
  </w:num>
  <w:num w:numId="80">
    <w:abstractNumId w:val="65"/>
  </w:num>
  <w:num w:numId="81">
    <w:abstractNumId w:val="32"/>
  </w:num>
  <w:num w:numId="82">
    <w:abstractNumId w:val="34"/>
  </w:num>
  <w:num w:numId="83">
    <w:abstractNumId w:val="16"/>
  </w:num>
  <w:num w:numId="84">
    <w:abstractNumId w:val="2"/>
  </w:num>
  <w:num w:numId="85">
    <w:abstractNumId w:val="69"/>
  </w:num>
  <w:num w:numId="86">
    <w:abstractNumId w:val="22"/>
  </w:num>
  <w:num w:numId="87">
    <w:abstractNumId w:val="43"/>
  </w:num>
  <w:num w:numId="88">
    <w:abstractNumId w:val="31"/>
  </w:num>
  <w:num w:numId="89">
    <w:abstractNumId w:val="84"/>
  </w:num>
  <w:num w:numId="90">
    <w:abstractNumId w:val="59"/>
  </w:num>
  <w:num w:numId="91">
    <w:abstractNumId w:val="81"/>
  </w:num>
  <w:num w:numId="92">
    <w:abstractNumId w:val="99"/>
  </w:num>
  <w:num w:numId="93">
    <w:abstractNumId w:val="3"/>
  </w:num>
  <w:num w:numId="94">
    <w:abstractNumId w:val="50"/>
  </w:num>
  <w:num w:numId="95">
    <w:abstractNumId w:val="7"/>
  </w:num>
  <w:num w:numId="96">
    <w:abstractNumId w:val="9"/>
  </w:num>
  <w:num w:numId="97">
    <w:abstractNumId w:val="66"/>
  </w:num>
  <w:num w:numId="98">
    <w:abstractNumId w:val="25"/>
  </w:num>
  <w:num w:numId="99">
    <w:abstractNumId w:val="39"/>
  </w:num>
  <w:num w:numId="100">
    <w:abstractNumId w:val="12"/>
  </w:num>
  <w:num w:numId="101">
    <w:abstractNumId w:val="42"/>
  </w:num>
  <w:num w:numId="1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xMDgxMGVlMTkwNDEwNzkxODk2NGRmN2QyZTkyMjkifQ=="/>
  </w:docVars>
  <w:rsids>
    <w:rsidRoot w:val="71CB0C62"/>
    <w:rsid w:val="3EF7E3F1"/>
    <w:rsid w:val="4F7E3E21"/>
    <w:rsid w:val="5DE9C7AC"/>
    <w:rsid w:val="71CB0C62"/>
    <w:rsid w:val="79AF87DE"/>
    <w:rsid w:val="EE9F0CFD"/>
    <w:rsid w:val="FCD7E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widowControl/>
      <w:spacing w:before="0" w:beforeAutospacing="1" w:after="0" w:afterAutospacing="1"/>
      <w:ind w:left="0" w:right="0"/>
      <w:jc w:val="left"/>
    </w:pPr>
    <w:rPr>
      <w:rFonts w:ascii="宋体" w:hAnsi="宋体" w:eastAsia="宋体" w:cs="宋体"/>
      <w:kern w:val="0"/>
      <w:sz w:val="24"/>
      <w:szCs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customStyle="1" w:styleId="9">
    <w:name w:val="10"/>
    <w:basedOn w:val="6"/>
    <w:uiPriority w:val="0"/>
    <w:rPr>
      <w:rFonts w:hint="default" w:ascii="Times New Roman" w:hAnsi="Times New Roman" w:cs="Times New Roman"/>
    </w:rPr>
  </w:style>
  <w:style w:type="character" w:customStyle="1" w:styleId="10">
    <w:name w:val="15"/>
    <w:basedOn w:val="6"/>
    <w:uiPriority w:val="0"/>
    <w:rPr>
      <w:rFonts w:hint="default" w:ascii="Times New Roman" w:hAnsi="Times New Roman" w:cs="Times New Roman"/>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77</Pages>
  <Words>0</Words>
  <Characters>0</Characters>
  <Lines>1</Lines>
  <Paragraphs>1</Paragraphs>
  <TotalTime>218</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2026-01-27T06:29:00Z</dcterms:created>
  <dc:creator>夏一丹</dc:creator>
  <cp:lastModifiedBy>夏一丹</cp:lastModifiedBy>
  <dcterms:modified xsi:type="dcterms:W3CDTF">2026-01-29T10:54:26Z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139ACEF03CF1771D232E79698F2B934D_41</vt:lpwstr>
  </property>
</Properties>
</file>