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0AF6552">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Lecture Notes: Kiser (1994) — Markets and Hierarchies in Early Modern Tax Systems: A Principal-Agent Analysis</w:t>
      </w:r>
    </w:p>
    <w:p w14:paraId="754FCB2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5A76272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lang w:val="en-US" w:eastAsia="zh-CN"/>
        </w:rPr>
      </w:pPr>
      <w:r>
        <w:rPr>
          <w:rFonts w:hint="default" w:ascii="Times New Roman Regular" w:hAnsi="Times New Roman Regular" w:cs="Times New Roman Regular" w:eastAsiaTheme="minorEastAsia"/>
        </w:rPr>
        <w:t>Literature Name / 文献名称</w:t>
      </w:r>
      <w:r>
        <w:rPr>
          <w:rFonts w:hint="eastAsia" w:ascii="Times New Roman Regular" w:hAnsi="Times New Roman Regular" w:cs="Times New Roman Regular" w:eastAsiaTheme="minorEastAsia"/>
          <w:lang w:val="en-US" w:eastAsia="zh-CN"/>
        </w:rPr>
        <w:t xml:space="preserve"> </w:t>
      </w:r>
    </w:p>
    <w:p w14:paraId="6A4623C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lang w:val="en-US"/>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w:t>
      </w:r>
      <w:r>
        <w:rPr>
          <w:rFonts w:hint="default" w:ascii="Times New Roman Regular" w:hAnsi="Times New Roman Regular" w:cs="Times New Roman Regular"/>
          <w:lang w:val="en-US"/>
        </w:rPr>
        <w:t>“Markets and Hierarchies in Early Modern Tax Systems: A Principal-Agent Analysis”</w:t>
      </w:r>
    </w:p>
    <w:p w14:paraId="58D038E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《早期现代税收体系中的市场与科层：一种委托-代理分析》</w:t>
      </w:r>
    </w:p>
    <w:p w14:paraId="78885AD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24966A7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Author(s) / 作者</w:t>
      </w:r>
    </w:p>
    <w:p w14:paraId="130CC1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Edgar Kiser /ˈɛdɡɑːr ˈkaɪzər/</w:t>
      </w:r>
    </w:p>
    <w:p w14:paraId="1D1709B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埃德加·凯泽 /ˈɛdɡɑːr ˈkaɪzər/</w:t>
      </w:r>
    </w:p>
    <w:p w14:paraId="24823BD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27" o:spt="1" style="height:1.5pt;width:432pt;" fillcolor="#A0A0A0" filled="t" stroked="f" coordsize="21600,21600" o:hr="t" o:hrstd="t" o:hralign="center">
            <v:path/>
            <v:fill on="t" focussize="0,0"/>
            <v:stroke on="f"/>
            <v:imagedata o:title=""/>
            <o:lock v:ext="edit"/>
            <w10:wrap type="none"/>
            <w10:anchorlock/>
          </v:rect>
        </w:pict>
      </w:r>
    </w:p>
    <w:p w14:paraId="4AB6C3F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304FA7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1994, published in </w:t>
      </w:r>
      <w:r>
        <w:rPr>
          <w:rStyle w:val="9"/>
          <w:rFonts w:hint="default" w:ascii="Times New Roman Regular" w:hAnsi="Times New Roman Regular" w:cs="Times New Roman Regular" w:eastAsiaTheme="minorEastAsia"/>
        </w:rPr>
        <w:t>Politics &amp; Society</w:t>
      </w:r>
      <w:r>
        <w:rPr>
          <w:rFonts w:hint="default" w:ascii="Times New Roman Regular" w:hAnsi="Times New Roman Regular" w:cs="Times New Roman Regular" w:eastAsiaTheme="minorEastAsia"/>
        </w:rPr>
        <w:t>, Vol. 22, No. 3, September 1994, pp. 284–315.</w:t>
      </w:r>
    </w:p>
    <w:p w14:paraId="0D3B1C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1994年，发表于《政治与社会》(</w:t>
      </w:r>
      <w:r>
        <w:rPr>
          <w:rStyle w:val="9"/>
          <w:rFonts w:hint="default" w:ascii="Times New Roman Regular" w:hAnsi="Times New Roman Regular" w:cs="Times New Roman Regular" w:eastAsiaTheme="minorEastAsia"/>
        </w:rPr>
        <w:t>Politics &amp; Society</w:t>
      </w:r>
      <w:r>
        <w:rPr>
          <w:rFonts w:hint="default" w:ascii="Times New Roman Regular" w:hAnsi="Times New Roman Regular" w:cs="Times New Roman Regular" w:eastAsiaTheme="minorEastAsia"/>
        </w:rPr>
        <w:t>) 第22卷第3期，1994年9月，第284–315页。</w:t>
      </w:r>
    </w:p>
    <w:p w14:paraId="2AFADFA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159B907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DV: What is the main dependent variable? / 因变量：主要因变量是什么？</w:t>
      </w:r>
    </w:p>
    <w:p w14:paraId="759346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main dependent variable is the </w:t>
      </w:r>
      <w:r>
        <w:rPr>
          <w:rStyle w:val="8"/>
          <w:rFonts w:hint="default" w:ascii="Times New Roman Regular" w:hAnsi="Times New Roman Regular" w:cs="Times New Roman Regular" w:eastAsiaTheme="minorEastAsia"/>
        </w:rPr>
        <w:t>structure of tax collection systems</w:t>
      </w:r>
      <w:r>
        <w:rPr>
          <w:rFonts w:hint="default" w:ascii="Times New Roman Regular" w:hAnsi="Times New Roman Regular" w:cs="Times New Roman Regular" w:eastAsiaTheme="minorEastAsia"/>
        </w:rPr>
        <w:t xml:space="preserve"> in early modern states — specifically, the </w:t>
      </w:r>
      <w:r>
        <w:rPr>
          <w:rStyle w:val="8"/>
          <w:rFonts w:hint="default" w:ascii="Times New Roman Regular" w:hAnsi="Times New Roman Regular" w:cs="Times New Roman Regular" w:eastAsiaTheme="minorEastAsia"/>
        </w:rPr>
        <w:t>form of the agency relation</w:t>
      </w:r>
      <w:r>
        <w:rPr>
          <w:rFonts w:hint="default" w:ascii="Times New Roman Regular" w:hAnsi="Times New Roman Regular" w:cs="Times New Roman Regular" w:eastAsiaTheme="minorEastAsia"/>
        </w:rPr>
        <w:t xml:space="preserve"> between rulers and their tax collectors. This variable takes three main values: (1) tax farming (a market form), in which independent entrepreneurs purchase the right to collect a particular tax in a given area by paying the ruler a fixed sum determined by auction, retaining any surplus collected above that price as profit (p. 284–285); (2) state administration (a hierarchical form), in which rulers employ permanent, salaried state officials to collect taxes under direct monitoring and sanctioning (p. 285); and (3) intermediate or proportional payment forms, in which agents receive a proportion of the revenue they collect, thereby splitting residual claimancy between principal and agent (p. 290). Kiser examines variation in this dependent variable along three dimensions: across different types of taxes (direct versus indirect), across different countries (England /ˈɪŋɡlənd/, France /fræns/, Spain /speɪn/, Prussia /ˈprʌʃə/, Sweden /ˈswiːdən/, China /ˈtʃaɪnə/, Russia /ˈrʌʃə/, the Ottoman Empire /ˈɒtəmən ˈɛmpaɪər/, and the Netherlands /ˈnɛðərləndz/), and over time within the early modern period (roughly the 13th through 18th centuries) (p. 285, 295).</w:t>
      </w:r>
    </w:p>
    <w:p w14:paraId="71FA574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主要因变量是早期现代国家中的</w:t>
      </w:r>
      <w:r>
        <w:rPr>
          <w:rStyle w:val="8"/>
          <w:rFonts w:hint="default" w:ascii="Times New Roman Regular" w:hAnsi="Times New Roman Regular" w:cs="Times New Roman Regular" w:eastAsiaTheme="minorEastAsia"/>
        </w:rPr>
        <w:t>税收征集制度结构</w:t>
      </w:r>
      <w:r>
        <w:rPr>
          <w:rFonts w:hint="default" w:ascii="Times New Roman Regular" w:hAnsi="Times New Roman Regular" w:cs="Times New Roman Regular" w:eastAsiaTheme="minorEastAsia"/>
        </w:rPr>
        <w:t>——具体来说，是统治者与税收征集者之间</w:t>
      </w:r>
      <w:r>
        <w:rPr>
          <w:rStyle w:val="8"/>
          <w:rFonts w:hint="default" w:ascii="Times New Roman Regular" w:hAnsi="Times New Roman Regular" w:cs="Times New Roman Regular" w:eastAsiaTheme="minorEastAsia"/>
        </w:rPr>
        <w:t>代理关系的形式</w:t>
      </w:r>
      <w:r>
        <w:rPr>
          <w:rFonts w:hint="default" w:ascii="Times New Roman Regular" w:hAnsi="Times New Roman Regular" w:cs="Times New Roman Regular" w:eastAsiaTheme="minorEastAsia"/>
        </w:rPr>
        <w:t>。该变量有三种主要取值：（1）包税制（市场形式），即独立企业家通过拍卖方式向统治者支付一笔固定金额，购买在特定区域征收特定税种的权利，征收金额超出购买价格的部分作为利润归包税人所有（第284–285页）；（2）国家行政征收（科层形式），即统治者雇佣固定薪资的永久官员来征收税款，并对其进行直接监督和惩罚（第285页）；（3）中间形式或比例支付形式，即代理人获得其征收收入的一定比例作为报酬，从而在委托人和代理人之间分割剩余索取权（第290页）。凯泽沿三个维度考察该因变量的变异：不同税种之间（直接税与间接税）、不同国家之间（英格兰 /ˈɪŋɡlənd/、法兰西 /fræns/、西班牙 /speɪn/、普鲁士 /ˈprʌʃə/、瑞典 /ˈswiːdən/、中国 /ˈtʃaɪnə/、俄罗斯 /ˈrʌʃə/、奥斯曼帝国 /ˈɒtəmən ˈɛmpaɪər/ 和尼德兰 /ˈnɛðərləndz/），以及早期现代时期（大约13至18世纪）的时间变化（第285、295页）。</w:t>
      </w:r>
    </w:p>
    <w:p w14:paraId="755E860F">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29" o:spt="1" style="height:1.5pt;width:432pt;" fillcolor="#A0A0A0" filled="t" stroked="f" coordsize="21600,21600" o:hr="t" o:hrstd="t" o:hralign="center">
            <v:path/>
            <v:fill on="t" focussize="0,0"/>
            <v:stroke on="f"/>
            <v:imagedata o:title=""/>
            <o:lock v:ext="edit"/>
            <w10:wrap type="none"/>
            <w10:anchorlock/>
          </v:rect>
        </w:pict>
      </w:r>
    </w:p>
    <w:p w14:paraId="1F3B9C8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IV: What is the main independent variable? / 自变量：主要自变量是什么？</w:t>
      </w:r>
    </w:p>
    <w:p w14:paraId="26D4CA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main independent variable is </w:t>
      </w:r>
      <w:r>
        <w:rPr>
          <w:rStyle w:val="8"/>
          <w:rFonts w:hint="default" w:ascii="Times New Roman Regular" w:hAnsi="Times New Roman Regular" w:cs="Times New Roman Regular" w:eastAsiaTheme="minorEastAsia"/>
        </w:rPr>
        <w:t>the control capacity of rulers</w:t>
      </w:r>
      <w:r>
        <w:rPr>
          <w:rFonts w:hint="default" w:ascii="Times New Roman Regular" w:hAnsi="Times New Roman Regular" w:cs="Times New Roman Regular" w:eastAsiaTheme="minorEastAsia"/>
        </w:rPr>
        <w:t xml:space="preserve"> — that is, the structural ability of rulers (as principals) to monitor and sanction their tax-collecting agents. This control capacity is itself shaped by several structural factors: (1) the level of development of </w:t>
      </w:r>
      <w:r>
        <w:rPr>
          <w:rStyle w:val="8"/>
          <w:rFonts w:hint="default" w:ascii="Times New Roman Regular" w:hAnsi="Times New Roman Regular" w:cs="Times New Roman Regular" w:eastAsiaTheme="minorEastAsia"/>
        </w:rPr>
        <w:t>technologies of control</w:t>
      </w:r>
      <w:r>
        <w:rPr>
          <w:rFonts w:hint="default" w:ascii="Times New Roman Regular" w:hAnsi="Times New Roman Regular" w:cs="Times New Roman Regular" w:eastAsiaTheme="minorEastAsia"/>
        </w:rPr>
        <w:t xml:space="preserve">, including communications, transportation, and record-keeping systems, which determine how effectively rulers can oversee agents operating at a distance (p. 290, 293–294); (2) the </w:t>
      </w:r>
      <w:r>
        <w:rPr>
          <w:rStyle w:val="8"/>
          <w:rFonts w:hint="default" w:ascii="Times New Roman Regular" w:hAnsi="Times New Roman Regular" w:cs="Times New Roman Regular" w:eastAsiaTheme="minorEastAsia"/>
        </w:rPr>
        <w:t>size of the country</w:t>
      </w:r>
      <w:r>
        <w:rPr>
          <w:rFonts w:hint="default" w:ascii="Times New Roman Regular" w:hAnsi="Times New Roman Regular" w:cs="Times New Roman Regular" w:eastAsiaTheme="minorEastAsia"/>
        </w:rPr>
        <w:t>, since larger territories and geographical obstacles reduce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monitor agents (p. 290); (3) the </w:t>
      </w:r>
      <w:r>
        <w:rPr>
          <w:rStyle w:val="8"/>
          <w:rFonts w:hint="default" w:ascii="Times New Roman Regular" w:hAnsi="Times New Roman Regular" w:cs="Times New Roman Regular" w:eastAsiaTheme="minorEastAsia"/>
        </w:rPr>
        <w:t>nature of the tax</w:t>
      </w:r>
      <w:r>
        <w:rPr>
          <w:rFonts w:hint="default" w:ascii="Times New Roman Regular" w:hAnsi="Times New Roman Regular" w:cs="Times New Roman Regular" w:eastAsiaTheme="minorEastAsia"/>
        </w:rPr>
        <w:t xml:space="preserve"> being collected — whether the taxable asset is mobile, variable over time, or difficult to measure — which determines how hard it is for rulers to detect corruption and evasion by agents and taxpayers (p. 291–292); and (4) the </w:t>
      </w:r>
      <w:r>
        <w:rPr>
          <w:rStyle w:val="8"/>
          <w:rFonts w:hint="default" w:ascii="Times New Roman Regular" w:hAnsi="Times New Roman Regular" w:cs="Times New Roman Regular" w:eastAsiaTheme="minorEastAsia"/>
        </w:rPr>
        <w:t>autonomy of the ruler</w:t>
      </w:r>
      <w:r>
        <w:rPr>
          <w:rFonts w:hint="default" w:ascii="Times New Roman Regular" w:hAnsi="Times New Roman Regular" w:cs="Times New Roman Regular" w:eastAsiaTheme="minorEastAsia"/>
        </w:rPr>
        <w:t>, meaning the extent to which rulers are constrained by political institutions such as parliaments, which affects both the transaction costs of creating tax farming contracts and the type of corruption that is most damaging (p. 291). When control capacities are low, rulers will prefer market forms (tax farming); when they are high, rulers will prefer hierarchical forms (state administration) (p. 290).</w:t>
      </w:r>
    </w:p>
    <w:p w14:paraId="24E0DF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主要自变量是</w:t>
      </w:r>
      <w:r>
        <w:rPr>
          <w:rStyle w:val="8"/>
          <w:rFonts w:hint="default" w:ascii="Times New Roman Regular" w:hAnsi="Times New Roman Regular" w:cs="Times New Roman Regular" w:eastAsiaTheme="minorEastAsia"/>
        </w:rPr>
        <w:t>统治者的控制能力</w:t>
      </w:r>
      <w:r>
        <w:rPr>
          <w:rFonts w:hint="default" w:ascii="Times New Roman Regular" w:hAnsi="Times New Roman Regular" w:cs="Times New Roman Regular" w:eastAsiaTheme="minorEastAsia"/>
        </w:rPr>
        <w:t>——即统治者作为委托人监督和惩罚其税收征集代理人的结构性能力。该控制能力本身受到若干结构性因素的塑造：（1）</w:t>
      </w:r>
      <w:r>
        <w:rPr>
          <w:rStyle w:val="8"/>
          <w:rFonts w:hint="default" w:ascii="Times New Roman Regular" w:hAnsi="Times New Roman Regular" w:cs="Times New Roman Regular" w:eastAsiaTheme="minorEastAsia"/>
        </w:rPr>
        <w:t>控制技术的发展水平</w:t>
      </w:r>
      <w:r>
        <w:rPr>
          <w:rFonts w:hint="default" w:ascii="Times New Roman Regular" w:hAnsi="Times New Roman Regular" w:cs="Times New Roman Regular" w:eastAsiaTheme="minorEastAsia"/>
        </w:rPr>
        <w:t>，包括通讯、交通运输和档案记录体系，它们决定了统治者能多有效地监控在远方运作的代理人（第290、293–294页）；（2）</w:t>
      </w:r>
      <w:r>
        <w:rPr>
          <w:rStyle w:val="8"/>
          <w:rFonts w:hint="default" w:ascii="Times New Roman Regular" w:hAnsi="Times New Roman Regular" w:cs="Times New Roman Regular" w:eastAsiaTheme="minorEastAsia"/>
        </w:rPr>
        <w:t>国家的规模</w:t>
      </w:r>
      <w:r>
        <w:rPr>
          <w:rFonts w:hint="default" w:ascii="Times New Roman Regular" w:hAnsi="Times New Roman Regular" w:cs="Times New Roman Regular" w:eastAsiaTheme="minorEastAsia"/>
        </w:rPr>
        <w:t>，因为更大的领土和地理障碍降低了统治者监控代理人的能力（第290页）；（3）</w:t>
      </w:r>
      <w:r>
        <w:rPr>
          <w:rStyle w:val="8"/>
          <w:rFonts w:hint="default" w:ascii="Times New Roman Regular" w:hAnsi="Times New Roman Regular" w:cs="Times New Roman Regular" w:eastAsiaTheme="minorEastAsia"/>
        </w:rPr>
        <w:t>所征税种的性质</w:t>
      </w:r>
      <w:r>
        <w:rPr>
          <w:rFonts w:hint="default" w:ascii="Times New Roman Regular" w:hAnsi="Times New Roman Regular" w:cs="Times New Roman Regular" w:eastAsiaTheme="minorEastAsia"/>
        </w:rPr>
        <w:t>——应税资产是否具有流动性、是否随时间波动、是否难以度量——这决定了统治者发现代理人和纳税人腐败与逃税行为的难度（第291–292页）；（4）</w:t>
      </w:r>
      <w:r>
        <w:rPr>
          <w:rStyle w:val="8"/>
          <w:rFonts w:hint="default" w:ascii="Times New Roman Regular" w:hAnsi="Times New Roman Regular" w:cs="Times New Roman Regular" w:eastAsiaTheme="minorEastAsia"/>
        </w:rPr>
        <w:t>统治者的自主性</w:t>
      </w:r>
      <w:r>
        <w:rPr>
          <w:rFonts w:hint="default" w:ascii="Times New Roman Regular" w:hAnsi="Times New Roman Regular" w:cs="Times New Roman Regular" w:eastAsiaTheme="minorEastAsia"/>
        </w:rPr>
        <w:t>，即统治者在多大程度上受到议会等政治制度的约束，这既影响创建包税合同的交易成本，也影响何种类型的腐败最具危害性（第291页）。当控制能力低时，统治者倾向于选择市场形式（包税制）；当控制能力高时，统治者倾向于选择科层形式（国家行政征收）（第290页）。</w:t>
      </w:r>
    </w:p>
    <w:p w14:paraId="0BD4333A">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0" o:spt="1" style="height:1.5pt;width:432pt;" fillcolor="#A0A0A0" filled="t" stroked="f" coordsize="21600,21600" o:hr="t" o:hrstd="t" o:hralign="center">
            <v:path/>
            <v:fill on="t" focussize="0,0"/>
            <v:stroke on="f"/>
            <v:imagedata o:title=""/>
            <o:lock v:ext="edit"/>
            <w10:wrap type="none"/>
            <w10:anchorlock/>
          </v:rect>
        </w:pict>
      </w:r>
    </w:p>
    <w:p w14:paraId="5BF902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Stateness: How is the </w:t>
      </w:r>
      <w:r>
        <w:rPr>
          <w:rFonts w:hint="default" w:ascii="Times New Roman Regular" w:hAnsi="Times New Roman Regular" w:cs="Times New Roman Regular" w:eastAsiaTheme="minorEastAsia"/>
          <w:lang w:val="en-US"/>
        </w:rPr>
        <w:t>“state”</w:t>
      </w:r>
      <w:r>
        <w:rPr>
          <w:rFonts w:hint="default" w:ascii="Times New Roman Regular" w:hAnsi="Times New Roman Regular" w:cs="Times New Roman Regular" w:eastAsiaTheme="minorEastAsia"/>
        </w:rPr>
        <w:t xml:space="preserve"> and/or </w:t>
      </w:r>
      <w:r>
        <w:rPr>
          <w:rFonts w:hint="default" w:ascii="Times New Roman Regular" w:hAnsi="Times New Roman Regular" w:cs="Times New Roman Regular" w:eastAsiaTheme="minorEastAsia"/>
          <w:lang w:val="en-US"/>
        </w:rPr>
        <w:t>“state building”</w:t>
      </w:r>
      <w:r>
        <w:rPr>
          <w:rFonts w:hint="default" w:ascii="Times New Roman Regular" w:hAnsi="Times New Roman Regular" w:cs="Times New Roman Regular" w:eastAsiaTheme="minorEastAsia"/>
        </w:rPr>
        <w:t xml:space="preserve"> conceptualized and measured? / 国家与国家建设如何被概念化与测量？</w:t>
      </w:r>
    </w:p>
    <w:p w14:paraId="1E6FE7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Kiser conceptualizes the state primarily as a </w:t>
      </w:r>
      <w:r>
        <w:rPr>
          <w:rStyle w:val="8"/>
          <w:rFonts w:hint="default" w:ascii="Times New Roman Regular" w:hAnsi="Times New Roman Regular" w:cs="Times New Roman Regular" w:eastAsiaTheme="minorEastAsia"/>
        </w:rPr>
        <w:t>revenue-extracting organization</w:t>
      </w:r>
      <w:r>
        <w:rPr>
          <w:rFonts w:hint="default" w:ascii="Times New Roman Regular" w:hAnsi="Times New Roman Regular" w:cs="Times New Roman Regular" w:eastAsiaTheme="minorEastAsia"/>
        </w:rPr>
        <w:t xml:space="preserve"> headed by a ruler who seeks to maximize net tax revenue (defined as total tax collected minus the costs of collection, including corruption) in order to maintain power and maximize personal wealth (p. 285, 290). State building in this framework is understood as the gradual transition from market-based (tax farming) to hierarchical (bureaucratic state administration) forms of tax collection — a transition driven by the development of control technologies that make direct bureaucratic management increasingly efficient relative to contracting with independent entrepreneurs (p. 293–294). The state is not measured through a single index but rather through the observable organizational form of its fiscal apparatus: the proportion of total revenue collected via tax farms versus state officials, the degree of consolidation of tax farms, and the level of bureaucratic development in tax collection (salaries, monitoring procedures, merit-based recruitment) (p. 295, 298, 303). Kiser does not adopt a Weberian ideal-type of the state as a starting point, but rather treats the actual, imperfect hierarchical structures available to rulers as the relevant comparison to market alternatives. The key insight is that state building in the fiscal domain was not a linear march toward bureaucratization; instead, rulers frequently switched back and forth between tax farming and state administration as structural conditions changed (p. 298).</w:t>
      </w:r>
    </w:p>
    <w:p w14:paraId="47FD72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凯泽主要将国家概念化为一个</w:t>
      </w:r>
      <w:r>
        <w:rPr>
          <w:rStyle w:val="8"/>
          <w:rFonts w:hint="default" w:ascii="Times New Roman Regular" w:hAnsi="Times New Roman Regular" w:cs="Times New Roman Regular" w:eastAsiaTheme="minorEastAsia"/>
        </w:rPr>
        <w:t>以统治者为首的资源汲取组织</w:t>
      </w:r>
      <w:r>
        <w:rPr>
          <w:rFonts w:hint="default" w:ascii="Times New Roman Regular" w:hAnsi="Times New Roman Regular" w:cs="Times New Roman Regular" w:eastAsiaTheme="minorEastAsia"/>
        </w:rPr>
        <w:t>，统治者寻求最大化净税收收入（定义为税收总额减去征收成本，包括腐败损失），以维持权力和最大化个人财富（第285、290页）。在这一框架中，国家建设被理解为税收征集形式从市场化（包税制）向科层化（官僚国家行政征收）的逐步转型——这一转型是由控制技术的发展所驱动的，这些技术使直接的官僚管理相对于与独立企业家签约变得越来越高效（第293–294页）。国家不是通过单一指标来测量的，而是通过其财政机构的可观察组织形式来衡量的：包税收入占总收入的比例、包税场的整合程度，以及税收征集中的官僚化发展水平（薪资、监督程序、基于绩效的招聘等）（第295、298、303页）。凯泽没有采用韦伯式的国家理想类型作为起点，而是将统治者实际可用的、不完美的科层结构作为与市场替代方案进行比较的参照。其关键洞见是，财政领域的国家建设并非线性地走向官僚化；相反，随着结构条件的变化，统治者频繁地在包税制和国家行政征收之间来回切换（第298页）。</w:t>
      </w:r>
    </w:p>
    <w:p w14:paraId="5998831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1" o:spt="1" style="height:1.5pt;width:432pt;" fillcolor="#A0A0A0" filled="t" stroked="f" coordsize="21600,21600" o:hr="t" o:hrstd="t" o:hralign="center">
            <v:path/>
            <v:fill on="t" focussize="0,0"/>
            <v:stroke on="f"/>
            <v:imagedata o:title=""/>
            <o:lock v:ext="edit"/>
            <w10:wrap type="none"/>
            <w10:anchorlock/>
          </v:rect>
        </w:pict>
      </w:r>
    </w:p>
    <w:p w14:paraId="288315C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Argument: What is the core argument about the relationship between the independent and dependent variable(s)? / 核心论点：自变量与因变量之间的关系是什么？</w:t>
      </w:r>
    </w:p>
    <w:p w14:paraId="4B8BCB7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Kiser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core argument is that the structure of early modern tax systems was determined by </w:t>
      </w:r>
      <w:r>
        <w:rPr>
          <w:rStyle w:val="8"/>
          <w:rFonts w:hint="default" w:ascii="Times New Roman Regular" w:hAnsi="Times New Roman Regular" w:cs="Times New Roman Regular" w:eastAsiaTheme="minorEastAsia"/>
        </w:rPr>
        <w:t>efficiency considerations rooted in the control capacities of rulers</w:t>
      </w:r>
      <w:r>
        <w:rPr>
          <w:rFonts w:hint="default" w:ascii="Times New Roman Regular" w:hAnsi="Times New Roman Regular" w:cs="Times New Roman Regular" w:eastAsiaTheme="minorEastAsia"/>
        </w:rPr>
        <w:t>. Rulers were rational wealth-maximizers who attempted to choose the form of tax collection — tax farming, state administration, or an intermediate proportional-payment form — that would produce the highest net revenue (p. 285). The choice between these forms was fundamentally a principal-agent problem: since tax collectors (agents) had interests divergent from those of rulers (principals), rulers had to find ways to control agent behavior (p. 290). When rulers could effectively monitor and sanction their agents — that is, when control capacities were high — they chose state administration (hierarchy), because paying agents fixed salaries and directly overseeing their work minimized the share of revenue lost to agent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profits, corruption, or shirking. When rulers could not effectively control their agents — that is, when control capacities were low — they chose tax farming (market relations), because making the agent the residual claimant gave the agent a strong self-interest in maximizing tax collection, thereby reducing the need for direct monitoring (p. 290). This argument challenges the prevailing scholarly consensus that tax farming was inherently inefficient and was used only because rulers needed loans or wanted predictable revenue. Kiser contends instead that tax farming was often the most efficient system available given the structural constraints rulers faced, and that tax farming organizations actually employed better monitoring and control techniques than the state bureaucracies of the same period (p. 294, 302–303).</w:t>
      </w:r>
    </w:p>
    <w:p w14:paraId="1A23E1A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凯泽的核心论点是，早期现代税收体系的结构是由</w:t>
      </w:r>
      <w:r>
        <w:rPr>
          <w:rStyle w:val="8"/>
          <w:rFonts w:hint="default" w:ascii="Times New Roman Regular" w:hAnsi="Times New Roman Regular" w:cs="Times New Roman Regular" w:eastAsiaTheme="minorEastAsia"/>
        </w:rPr>
        <w:t>根植于统治者控制能力的效率考量</w:t>
      </w:r>
      <w:r>
        <w:rPr>
          <w:rFonts w:hint="default" w:ascii="Times New Roman Regular" w:hAnsi="Times New Roman Regular" w:cs="Times New Roman Regular" w:eastAsiaTheme="minorEastAsia"/>
        </w:rPr>
        <w:t>所决定的。统治者是理性的财富最大化者，他们试图选择能产生最高净收入的税收征集形式——包税制、国家行政征收或中间性的比例支付形式（第285页）。这些形式之间的选择本质上是一个委托-代理问题：由于税收征集者（代理人）的利益与统治者（委托人）的利益存在分歧，统治者必须找到控制代理人行为的方式（第290页）。当统治者能有效监督和惩罚其代理人——即控制能力高时——他们选择国家行政征收（科层制），因为向代理人支付固定薪资并直接监督其工作，可以最小化因代理人利润、腐败或偷懒而造成的收入损失。当统治者不能有效控制其代理人——即控制能力低时——他们选择包税制（市场关系），因为让代理人成为剩余索取者，使其产生了最大化税收征集的强烈自利动机，从而减少了对直接监督的需求（第290页）。这一论点挑战了学界流行的共识，即包税制天然低效、仅因统治者需要贷款或希望获得可预测收入才被采用。凯泽则认为，鉴于统治者面临的结构性约束，包税制往往是可用的最高效体系，而且包税组织实际上采用了比同时期国家官僚机构更好的监控和控制技术（第294、302–303页）。</w:t>
      </w:r>
    </w:p>
    <w:p w14:paraId="34D5714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2" o:spt="1" style="height:1.5pt;width:432pt;" fillcolor="#A0A0A0" filled="t" stroked="f" coordsize="21600,21600" o:hr="t" o:hrstd="t" o:hralign="center">
            <v:path/>
            <v:fill on="t" focussize="0,0"/>
            <v:stroke on="f"/>
            <v:imagedata o:title=""/>
            <o:lock v:ext="edit"/>
            <w10:wrap type="none"/>
            <w10:anchorlock/>
          </v:rect>
        </w:pict>
      </w:r>
    </w:p>
    <w:p w14:paraId="19552C4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Mechanisms: What mechanisms are proposed to explain how the independent variable influences the outcome? / 机制：通过什么机制自变量影响因变量？</w:t>
      </w:r>
    </w:p>
    <w:p w14:paraId="029A05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Kiser proposes several interconnected mechanisms through which control capacity shapes the choice of tax collection system:</w:t>
      </w:r>
    </w:p>
    <w:p w14:paraId="4900FF7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The incentive-alignment mechanism.</w:t>
      </w:r>
      <w:r>
        <w:rPr>
          <w:rFonts w:hint="default" w:ascii="Times New Roman Regular" w:hAnsi="Times New Roman Regular" w:cs="Times New Roman Regular" w:eastAsiaTheme="minorEastAsia"/>
        </w:rPr>
        <w:t xml:space="preserve"> In state administration, agents on fixed salaries have weak incentives to maximize revenue collection; their income does not depend on how much they collect. This creates classic shirking and corruption problems: officials may accept bribes from taxpayers in exchange for underassessing taxable assets, or they may embezzle collected funds. Since the principal (ruler) bears the residual risk, the ruler must invest heavily in monitoring. In tax farming, by contrast, the agent is the residual claimant — everything collected above the fixed purchase price is the farmer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profit. This creates a powerful self-interest in maximizing collection and, critically, in controlling corruption among the farmer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subordinate agents, because corruption directly reduces the farmer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income (p. 290, 294).</w:t>
      </w:r>
    </w:p>
    <w:p w14:paraId="2581FA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The monitoring-difficulty mechanism.</w:t>
      </w:r>
      <w:r>
        <w:rPr>
          <w:rFonts w:hint="default" w:ascii="Times New Roman Regular" w:hAnsi="Times New Roman Regular" w:cs="Times New Roman Regular" w:eastAsiaTheme="minorEastAsia"/>
        </w:rPr>
        <w:t xml:space="preserve"> The nature of the taxable asset determines how difficult it is for rulers to monitor both their agents and taxpayers. When taxable assets are mobile (e.g., traded commodities subject to customs duties), variable over time (e.g., fluctuating trade volumes), and difficult to measure (e.g., the value of goods in transit), it is extremely hard for rulers to determine whether low revenue reflects honest collection of a genuinely low tax base, agent shirking, agent corruption (taking bribes to underassess), or taxpayer evasion. Under these conditions of high information asymmetry, making the agent the residual claimant through tax farming is the most efficient solution, because it shifts the measurement problem to the agent who has the strongest incentive to solve it. Conversely, when assets are immobile, stable, and easily measured (e.g., land), state administration becomes feasible because rulers can verify agent performance through relatively simple cross-checks such as repeating land surveys (p. 291–293).</w:t>
      </w:r>
    </w:p>
    <w:p w14:paraId="7FDF067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The corruption-type mechanism.</w:t>
      </w:r>
      <w:r>
        <w:rPr>
          <w:rFonts w:hint="default" w:ascii="Times New Roman Regular" w:hAnsi="Times New Roman Regular" w:cs="Times New Roman Regular" w:eastAsiaTheme="minorEastAsia"/>
        </w:rPr>
        <w:t xml:space="preserve"> The form of the agency relation determines not just the total level of corruption but the type of corruption that predominates. Tax farmers with short-term contracts tend toward overtaxation (using surcharges to extract maximum revenue before the contract expires), which harms the tax base in the long run. Salaried state officials tend toward embezzlement and bribery (taking bribes for underassessment), which reduces revenue flowing to the ruler but may be less damaging to the tax base. Since the type of corruption associated with tax farming (overtaxation) hurts taxpayers more directly and visibly than the type associated with state administration, tax farming should be more common when rulers have high autonomy and are less constrained by taxpayer resistance (p. 291).</w:t>
      </w:r>
    </w:p>
    <w:p w14:paraId="7FDCEA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The technology-of-control mechanism.</w:t>
      </w:r>
      <w:r>
        <w:rPr>
          <w:rFonts w:hint="default" w:ascii="Times New Roman Regular" w:hAnsi="Times New Roman Regular" w:cs="Times New Roman Regular" w:eastAsiaTheme="minorEastAsia"/>
        </w:rPr>
        <w:t xml:space="preserve"> Improvements in communications, transportation, and record-keeping directly increase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monitor distant agents, thereby increasing the relative efficiency of state administration. In the early modern period, basic transportation and communication technologies remained quite primitive until the late 18th century (for example, in the 16th century, it took three weeks to travel from Paris /pəˈriː/ to Lyon /liˈɒ̃/, and even in 1765 it took fourteen days from Paris to Toulouse /tuːˈluːz/), which meant that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control capacities remained structurally low for most of the period (p. 298). The gradual improvement of these technologies over time explains the long-run shift from tax farming to state administration.</w:t>
      </w:r>
    </w:p>
    <w:p w14:paraId="732938E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The consolidation-and-learning mechanism.</w:t>
      </w:r>
      <w:r>
        <w:rPr>
          <w:rFonts w:hint="default" w:ascii="Times New Roman Regular" w:hAnsi="Times New Roman Regular" w:cs="Times New Roman Regular" w:eastAsiaTheme="minorEastAsia"/>
        </w:rPr>
        <w:t xml:space="preserve"> Over time, tax farms themselves consolidated into larger organizations, and in the process developed sophisticated administrative techniques — improved accounting procedures, rigorous inspections and audits, merit-based recruitment, higher salaries for agents — that were eventually adopted by state administrations when they took over tax collection. Thus, ironically, tax farming paved the way for its own replacement by creating the bureaucratic innovations that made state administration efficient enough to collect indirect taxes (p. 299–300, 303).</w:t>
      </w:r>
    </w:p>
    <w:p w14:paraId="68D15C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凯泽提出了若干相互关联的机制，解释控制能力如何塑造税收征集制度的选择：</w:t>
      </w:r>
    </w:p>
    <w:p w14:paraId="6CC26A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（1）激励对齐机制。</w:t>
      </w:r>
      <w:r>
        <w:rPr>
          <w:rFonts w:hint="default" w:ascii="Times New Roman Regular" w:hAnsi="Times New Roman Regular" w:cs="Times New Roman Regular" w:eastAsiaTheme="minorEastAsia"/>
        </w:rPr>
        <w:t xml:space="preserve"> 在国家行政征收中，领取固定薪资的代理人缺乏最大化税收征收的激励；其收入不取决于征收多少。这产生了经典的偷懒和腐败问题：官员可能接受纳税人贿赂以换取低估应税资产，或挪用已征收的资金。由于委托人（统治者）承担剩余风险，统治者必须在监督上投入大量资源。相比之下，在包税制中，代理人是剩余索取者——超出固定购买价格的所有征收额都是包税人的利润。这创造了最大化征收的强大自利动机，而且关键的是，也激励包税人控制其下属代理人的腐败，因为腐败直接减少包税人的收入（第290、294页）。</w:t>
      </w:r>
    </w:p>
    <w:p w14:paraId="58FAF55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（2）监督困难机制。</w:t>
      </w:r>
      <w:r>
        <w:rPr>
          <w:rFonts w:hint="default" w:ascii="Times New Roman Regular" w:hAnsi="Times New Roman Regular" w:cs="Times New Roman Regular" w:eastAsiaTheme="minorEastAsia"/>
        </w:rPr>
        <w:t xml:space="preserve"> 应税资产的性质决定了统治者监督其代理人和纳税人的难度。当应税资产具有流动性（如受关税约束的贸易商品）、随时间变动（如波动的贸易量）、且难以度量（如运输中货物的价值）时，统治者极难判断低收入究竟反映的是诚实征收下真正低的税基、代理人偷懒、代理人腐败（受贿低估）还是纳税人逃税。在这种高度信息不对称的条件下，通过包税制使代理人成为剩余索取者是最有效的解决方案，因为它将度量问题转移给了最有激励去解决它的代理人。反之，当资产不可移动、稳定且容易度量（如土地）时，国家行政征收变得可行，因为统治者可以通过相对简单的交叉核查（如重复土地调查）来验证代理人的表现（第291–293页）。</w:t>
      </w:r>
    </w:p>
    <w:p w14:paraId="7B34491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（3）腐败类型机制。</w:t>
      </w:r>
      <w:r>
        <w:rPr>
          <w:rFonts w:hint="default" w:ascii="Times New Roman Regular" w:hAnsi="Times New Roman Regular" w:cs="Times New Roman Regular" w:eastAsiaTheme="minorEastAsia"/>
        </w:rPr>
        <w:t xml:space="preserve"> 代理关系的形式不仅决定腐败的总体水平，还决定占主导地位的腐败类型。持有短期合同的包税人倾向于过度征税（使用附加费在合同到期前榨取最大收入），这从长远来看损害税基。领取固定薪资的国家官员则倾向于挪用公款和受贿（为低估资产而收受贿赂），这减少了流向统治者的收入，但对税基的损害可能较小。由于与包税制相关的腐败类型（过度征税）比与国家行政征收相关的腐败类型更直接、更明显地伤害纳税人，因此包税制应在统治者自主性高、较少受纳税人抵抗约束时更为普遍（第291页）。</w:t>
      </w:r>
    </w:p>
    <w:p w14:paraId="232D8E2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（4）控制技术机制。</w:t>
      </w:r>
      <w:r>
        <w:rPr>
          <w:rFonts w:hint="default" w:ascii="Times New Roman Regular" w:hAnsi="Times New Roman Regular" w:cs="Times New Roman Regular" w:eastAsiaTheme="minorEastAsia"/>
        </w:rPr>
        <w:t xml:space="preserve"> 通讯、交通和档案记录的改进直接提高了统治者监控远方代理人的能力，从而提高了国家行政征收的相对效率。在早期现代时期，基本的交通和通讯技术直到18世纪晚期仍然相当原始（例如，16世纪从巴黎 /pəˈriː/ 到里昂 /liˈɒ̃/ 需要三周，甚至到1765年从巴黎到图卢兹 /tuːˈluːz/ 仍需十四天），这意味着统治者的控制能力在该时期的大部分时间内结构性地保持在低水平（第298页）。这些技术的逐渐改进解释了从包税制到国家行政征收的长期转变。</w:t>
      </w:r>
    </w:p>
    <w:p w14:paraId="5557758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（5）整合与学习机制。</w:t>
      </w:r>
      <w:r>
        <w:rPr>
          <w:rFonts w:hint="default" w:ascii="Times New Roman Regular" w:hAnsi="Times New Roman Regular" w:cs="Times New Roman Regular" w:eastAsiaTheme="minorEastAsia"/>
        </w:rPr>
        <w:t xml:space="preserve"> 随着时间推移，包税场本身整合为更大的组织，并在此过程中发展出精密的行政技术——改进的会计程序、严格的检查和审计、基于绩效的招聘、更高的代理人薪资——这些技术最终在国家行政部门接管税收征集时被采用。因此，颇具讽刺意味的是，包税制通过创造使国家行政征收足以高效征收间接税的官僚创新，为自身的被取代铺平了道路（第299–300、303页）。</w:t>
      </w:r>
    </w:p>
    <w:p w14:paraId="6A5FB8E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3" o:spt="1" style="height:1.5pt;width:432pt;" fillcolor="#A0A0A0" filled="t" stroked="f" coordsize="21600,21600" o:hr="t" o:hrstd="t" o:hralign="center">
            <v:path/>
            <v:fill on="t" focussize="0,0"/>
            <v:stroke on="f"/>
            <v:imagedata o:title=""/>
            <o:lock v:ext="edit"/>
            <w10:wrap type="none"/>
            <w10:anchorlock/>
          </v:rect>
        </w:pict>
      </w:r>
    </w:p>
    <w:p w14:paraId="2C326B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Data: What data is used to test the argument? / 数据：用什么数据检验论点？</w:t>
      </w:r>
    </w:p>
    <w:p w14:paraId="037A55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Kiser uses </w:t>
      </w:r>
      <w:r>
        <w:rPr>
          <w:rStyle w:val="8"/>
          <w:rFonts w:hint="default" w:ascii="Times New Roman Regular" w:hAnsi="Times New Roman Regular" w:cs="Times New Roman Regular" w:eastAsiaTheme="minorEastAsia"/>
        </w:rPr>
        <w:t>qualitative, comparative-historical data</w:t>
      </w:r>
      <w:r>
        <w:rPr>
          <w:rFonts w:hint="default" w:ascii="Times New Roman Regular" w:hAnsi="Times New Roman Regular" w:cs="Times New Roman Regular" w:eastAsiaTheme="minorEastAsia"/>
        </w:rPr>
        <w:t xml:space="preserve"> drawn from secondary historical sources covering the fiscal systems of multiple early modern states. The geographic coverage includes England /ˈɪŋɡlənd/, France /fræns/, Spain /speɪn/, Prussia /ˈprʌʃə/, Sweden /ˈswiːdən/, China /ˈtʃaɪnə/, Russia /ˈrʌʃə/, the Ottoman Empire /ˈɒtəmən ˈɛmpaɪər/, and the Netherlands /ˈnɛðərləndz/ (p. 295). The time period spans roughly from the 13th century to the late 18th century, with the most detailed coverage of England (1275–1688) and France (13th century to the Revolution of 1789) (p. 295–299). The unit of analysis varies: it is sometimes a country-period (e.g., Elizabethan /ɪˌlɪzəˈbiːθən/ England), sometimes a specific tax (e.g., the English customs, the French gabelle /ɡəˈbɛl/), and sometimes a specific tax farming organization (e.g., the French General Farms). The dependent variable — the form of tax collection — is measured qualitatively as whether a given tax in a given country-period was collected by tax farmers, state officials, lump-sum negotiated payments, or some combination thereof (p. 295–296). Key independent variables are measured as follows: the nature of the tax (direct versus indirect) is coded based on whether the tax falls on immobile, easily measured assets like land or on mobile, variable assets like traded commodities (p. 291–292); the development of control technologies is assessed through historical evidence on transportation times, communications infrastructure, and record-keeping practices (p. 298); country size is assessed in broad comparative terms; ruler autonomy is assessed through the presence or absence of absolutist versus parliamentary regimes (p. 291, 298–299). The data are drawn from a wide range of secondary historical works, including Matthews /ˈmæθjuːz/ on the French Royal General Farms, Ashton /ˈæʃtən/ on English revenue farming, Dietz /diːts/ on English public finance, Wolfe /wʊlf/ on Renaissance France, and many others cited in the extensive endnotes (p. 306–315). Kiser explicitly acknowledges that the data are preliminary and not sufficient for systematic hypothesis testing, but argues they can provide useful preliminary assessments of the theoretical approaches (p. 295).</w:t>
      </w:r>
    </w:p>
    <w:p w14:paraId="2D63ED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凯泽使用的是从二手历史文献中提取的</w:t>
      </w:r>
      <w:r>
        <w:rPr>
          <w:rStyle w:val="8"/>
          <w:rFonts w:hint="default" w:ascii="Times New Roman Regular" w:hAnsi="Times New Roman Regular" w:cs="Times New Roman Regular" w:eastAsiaTheme="minorEastAsia"/>
        </w:rPr>
        <w:t>定性比较历史数据</w:t>
      </w:r>
      <w:r>
        <w:rPr>
          <w:rFonts w:hint="default" w:ascii="Times New Roman Regular" w:hAnsi="Times New Roman Regular" w:cs="Times New Roman Regular" w:eastAsiaTheme="minorEastAsia"/>
        </w:rPr>
        <w:t>，涵盖多个早期现代国家的财政体系。地理覆盖范围包括英格兰 /ˈɪŋɡlənd/、法兰西 /fræns/、西班牙 /speɪn/、普鲁士 /ˈprʌʃə/、瑞典 /ˈswiːdən/、中国 /ˈtʃaɪnə/、俄罗斯 /ˈrʌʃə/、奥斯曼帝国 /ˈɒtəmən ˈɛmpaɪər/ 和尼德兰 /ˈnɛðərləndz/（第295页）。时间跨度大约从13世纪到18世纪晚期，其中对英格兰（1275–1688年）和法兰西（13世纪至1789年大革命）的覆盖最为详细（第295–299页）。分析单位各有不同：有时是国家-时段（如伊丽莎白时代 /ɪˌlɪzəˈbiːθən/ 的英格兰），有时是特定税种（如英国关税、法国盐税 /ɡəˈbɛl/），有时是特定的包税组织（如法国总包税场）。因变量——税收征集形式——通过定性方式测量，即特定国家-时段的特定税种是由包税人、国家官员、一次性协商支付还是某种组合方式征收（第295–296页）。主要自变量的测量方式如下：税种性质（直接税与间接税）根据税收是否落在土地等不动产、易于度量的资产上还是贸易商品等流动性、可变资产上来编码（第291–292页）；控制技术的发展通过关于交通运输时间、通讯基础设施和档案记录实践的历史证据来评估（第298页）；国家规模以宽泛的比较方式评估；统治者自主性通过绝对主义政体与议会制政体的存在与否来评估（第291、298–299页）。数据来源于大量二手历史著作，包括马修斯 /ˈmæθjuːz/ 关于法国皇家总包税场的研究、阿什顿 /ˈæʃtən/ 关于英国收入包税的研究、迪茨 /diːts/ 关于英国公共财政的研究、沃尔夫 /wʊlf/ 关于文艺复兴时期法兰西的研究，以及大量尾注中引用的其他文献（第306–315页）。凯泽明确承认这些数据是初步性的，不足以进行系统性的假设检验，但认为它们可以为理论方法提供有用的初步评估（第295页）。</w:t>
      </w:r>
    </w:p>
    <w:p w14:paraId="1BE248A7">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4" o:spt="1" style="height:1.5pt;width:432pt;" fillcolor="#A0A0A0" filled="t" stroked="f" coordsize="21600,21600" o:hr="t" o:hrstd="t" o:hralign="center">
            <v:path/>
            <v:fill on="t" focussize="0,0"/>
            <v:stroke on="f"/>
            <v:imagedata o:title=""/>
            <o:lock v:ext="edit"/>
            <w10:wrap type="none"/>
            <w10:anchorlock/>
          </v:rect>
        </w:pict>
      </w:r>
    </w:p>
    <w:p w14:paraId="5B792DE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Methods: What methods are employed to assess the argument? / 方法：采用了什么方法评估论点？</w:t>
      </w:r>
    </w:p>
    <w:p w14:paraId="7F11859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Kiser employs </w:t>
      </w:r>
      <w:r>
        <w:rPr>
          <w:rStyle w:val="8"/>
          <w:rFonts w:hint="default" w:ascii="Times New Roman Regular" w:hAnsi="Times New Roman Regular" w:cs="Times New Roman Regular" w:eastAsiaTheme="minorEastAsia"/>
        </w:rPr>
        <w:t>comparative-historical analysis</w:t>
      </w:r>
      <w:r>
        <w:rPr>
          <w:rFonts w:hint="default" w:ascii="Times New Roman Regular" w:hAnsi="Times New Roman Regular" w:cs="Times New Roman Regular" w:eastAsiaTheme="minorEastAsia"/>
        </w:rPr>
        <w:t xml:space="preserve"> guided by rational choice theory, specifically principal-agent (agency) theory. The method involves deriving a set of testable propositions from the theoretical model and then assessing their plausibility against the historical record of multiple early modern states. Seven formal propositions are stated (p. 294–295): (1) the greater the difficulty of controlling agents, the greater the use of tax farming; (2) tax farming will be more common for indirect than direct taxes; (3) larger countries will use more tax farming; (4) higher ruler autonomy leads to more tax farming; (5) better control technologies lead to less tax farming; (6) switching between systems will be common; and (7) tax farms will have higher salaries, better monitoring, and faster innovation than state administrations. Each proposition is then assessed against the available historical evidence from the cases examined. The assessment is conducted through structured qualitative comparison: Kiser compares patterns across types of taxes within countries, across countries at similar time periods, and within countries over time. He also uses process tracing to examine the causal mechanisms at work in specific historical episodes, such as the consolidation of English and French tax farms and the timing of the shift from tax farming to state administration relative to political revolutions (p. 295–300). For the key methodological assumptions to hold, several conditions must be met: rulers must be reasonably approximated as rational revenue-maximizers; the structural factors identified (control technologies, country size, tax type, ruler autonomy) must be the primary determinants of control capacity; and the secondary historical sources must provide reasonably accurate accounts of the fiscal institutions described. Kiser acknowledges that the data are not adequate for systematic testing and that the results should be treated as preliminary (p. 295, 303).</w:t>
      </w:r>
    </w:p>
    <w:p w14:paraId="0B49069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凯泽采用了以理性选择理论，特别是委托-代理（代理）理论为指导的</w:t>
      </w:r>
      <w:r>
        <w:rPr>
          <w:rStyle w:val="8"/>
          <w:rFonts w:hint="default" w:ascii="Times New Roman Regular" w:hAnsi="Times New Roman Regular" w:cs="Times New Roman Regular" w:eastAsiaTheme="minorEastAsia"/>
        </w:rPr>
        <w:t>比较历史分析方法</w:t>
      </w:r>
      <w:r>
        <w:rPr>
          <w:rFonts w:hint="default" w:ascii="Times New Roman Regular" w:hAnsi="Times New Roman Regular" w:cs="Times New Roman Regular" w:eastAsiaTheme="minorEastAsia"/>
        </w:rPr>
        <w:t>。其方法是从理论模型中推导出一组可检验的命题，然后对照多个早期现代国家的历史记录评估其合理性。文章陈述了七个正式命题（第294–295页）：（1）控制代理人的难度越大，使用包税制的程度越高；（2）包税制用于间接税比直接税更为普遍；（3）较大的国家更多使用包税制；（4）统治者自主性越高，包税制越多；（5）控制技术越发达，包税制越少；（6）在不同体系之间切换将是常见的；（7）包税场的薪资将更高、监督将更好、控制技术的创新将更快。然后，每个命题都对照所考察案例的可用历史证据进行评估。评估通过结构化的定性比较进行：凯泽比较了同一国家内不同税种之间的模式、相似时期不同国家之间的模式，以及同一国家内随时间变化的模式。他还使用过程追踪来考察特定历史事件中运作的因果机制，如英法包税场的整合以及从包税制向国家行政征收转变的时机与政治革命之间的关系（第295–300页）。为使关键方法论假设成立，需要满足若干条件：统治者必须可以合理地近似为理性的收入最大化者；所识别的结构性因素（控制技术、国家规模、税种、统治者自主性）必须是控制能力的主要决定因素；二手历史文献必须提供对所描述财政制度的合理准确的记述。凯泽承认数据不足以进行系统性检验，结果应被视为初步性的（第295、303页）。</w:t>
      </w:r>
    </w:p>
    <w:p w14:paraId="74C1E63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728B5A51">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Contribution: What would the academia see as the reading</w:t>
      </w:r>
      <w:r>
        <w:rPr>
          <w:rFonts w:hint="default" w:ascii="Times New Roman Regular" w:hAnsi="Times New Roman Regular" w:cs="Times New Roman Regular" w:eastAsiaTheme="minorEastAsia"/>
          <w:lang w:val="en-US"/>
        </w:rPr>
        <w:t>’s</w:t>
      </w:r>
      <w:r>
        <w:rPr>
          <w:rFonts w:hint="default" w:ascii="Times New Roman Regular" w:hAnsi="Times New Roman Regular" w:cs="Times New Roman Regular" w:eastAsiaTheme="minorEastAsia"/>
        </w:rPr>
        <w:t xml:space="preserve"> main contribution? / 学术贡献：学界如何看待该文献的主要贡献？</w:t>
      </w:r>
    </w:p>
    <w:p w14:paraId="481A5C6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article makes several important contributions that would be recognized by scholars in political science, historical sociology, and economic history. First, and most significantly, Kiser offers a </w:t>
      </w:r>
      <w:r>
        <w:rPr>
          <w:rStyle w:val="8"/>
          <w:rFonts w:hint="default" w:ascii="Times New Roman Regular" w:hAnsi="Times New Roman Regular" w:cs="Times New Roman Regular" w:eastAsiaTheme="minorEastAsia"/>
        </w:rPr>
        <w:t>new theoretical framework</w:t>
      </w:r>
      <w:r>
        <w:rPr>
          <w:rFonts w:hint="default" w:ascii="Times New Roman Regular" w:hAnsi="Times New Roman Regular" w:cs="Times New Roman Regular" w:eastAsiaTheme="minorEastAsia"/>
        </w:rPr>
        <w:t xml:space="preserve"> that applies principal-agent theory — originally developed in economics to analyze the firm — to the analysis of state fiscal institutions. This represents an innovative bridge between rational choice institutionalism and comparative-historical analysis, demonstrating that formal microeconomic models of organizational design can be productively applied to the study of premodern state building (p. 289–290). Second, Kiser provides a </w:t>
      </w:r>
      <w:r>
        <w:rPr>
          <w:rStyle w:val="8"/>
          <w:rFonts w:hint="default" w:ascii="Times New Roman Regular" w:hAnsi="Times New Roman Regular" w:cs="Times New Roman Regular" w:eastAsiaTheme="minorEastAsia"/>
        </w:rPr>
        <w:t>major reinterpretation of tax farming</w:t>
      </w:r>
      <w:r>
        <w:rPr>
          <w:rFonts w:hint="default" w:ascii="Times New Roman Regular" w:hAnsi="Times New Roman Regular" w:cs="Times New Roman Regular" w:eastAsiaTheme="minorEastAsia"/>
        </w:rPr>
        <w:t xml:space="preserve">, challenging the longstanding consensus (from Adam Smith /ˈædəm smɪθ/ through Weber /ˈveɪbər/ to Webber /ˈwɛbər/ and Wildavsky /wɪlˈdævski/) that tax farming was inherently inefficient. By arguing that tax farming was often the most efficient system given prevailing structural constraints, Kiser reframes the history of fiscal state building as a story of rational adaptation to changing conditions rather than a teleological march toward bureaucratic rationality (p. 302–303). Third, the article systematically evaluates and compares </w:t>
      </w:r>
      <w:r>
        <w:rPr>
          <w:rStyle w:val="8"/>
          <w:rFonts w:hint="default" w:ascii="Times New Roman Regular" w:hAnsi="Times New Roman Regular" w:cs="Times New Roman Regular" w:eastAsiaTheme="minorEastAsia"/>
        </w:rPr>
        <w:t>multiple alternative explanations</w:t>
      </w:r>
      <w:r>
        <w:rPr>
          <w:rFonts w:hint="default" w:ascii="Times New Roman Regular" w:hAnsi="Times New Roman Regular" w:cs="Times New Roman Regular" w:eastAsiaTheme="minorEastAsia"/>
        </w:rPr>
        <w:t xml:space="preserve"> — the insurance/predictability argument, Williamson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/ˈwɪljəmsənz/ transaction costs theory, North</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/nɔːrθs/ arguments about institutional change, Levi</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/ˈliːvaɪz/ power/dependence model, and Webber and Wildavsky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political culture argument — finding that agency theory can generate additional predictions that the alternatives cannot, particularly regarding variations over time and across countries (p. 286–289, 304). Fourth, the article contributes a </w:t>
      </w:r>
      <w:r>
        <w:rPr>
          <w:rStyle w:val="8"/>
          <w:rFonts w:hint="default" w:ascii="Times New Roman Regular" w:hAnsi="Times New Roman Regular" w:cs="Times New Roman Regular" w:eastAsiaTheme="minorEastAsia"/>
        </w:rPr>
        <w:t>rich comparative-historical dataset</w:t>
      </w:r>
      <w:r>
        <w:rPr>
          <w:rFonts w:hint="default" w:ascii="Times New Roman Regular" w:hAnsi="Times New Roman Regular" w:cs="Times New Roman Regular" w:eastAsiaTheme="minorEastAsia"/>
        </w:rPr>
        <w:t xml:space="preserve"> synthesizing evidence from nine different early modern polities, providing a broader empirical base than most prior studies which tended to focus on a single country.</w:t>
      </w:r>
    </w:p>
    <w:p w14:paraId="4DB64D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这篇文章做出了若干重要贡献，会得到政治学、历史社会学和经济史领域学者的认可。首先，也是最重要的，凯泽提供了一个</w:t>
      </w:r>
      <w:r>
        <w:rPr>
          <w:rStyle w:val="8"/>
          <w:rFonts w:hint="default" w:ascii="Times New Roman Regular" w:hAnsi="Times New Roman Regular" w:cs="Times New Roman Regular" w:eastAsiaTheme="minorEastAsia"/>
        </w:rPr>
        <w:t>新的理论框架</w:t>
      </w:r>
      <w:r>
        <w:rPr>
          <w:rFonts w:hint="default" w:ascii="Times New Roman Regular" w:hAnsi="Times New Roman Regular" w:cs="Times New Roman Regular" w:eastAsiaTheme="minorEastAsia"/>
        </w:rPr>
        <w:t>，将最初在经济学中发展起来用于分析企业的委托-代理理论应用于国家财政制度的分析。这代表了理性选择制度主义与比较历史分析之间的创新性桥梁，表明组织设计的形式微观经济模型可以有效地应用于前现代国家建设的研究（第289–290页）。其次，凯泽对包税制进行了</w:t>
      </w:r>
      <w:r>
        <w:rPr>
          <w:rStyle w:val="8"/>
          <w:rFonts w:hint="default" w:ascii="Times New Roman Regular" w:hAnsi="Times New Roman Regular" w:cs="Times New Roman Regular" w:eastAsiaTheme="minorEastAsia"/>
        </w:rPr>
        <w:t>重大的重新解释</w:t>
      </w:r>
      <w:r>
        <w:rPr>
          <w:rFonts w:hint="default" w:ascii="Times New Roman Regular" w:hAnsi="Times New Roman Regular" w:cs="Times New Roman Regular" w:eastAsiaTheme="minorEastAsia"/>
        </w:rPr>
        <w:t>，挑战了从亚当·斯密 /ˈædəm smɪθ/ 到韦伯 /ˈveɪbər/，再到韦伯尔 /ˈwɛbər/ 和怀尔达夫斯基 /wɪlˈdævski/ 以来关于包税制天然低效的长期共识。通过论证包税制在当时的结构性约束条件下往往是最有效的制度，凯泽将财政国家建设的历史重新框定为对变化条件的理性适应，而非向官僚理性的目的论式进军（第302–303页）。第三，文章系统地评估和比较了</w:t>
      </w:r>
      <w:r>
        <w:rPr>
          <w:rStyle w:val="8"/>
          <w:rFonts w:hint="default" w:ascii="Times New Roman Regular" w:hAnsi="Times New Roman Regular" w:cs="Times New Roman Regular" w:eastAsiaTheme="minorEastAsia"/>
        </w:rPr>
        <w:t>多种替代性解释</w:t>
      </w:r>
      <w:r>
        <w:rPr>
          <w:rFonts w:hint="default" w:ascii="Times New Roman Regular" w:hAnsi="Times New Roman Regular" w:cs="Times New Roman Regular" w:eastAsiaTheme="minorEastAsia"/>
        </w:rPr>
        <w:t>——保险/可预测性论点、威廉姆森 /ˈwɪljəmsənz/ 的交易成本理论、诺斯 /nɔːrθs/ 关于制度变迁的论点、列维 /ˈliːvaɪz/ 的权力/依赖模型，以及韦伯尔和怀尔达夫斯基的政治文化论点——发现代理理论能够产生替代理论无法产生的额外预测，特别是关于时间变化和跨国变异（第286–289、304页）。第四，文章贡献了一个</w:t>
      </w:r>
      <w:r>
        <w:rPr>
          <w:rStyle w:val="8"/>
          <w:rFonts w:hint="default" w:ascii="Times New Roman Regular" w:hAnsi="Times New Roman Regular" w:cs="Times New Roman Regular" w:eastAsiaTheme="minorEastAsia"/>
        </w:rPr>
        <w:t>丰富的比较历史数据集</w:t>
      </w:r>
      <w:r>
        <w:rPr>
          <w:rFonts w:hint="default" w:ascii="Times New Roman Regular" w:hAnsi="Times New Roman Regular" w:cs="Times New Roman Regular" w:eastAsiaTheme="minorEastAsia"/>
        </w:rPr>
        <w:t>，综合了九个不同早期现代政体的证据，提供了比大多数先前单一国家研究更广泛的经验基础。</w:t>
      </w:r>
    </w:p>
    <w:p w14:paraId="01B1ABB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6" o:spt="1" style="height:1.5pt;width:432pt;" fillcolor="#A0A0A0" filled="t" stroked="f" coordsize="21600,21600" o:hr="t" o:hrstd="t" o:hralign="center">
            <v:path/>
            <v:fill on="t" focussize="0,0"/>
            <v:stroke on="f"/>
            <v:imagedata o:title=""/>
            <o:lock v:ext="edit"/>
            <w10:wrap type="none"/>
            <w10:anchorlock/>
          </v:rect>
        </w:pict>
      </w:r>
    </w:p>
    <w:p w14:paraId="5DD885C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Suggestions: What would professional scholars and researchers identify as limitations? / 建议：专业学者会指出哪些局限性？</w:t>
      </w:r>
    </w:p>
    <w:p w14:paraId="1779ED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Professional scholars would likely identify several limitations:</w:t>
      </w:r>
    </w:p>
    <w:p w14:paraId="0A1A314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Data limitations and lack of systematic testing.</w:t>
      </w:r>
      <w:r>
        <w:rPr>
          <w:rFonts w:hint="default" w:ascii="Times New Roman Regular" w:hAnsi="Times New Roman Regular" w:cs="Times New Roman Regular" w:eastAsiaTheme="minorEastAsia"/>
        </w:rPr>
        <w:t xml:space="preserve"> Kiser himself acknowledges that the data are preliminary and not adequate for systematic hypothesis testing (p. 295). The evidence is drawn entirely from secondary sources, and the assessments of propositions are impressionistic rather than based on systematic coding or statistical analysis. Scholars would suggest that future work should develop more systematic datasets — perhaps coding each tax-country-period unit for the form of collection, control technology levels, ruler autonomy, and other variables — to permit more rigorous cross-case comparison or even quantitative analysis.</w:t>
      </w:r>
    </w:p>
    <w:p w14:paraId="532AF8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Potential selection bias in case coverage.</w:t>
      </w:r>
      <w:r>
        <w:rPr>
          <w:rFonts w:hint="default" w:ascii="Times New Roman Regular" w:hAnsi="Times New Roman Regular" w:cs="Times New Roman Regular" w:eastAsiaTheme="minorEastAsia"/>
        </w:rPr>
        <w:t xml:space="preserve"> The cases examined are predominantly Western European, with only brief coverage of China, Russia, and the Ottoman Empire. The theory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applicability to non-European fiscal systems remains largely untested. Scholars would recommend extending the analysis to a wider range of polities, including those in South and Southeast Asia, the Islamic world, and pre-Columbian Americas, to assess the generalizability of the framework.</w:t>
      </w:r>
    </w:p>
    <w:p w14:paraId="1BDCA6A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The autonomy variable performs poorly.</w:t>
      </w:r>
      <w:r>
        <w:rPr>
          <w:rFonts w:hint="default" w:ascii="Times New Roman Regular" w:hAnsi="Times New Roman Regular" w:cs="Times New Roman Regular" w:eastAsiaTheme="minorEastAsia"/>
        </w:rPr>
        <w:t xml:space="preserve"> Kiser finds that ruler autonomy does not work well as a predictor: Prussia /ˈprʌʃə/ had high ruler autonomy but did not use tax farming, while the Netherlands /ˈnɛðərləndz/ had no autonomous absolute monarch but did use tax farming (p. 300, 305). This significant anomaly is left largely unresolved. Scholars would suggest either reconceptualizing the autonomy variable (perhaps as a threshold rather than linear effect, as Kiser tentatively suggests in note 160, p. 315) or incorporating additional mediating variables.</w:t>
      </w:r>
    </w:p>
    <w:p w14:paraId="6B34642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Endogeneity and reverse causality.</w:t>
      </w:r>
      <w:r>
        <w:rPr>
          <w:rFonts w:hint="default" w:ascii="Times New Roman Regular" w:hAnsi="Times New Roman Regular" w:cs="Times New Roman Regular" w:eastAsiaTheme="minorEastAsia"/>
        </w:rPr>
        <w:t xml:space="preserve"> The relationship between tax farming and control technologies may be endogenous: as Kiser himself shows, the consolidation of tax farms spurred the development of sophisticated administrative techniques that were later adopted by state bureaucracies (p. 299–300). This raises the question of whether control technology drives the choice of fiscal system or whether the fiscal system drives the development of control technology. Scholars would recommend more careful process tracing or the identification of exogenous shocks to control technology (such as specific innovations in record-keeping or transportation) to disentangle this relationship.</w:t>
      </w:r>
    </w:p>
    <w:p w14:paraId="2F33237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Undertheorized role of political conflict and collective action.</w:t>
      </w:r>
      <w:r>
        <w:rPr>
          <w:rFonts w:hint="default" w:ascii="Times New Roman Regular" w:hAnsi="Times New Roman Regular" w:cs="Times New Roman Regular" w:eastAsiaTheme="minorEastAsia"/>
        </w:rPr>
        <w:t xml:space="preserve"> The framework focuses heavily on the ruler-as-principal and treats the choice of fiscal system as primarily a top-down decision. It gives relatively little attention to the role of taxpayer resistance, elite bargaining, parliamentary politics, and social movements in shaping fiscal institutions. While Kiser notes that taxpayers are formally outside the agency relation (p. 290), their collective action clearly shaped fiscal outcomes (as the attacks on tax farmers during the French Revolution illustrate, p. 299). Scholars would recommend integrating insights from fiscal sociology and the literature on taxation and representation to provide a more complete account of the political determinants of fiscal structure.</w:t>
      </w:r>
    </w:p>
    <w:p w14:paraId="7798D7D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专业学者可能会指出以下几个局限性：</w:t>
      </w:r>
    </w:p>
    <w:p w14:paraId="3B17DDB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（1）数据局限和缺乏系统性检验。</w:t>
      </w:r>
      <w:r>
        <w:rPr>
          <w:rFonts w:hint="default" w:ascii="Times New Roman Regular" w:hAnsi="Times New Roman Regular" w:cs="Times New Roman Regular" w:eastAsiaTheme="minorEastAsia"/>
        </w:rPr>
        <w:t xml:space="preserve"> 凯泽自己承认数据是初步性的，不足以进行系统性假设检验（第295页）。证据完全来自二手文献，对命题的评估是印象式的，而非基于系统性编码或统计分析。学者会建议未来研究应开发更系统的数据集——或许可以对每个税种-国家-时段单位编码其征集形式、控制技术水平、统治者自主性和其他变量——以允许更严格的跨案例比较甚至定量分析。</w:t>
      </w:r>
    </w:p>
    <w:p w14:paraId="5D05BBF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（2）案例覆盖的潜在选择偏差。</w:t>
      </w:r>
      <w:r>
        <w:rPr>
          <w:rFonts w:hint="default" w:ascii="Times New Roman Regular" w:hAnsi="Times New Roman Regular" w:cs="Times New Roman Regular" w:eastAsiaTheme="minorEastAsia"/>
        </w:rPr>
        <w:t xml:space="preserve"> 所考察的案例以西欧为主，对中国、俄罗斯和奥斯曼帝国的覆盖只是简略的。该理论对非欧洲财政体系的适用性在很大程度上未经检验。学者会建议将分析扩展到更广泛的政体范围，包括南亚和东南亚、伊斯兰世界和前哥伦布美洲的政体，以评估该框架的可推广性。</w:t>
      </w:r>
    </w:p>
    <w:p w14:paraId="547BFB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（3）自主性变量表现不佳。</w:t>
      </w:r>
      <w:r>
        <w:rPr>
          <w:rFonts w:hint="default" w:ascii="Times New Roman Regular" w:hAnsi="Times New Roman Regular" w:cs="Times New Roman Regular" w:eastAsiaTheme="minorEastAsia"/>
        </w:rPr>
        <w:t xml:space="preserve"> 凯泽发现统治者自主性作为预测变量效果不好：普鲁士 /ˈprʌʃə/ 拥有高度统治者自主性但不使用包税制，而尼德兰 /ˈnɛðərləndz/ 没有自主的绝对君主却使用包税制（第300、305页）。这一重大异常在很大程度上未得到解决。学者会建议重新概念化自主性变量（或许如凯泽在注释160第315页中试探性建议的那样，将其视为阈值效应而非线性效应），或纳入额外的中介变量。</w:t>
      </w:r>
    </w:p>
    <w:p w14:paraId="17D181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（4）内生性和反向因果。</w:t>
      </w:r>
      <w:r>
        <w:rPr>
          <w:rFonts w:hint="default" w:ascii="Times New Roman Regular" w:hAnsi="Times New Roman Regular" w:cs="Times New Roman Regular" w:eastAsiaTheme="minorEastAsia"/>
        </w:rPr>
        <w:t xml:space="preserve"> 包税制与控制技术之间的关系可能是内生的：如凯泽自己所展示的，包税场的整合推动了精密行政技术的发展，这些技术后来被国家官僚机构采用（第299–300页）。这引发了一个问题：到底是控制技术驱动了财政制度的选择，还是财政制度驱动了控制技术的发展？学者会建议进行更细致的过程追踪，或识别对控制技术的外生冲击（如档案记录或交通运输中的具体创新），以厘清这一关系。</w:t>
      </w:r>
    </w:p>
    <w:p w14:paraId="4DE193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（5）政治冲突和集体行动的作用理论化不足。</w:t>
      </w:r>
      <w:r>
        <w:rPr>
          <w:rFonts w:hint="default" w:ascii="Times New Roman Regular" w:hAnsi="Times New Roman Regular" w:cs="Times New Roman Regular" w:eastAsiaTheme="minorEastAsia"/>
        </w:rPr>
        <w:t xml:space="preserve"> 该框架过于聚焦于作为委托人的统治者，将财政制度的选择主要视为自上而下的决策。它对纳税人抵抗、精英谈判、议会政治和社会运动在塑造财政制度中的作用关注相对不足。虽然凯泽指出纳税人在形式上处于代理关系之外（第290页），但他们的集体行动显然塑造了财政结果（如法国大革命期间对包税人的攻击所表明的那样，第299页）。学者会建议整合财政社会学以及关于税收与代表制文献的洞见，以提供对财政结构政治决定因素的更完整解释。</w:t>
      </w:r>
    </w:p>
    <w:p w14:paraId="1D3ED28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7" o:spt="1" style="height:1.5pt;width:432pt;" fillcolor="#A0A0A0" filled="t" stroked="f" coordsize="21600,21600" o:hr="t" o:hrstd="t" o:hralign="center">
            <v:path/>
            <v:fill on="t" focussize="0,0"/>
            <v:stroke on="f"/>
            <v:imagedata o:title=""/>
            <o:lock v:ext="edit"/>
            <w10:wrap type="none"/>
            <w10:anchorlock/>
          </v:rect>
        </w:pict>
      </w:r>
    </w:p>
    <w:p w14:paraId="605C23A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Extensions: What potential extensions or new research questions are inspired by this paper? / 延伸：这篇论文启发了哪些潜在的研究延伸或新研究问题？</w:t>
      </w:r>
    </w:p>
    <w:p w14:paraId="792FE5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Professional scholars would propose several promising extensions:</w:t>
      </w:r>
    </w:p>
    <w:p w14:paraId="755FBA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Formal modeling of the ruler</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eastAsiaTheme="minorEastAsia"/>
        </w:rPr>
        <w:t xml:space="preserve"> optimization problem.</w:t>
      </w:r>
      <w:r>
        <w:rPr>
          <w:rFonts w:hint="default" w:ascii="Times New Roman Regular" w:hAnsi="Times New Roman Regular" w:cs="Times New Roman Regular" w:eastAsiaTheme="minorEastAsia"/>
        </w:rPr>
        <w:t xml:space="preserve"> Kiser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argument is stated verbally rather than in a formal mathematical model. A natural extension would be to construct a formal principal-agent model in which a ruler chooses between fixed-salary contracts, residual-claimant contracts, and proportional-payment contracts as a function of monitoring costs, the variability of the tax base, and the agent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outside options. Such a model could generate sharper comparative static predictions and identify conditions under which intermediate forms (proportional payment) dominate the corner solutions.</w:t>
      </w:r>
    </w:p>
    <w:p w14:paraId="12DCC7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Quantitative testing with systematic data.</w:t>
      </w:r>
      <w:r>
        <w:rPr>
          <w:rFonts w:hint="default" w:ascii="Times New Roman Regular" w:hAnsi="Times New Roman Regular" w:cs="Times New Roman Regular" w:eastAsiaTheme="minorEastAsia"/>
        </w:rPr>
        <w:t xml:space="preserve"> The most obvious extension is to construct a systematic dataset covering the form of tax collection for all major taxes in all major European (and non-European) polities across the early modern period, and to use this dataset for quantitative analysis — panel regressions, event-history analysis of transitions between systems, or matching methods to compare otherwise-similar taxes collected under different institutional arrangements. The work of scholars such as Mark Dincecco /dɪnˈtʃɛkoʊ/ on European fiscal capacity provides a model for how such quantitative work might proceed.</w:t>
      </w:r>
    </w:p>
    <w:p w14:paraId="2751CF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Extension to contemporary developing states.</w:t>
      </w:r>
      <w:r>
        <w:rPr>
          <w:rFonts w:hint="default" w:ascii="Times New Roman Regular" w:hAnsi="Times New Roman Regular" w:cs="Times New Roman Regular" w:eastAsiaTheme="minorEastAsia"/>
        </w:rPr>
        <w:t xml:space="preserve"> Kiser notes in passing that many features of early modern fiscal systems persist in contemporary developing countries (note 148, p. 314). A fruitful extension would be to apply the principal-agent framework to the study of tax collection in contemporary states where rulers face similar control problems — for example, the use of outsourced tax collection in sub-Saharan Africa, the contracting out of customs collection to firms like SGS or Cotecna, or the rise of digital tax administration technologies as a modern analogue to the control technologies Kiser emphasizes.</w:t>
      </w:r>
    </w:p>
    <w:p w14:paraId="7A464B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The micro-politics of tax farming contracts.</w:t>
      </w:r>
      <w:r>
        <w:rPr>
          <w:rFonts w:hint="default" w:ascii="Times New Roman Regular" w:hAnsi="Times New Roman Regular" w:cs="Times New Roman Regular" w:eastAsiaTheme="minorEastAsia"/>
        </w:rPr>
        <w:t xml:space="preserve"> Kiser treats the auction process and the terms of tax farming contracts as largely given, but the design of these contracts is itself an important object of study. How were bidding processes structured? How did rulers set reserve prices? How did the terms of contracts (duration, penalties for default, provisions regarding loans) evolve over time, and how did these contract design features affect the efficiency and distributional consequences of tax farming? Archival research on surviving tax farming contracts could provide rich micro-level data to address these questions.</w:t>
      </w:r>
    </w:p>
    <w:p w14:paraId="0972F3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The relationship between fiscal institutions and economic development.</w:t>
      </w:r>
      <w:r>
        <w:rPr>
          <w:rFonts w:hint="default" w:ascii="Times New Roman Regular" w:hAnsi="Times New Roman Regular" w:cs="Times New Roman Regular" w:eastAsiaTheme="minorEastAsia"/>
        </w:rPr>
        <w:t xml:space="preserve"> Kiser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framework implies that the choice of fiscal system has consequences for economic development (since overtaxation by short-term tax farmers can damage the tax base), but this implication is not systematically explored. An important extension would be to examine whether regions or countries that relied more heavily on tax farming experienced different patterns of economic growth, investment, or commercial development than those that relied more on state administration — and whether the type of tax farming (short-term versus lifetime contracts, fragmented versus consolidated farms) mattered for these outcomes.</w:t>
      </w:r>
    </w:p>
    <w:p w14:paraId="4B2ABE8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(6) Integrating the demand side: taxpayer compliance and resistance.</w:t>
      </w:r>
      <w:r>
        <w:rPr>
          <w:rFonts w:hint="default" w:ascii="Times New Roman Regular" w:hAnsi="Times New Roman Regular" w:cs="Times New Roman Regular" w:eastAsiaTheme="minorEastAsia"/>
        </w:rPr>
        <w:t xml:space="preserve"> The framework could be enriched by integrating a more systematic analysis of taxpayer behavior. Under what conditions do taxpayers prefer one system over another? When does taxpayer resistance constrain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choice of fiscal system? How do different fiscal institutions affect the development of fiscal legitimacy and voluntary compliance? These questions connect Kiser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framework to the broader literatures on taxation and state legitimacy, consent and coercion in state building, and the fiscal contract between rulers and ruled.</w:t>
      </w:r>
    </w:p>
    <w:p w14:paraId="43953B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专业学者会提出若干有前景的研究延伸：</w:t>
      </w:r>
    </w:p>
    <w:p w14:paraId="262C5C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（1）对统治者优化问题的形式化建模。</w:t>
      </w:r>
      <w:r>
        <w:rPr>
          <w:rFonts w:hint="default" w:ascii="Times New Roman Regular" w:hAnsi="Times New Roman Regular" w:cs="Times New Roman Regular" w:eastAsiaTheme="minorEastAsia"/>
        </w:rPr>
        <w:t xml:space="preserve"> 凯泽的论点是以文字而非正式数学模型的方式陈述的。一个自然的延伸是构建一个正式的委托-代理模型，其中统治者根据监督成本、税基的波动性和代理人的外部选择权，在固定薪资合同、剩余索取权合同和比例支付合同之间做出选择。这样的模型可以产生更精确的比较静态预测，并识别出中间形式（比例支付）主导角点解的条件。</w:t>
      </w:r>
    </w:p>
    <w:p w14:paraId="701793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（2）用系统数据进行定量检验。</w:t>
      </w:r>
      <w:r>
        <w:rPr>
          <w:rFonts w:hint="default" w:ascii="Times New Roman Regular" w:hAnsi="Times New Roman Regular" w:cs="Times New Roman Regular" w:eastAsiaTheme="minorEastAsia"/>
        </w:rPr>
        <w:t xml:space="preserve"> 最明显的延伸是构建一个系统性数据集，覆盖早期现代时期所有主要欧洲（和非欧洲）政体中所有主要税种的征集形式，并利用该数据集进行定量分析——面板回归、制度转型的事件史分析，或匹配方法以比较在不同制度安排下征收的其他方面相似的税种。如马克·丁切科 /dɪnˈtʃɛkoʊ/ 等学者关于欧洲财政能力的研究提供了此类定量工作的范例。</w:t>
      </w:r>
    </w:p>
    <w:p w14:paraId="375ED6C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（3）向当代发展中国家的延伸。</w:t>
      </w:r>
      <w:r>
        <w:rPr>
          <w:rFonts w:hint="default" w:ascii="Times New Roman Regular" w:hAnsi="Times New Roman Regular" w:cs="Times New Roman Regular" w:eastAsiaTheme="minorEastAsia"/>
        </w:rPr>
        <w:t xml:space="preserve"> 凯泽顺带提到早期现代财政体系的许多特征在当代发展中国家持续存在（注释148，第314页）。一个富有成果的延伸是将委托-代理框架应用于当代国家税收征集的研究，在这些国家中统治者面临类似的控制问题——例如撒哈拉以南非洲的外包税收征集、将海关征收外包给SGS或Cotecna等公司，或数字化税收管理技术的兴起（作为凯泽所强调的控制技术的现代类比）。</w:t>
      </w:r>
    </w:p>
    <w:p w14:paraId="05D533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（4）包税合同的微观政治。</w:t>
      </w:r>
      <w:r>
        <w:rPr>
          <w:rFonts w:hint="default" w:ascii="Times New Roman Regular" w:hAnsi="Times New Roman Regular" w:cs="Times New Roman Regular" w:eastAsiaTheme="minorEastAsia"/>
        </w:rPr>
        <w:t xml:space="preserve"> 凯泽将拍卖过程和包税合同条款基本视为既定的，但这些合同的设计本身就是一个重要的研究对象。竞标过程如何结构化？统治者如何设定底价？合同条款（期限、违约惩罚、贷款条款）如何随时间演变，这些合同设计特征如何影响包税制的效率和分配后果？对留存包税合同的档案研究可以提供丰富的微观层面数据来回答这些问题。</w:t>
      </w:r>
    </w:p>
    <w:p w14:paraId="7C1DFD2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（5）财政制度与经济发展的关系。</w:t>
      </w:r>
      <w:r>
        <w:rPr>
          <w:rFonts w:hint="default" w:ascii="Times New Roman Regular" w:hAnsi="Times New Roman Regular" w:cs="Times New Roman Regular" w:eastAsiaTheme="minorEastAsia"/>
        </w:rPr>
        <w:t xml:space="preserve"> 凯泽的框架暗示财政制度的选择对经济发展有后果（因为短期包税人的过度征税可能损害税基），但这一含义没有被系统探索。一个重要的延伸是考察更多依赖包税制的地区或国家是否经历了不同于更多依赖国家行政征收的地区或国家的经济增长、投资或商业发展模式——以及包税制的类型（短期合同与终身合同、分散包税场与整合包税场）是否对这些结果有影响。</w:t>
      </w:r>
    </w:p>
    <w:p w14:paraId="12E02B9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（6）整合需求侧：纳税人合规与抵抗。</w:t>
      </w:r>
      <w:r>
        <w:rPr>
          <w:rFonts w:hint="default" w:ascii="Times New Roman Regular" w:hAnsi="Times New Roman Regular" w:cs="Times New Roman Regular" w:eastAsiaTheme="minorEastAsia"/>
        </w:rPr>
        <w:t xml:space="preserve"> 该框架可以通过整合对纳税人行为的更系统分析来丰富。在什么条件下纳税人偏好一种制度而非另一种？纳税人抵抗何时约束统治者的财政制度选择？不同的财政制度如何影响财政合法性和自愿合规的发展？这些问题将凯泽的框架与关于税收与国家合法性、国家建设中的同意与强制、以及统治者与被统治者之间财政契约的更广泛文献联系起来。</w:t>
      </w:r>
    </w:p>
    <w:p w14:paraId="656B24B1">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lang w:val="en-US"/>
        </w:rPr>
      </w:pPr>
      <w:r>
        <w:rPr>
          <w:rFonts w:hint="default" w:ascii="Times New Roman Regular" w:hAnsi="Times New Roman Regular" w:cs="Times New Roman Regular" w:eastAsiaTheme="minorEastAsia"/>
        </w:rPr>
        <w:t xml:space="preserve">Lecture Notes: </w:t>
      </w:r>
      <w:r>
        <w:rPr>
          <w:rFonts w:hint="default" w:ascii="Times New Roman Regular" w:hAnsi="Times New Roman Regular" w:cs="Times New Roman Regular" w:eastAsiaTheme="minorEastAsia"/>
          <w:lang w:val="en-US"/>
        </w:rPr>
        <w:t>“Size and Dynastic Decline: The Principal-Agent Problem in Late Imperial China, 1700–1850”</w:t>
      </w:r>
    </w:p>
    <w:p w14:paraId="16A14CAD">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讲义：《规模与王朝衰落：晚期中华帝国的委托—代理问题，1700—1850》</w:t>
      </w:r>
    </w:p>
    <w:p w14:paraId="10F512B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8" o:spt="1" style="height:1.5pt;width:432pt;" fillcolor="#A0A0A0" filled="t" stroked="f" coordsize="21600,21600" o:hr="t" o:hrstd="t" o:hralign="center">
            <v:path/>
            <v:fill on="t" focussize="0,0"/>
            <v:stroke on="f"/>
            <v:imagedata o:title=""/>
            <o:lock v:ext="edit"/>
            <w10:wrap type="none"/>
            <w10:anchorlock/>
          </v:rect>
        </w:pict>
      </w:r>
    </w:p>
    <w:p w14:paraId="3DEC328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2A5370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lang w:val="en-US"/>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w:t>
      </w:r>
      <w:r>
        <w:rPr>
          <w:rFonts w:hint="default" w:ascii="Times New Roman Regular" w:hAnsi="Times New Roman Regular" w:cs="Times New Roman Regular"/>
          <w:lang w:val="en-US"/>
        </w:rPr>
        <w:t>“Size and Dynastic Decline: The Principal-Agent Problem in Late Imperial China, 1700–1850”</w:t>
      </w:r>
    </w:p>
    <w:p w14:paraId="7FDBBC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《规模与王朝衰落：晚期中华帝国的委托—代理问题，1700—1850》</w:t>
      </w:r>
    </w:p>
    <w:p w14:paraId="3C6F9A38">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39" o:spt="1" style="height:1.5pt;width:432pt;" fillcolor="#A0A0A0" filled="t" stroked="f" coordsize="21600,21600" o:hr="t" o:hrstd="t" o:hralign="center">
            <v:path/>
            <v:fill on="t" focussize="0,0"/>
            <v:stroke on="f"/>
            <v:imagedata o:title=""/>
            <o:lock v:ext="edit"/>
            <w10:wrap type="none"/>
            <w10:anchorlock/>
          </v:rect>
        </w:pict>
      </w:r>
    </w:p>
    <w:p w14:paraId="77BDE0D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12DD18E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Tuan-Hwee Sng /twɑːn hweɪ sŋ/, Department of Economics, National University of Singapore /ˌsɪŋəˈpɔːr/ (p. 107).</w:t>
      </w:r>
    </w:p>
    <w:p w14:paraId="04E6CEA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孙端辉（Tuan-Hwee Sng /twɑːn hweɪ sŋ/），新加坡国立大学（National University of Singapore /ˌsɪŋəˈpɔːr/）经济学系（第107页）。</w:t>
      </w:r>
    </w:p>
    <w:p w14:paraId="1DD27D8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0" o:spt="1" style="height:1.5pt;width:432pt;" fillcolor="#A0A0A0" filled="t" stroked="f" coordsize="21600,21600" o:hr="t" o:hrstd="t" o:hralign="center">
            <v:path/>
            <v:fill on="t" focussize="0,0"/>
            <v:stroke on="f"/>
            <v:imagedata o:title=""/>
            <o:lock v:ext="edit"/>
            <w10:wrap type="none"/>
            <w10:anchorlock/>
          </v:rect>
        </w:pict>
      </w:r>
    </w:p>
    <w:p w14:paraId="4DC800C7">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3A062BE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2014, published in </w:t>
      </w:r>
      <w:r>
        <w:rPr>
          <w:rStyle w:val="9"/>
          <w:rFonts w:hint="default" w:ascii="Times New Roman Regular" w:hAnsi="Times New Roman Regular" w:cs="Times New Roman Regular" w:eastAsiaTheme="minorEastAsia"/>
        </w:rPr>
        <w:t>Explorations in Economic History</w:t>
      </w:r>
      <w:r>
        <w:rPr>
          <w:rFonts w:hint="default" w:ascii="Times New Roman Regular" w:hAnsi="Times New Roman Regular" w:cs="Times New Roman Regular" w:eastAsiaTheme="minorEastAsia"/>
        </w:rPr>
        <w:t>, Volume 54, pages 107–127 (p. 107).</w:t>
      </w:r>
    </w:p>
    <w:p w14:paraId="6FAC2EB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2014年，发表于《经济史探索》（</w:t>
      </w:r>
      <w:r>
        <w:rPr>
          <w:rStyle w:val="9"/>
          <w:rFonts w:hint="default" w:ascii="Times New Roman Regular" w:hAnsi="Times New Roman Regular" w:cs="Times New Roman Regular" w:eastAsiaTheme="minorEastAsia"/>
        </w:rPr>
        <w:t>Explorations in Economic History</w:t>
      </w:r>
      <w:r>
        <w:rPr>
          <w:rFonts w:hint="default" w:ascii="Times New Roman Regular" w:hAnsi="Times New Roman Regular" w:cs="Times New Roman Regular" w:eastAsiaTheme="minorEastAsia"/>
        </w:rPr>
        <w:t>），第54卷，第107至127页（第107页）。</w:t>
      </w:r>
    </w:p>
    <w:p w14:paraId="436CF2A8">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1" o:spt="1" style="height:1.5pt;width:432pt;" fillcolor="#A0A0A0" filled="t" stroked="f" coordsize="21600,21600" o:hr="t" o:hrstd="t" o:hralign="center">
            <v:path/>
            <v:fill on="t" focussize="0,0"/>
            <v:stroke on="f"/>
            <v:imagedata o:title=""/>
            <o:lock v:ext="edit"/>
            <w10:wrap type="none"/>
            <w10:anchorlock/>
          </v:rect>
        </w:pict>
      </w:r>
    </w:p>
    <w:p w14:paraId="1E0BADE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DV: Main Dependent Variable / 因变量：主要因变量</w:t>
      </w:r>
    </w:p>
    <w:p w14:paraId="73D9E76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paper has multiple interconnected dependent variables, all revolving around </w:t>
      </w:r>
      <w:r>
        <w:rPr>
          <w:rStyle w:val="8"/>
          <w:rFonts w:hint="default" w:ascii="Times New Roman Regular" w:hAnsi="Times New Roman Regular" w:cs="Times New Roman Regular" w:eastAsiaTheme="minorEastAsia"/>
        </w:rPr>
        <w:t>state fiscal capacity and its decline</w:t>
      </w:r>
      <w:r>
        <w:rPr>
          <w:rFonts w:hint="default" w:ascii="Times New Roman Regular" w:hAnsi="Times New Roman Regular" w:cs="Times New Roman Regular" w:eastAsiaTheme="minorEastAsia"/>
        </w:rPr>
        <w:t>. The most important is the Qing /tʃɪŋ/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tax revenue over time, measured in both nominal silver taels, real terms (converted to rice equivalents), and per capita terms. The author shows that the Qing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real tax revenue peaked early in the eighteenth century and then contracted steadily even as the economy continued to grow (p. 109). Beyond aggregate revenue, the paper also examines the spatial distribution of land tax per capita across prefectures and the density of administrative units (number of counties per 10,000 km²), both measured circa 1820. Finally, the paper treats the decline in public goods provision—military strength and local administrative capacity—as downstream consequences of fiscal contraction (pp. 119–122). In sum, the dependent variable is fundamentally about </w:t>
      </w:r>
      <w:r>
        <w:rPr>
          <w:rStyle w:val="9"/>
          <w:rFonts w:hint="default" w:ascii="Times New Roman Regular" w:hAnsi="Times New Roman Regular" w:cs="Times New Roman Regular" w:eastAsiaTheme="minorEastAsia"/>
        </w:rPr>
        <w:t>why a large, stable, and outwardly powerful autocratic state was fiscally weak and grew progressively weaker over time</w:t>
      </w:r>
      <w:r>
        <w:rPr>
          <w:rFonts w:hint="default" w:ascii="Times New Roman Regular" w:hAnsi="Times New Roman Regular" w:cs="Times New Roman Regular" w:eastAsiaTheme="minorEastAsia"/>
        </w:rPr>
        <w:t>, and what this fiscal weakness meant for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respond to the crises of the nineteenth century.</w:t>
      </w:r>
    </w:p>
    <w:p w14:paraId="41FD531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本文有多个相互关联的因变量，全部围绕</w:t>
      </w:r>
      <w:r>
        <w:rPr>
          <w:rStyle w:val="8"/>
          <w:rFonts w:hint="default" w:ascii="Times New Roman Regular" w:hAnsi="Times New Roman Regular" w:cs="Times New Roman Regular" w:eastAsiaTheme="minorEastAsia"/>
        </w:rPr>
        <w:t>国家财政能力及其衰退</w:t>
      </w:r>
      <w:r>
        <w:rPr>
          <w:rFonts w:hint="default" w:ascii="Times New Roman Regular" w:hAnsi="Times New Roman Regular" w:cs="Times New Roman Regular" w:eastAsiaTheme="minorEastAsia"/>
        </w:rPr>
        <w:t>展开。最核心的因变量是清朝（Qing /tʃɪŋ/）国家的税收收入随时间的变化，以名义白银两、实际值（折算为大米等价物）和人均值三种方式衡量。作者表明，清朝的实际税收收入在十八世纪初达到峰值，此后即使经济持续增长，税收却稳步萎缩（第109页）。除总收入外，本文还考察了1820年前后各府的人均土地税的空间分布以及行政单位密度（每万平方公里的县数量）。最后，本文将公共物品供给的下降——军事力量与地方行政能力——视为财政萎缩的下游后果（第119至122页）。总之，因变量从根本上关注的是：</w:t>
      </w:r>
      <w:r>
        <w:rPr>
          <w:rStyle w:val="9"/>
          <w:rFonts w:hint="default" w:ascii="Times New Roman Regular" w:hAnsi="Times New Roman Regular" w:cs="Times New Roman Regular" w:eastAsiaTheme="minorEastAsia"/>
        </w:rPr>
        <w:t>为何一个庞大、稳定、外表强大的专制国家在财政上是虚弱的，并且随时间日益衰弱</w:t>
      </w:r>
      <w:r>
        <w:rPr>
          <w:rFonts w:hint="default" w:ascii="Times New Roman Regular" w:hAnsi="Times New Roman Regular" w:cs="Times New Roman Regular" w:eastAsiaTheme="minorEastAsia"/>
        </w:rPr>
        <w:t>，以及这种财政虚弱对中国应对十九世纪危机的能力意味着什么。</w:t>
      </w:r>
    </w:p>
    <w:p w14:paraId="1992C31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2" o:spt="1" style="height:1.5pt;width:432pt;" fillcolor="#A0A0A0" filled="t" stroked="f" coordsize="21600,21600" o:hr="t" o:hrstd="t" o:hralign="center">
            <v:path/>
            <v:fill on="t" focussize="0,0"/>
            <v:stroke on="f"/>
            <v:imagedata o:title=""/>
            <o:lock v:ext="edit"/>
            <w10:wrap type="none"/>
            <w10:anchorlock/>
          </v:rect>
        </w:pict>
      </w:r>
    </w:p>
    <w:p w14:paraId="035CBDB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IV: Main Independent Variable / 自变量：主要自变量</w:t>
      </w:r>
    </w:p>
    <w:p w14:paraId="68389E9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main independent variable is </w:t>
      </w:r>
      <w:r>
        <w:rPr>
          <w:rStyle w:val="8"/>
          <w:rFonts w:hint="default" w:ascii="Times New Roman Regular" w:hAnsi="Times New Roman Regular" w:cs="Times New Roman Regular" w:eastAsiaTheme="minorEastAsia"/>
        </w:rPr>
        <w:t>the size of the Chinese empire</w:t>
      </w:r>
      <w:r>
        <w:rPr>
          <w:rFonts w:hint="default" w:ascii="Times New Roman Regular" w:hAnsi="Times New Roman Regular" w:cs="Times New Roman Regular" w:eastAsiaTheme="minorEastAsia"/>
        </w:rPr>
        <w:t>, understood in two dimensions: geographic size and economic size. Geographic size refers to the physical extent of the territory that the emperor must govern from the capital Beijing /beɪˈdʒɪŋ/. It determines the severity of information asymmetry between the ruler (the principal) and his agents (local officials) scattered across the empire. The author operationalizes geographic size as the distance from each prefecture to Beijing, measured along imperial postal relay routes (p. 114). Economic size refers to the aggregate output of the economy (Y = AN, where A is agricultural output per capita and N is population). As the economy grows through population expansion—the Chinese population more than doubled from less than 150 million to over 400 million between 1650 and 1850 (p. 109, footnote 6)—the economic stakes at every administrative node increase, intensifying agent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incentives for corruption. Hence, the independent variable is not merely </w:t>
      </w:r>
      <w:r>
        <w:rPr>
          <w:rFonts w:hint="default" w:ascii="Times New Roman Regular" w:hAnsi="Times New Roman Regular" w:cs="Times New Roman Regular"/>
          <w:lang w:val="en-US"/>
        </w:rPr>
        <w:t>“bigness”</w:t>
      </w:r>
      <w:r>
        <w:rPr>
          <w:rFonts w:hint="default" w:ascii="Times New Roman Regular" w:hAnsi="Times New Roman Regular" w:cs="Times New Roman Regular" w:eastAsiaTheme="minorEastAsia"/>
        </w:rPr>
        <w:t xml:space="preserve"> in the static sense, but a dynamic interaction between territorial extent and economic expansion that progressively worsened the principal-agent problem over time.</w:t>
      </w:r>
    </w:p>
    <w:p w14:paraId="20B911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主要自变量是</w:t>
      </w:r>
      <w:r>
        <w:rPr>
          <w:rStyle w:val="8"/>
          <w:rFonts w:hint="default" w:ascii="Times New Roman Regular" w:hAnsi="Times New Roman Regular" w:cs="Times New Roman Regular" w:eastAsiaTheme="minorEastAsia"/>
        </w:rPr>
        <w:t>中华帝国的规模</w:t>
      </w:r>
      <w:r>
        <w:rPr>
          <w:rFonts w:hint="default" w:ascii="Times New Roman Regular" w:hAnsi="Times New Roman Regular" w:cs="Times New Roman Regular" w:eastAsiaTheme="minorEastAsia"/>
        </w:rPr>
        <w:t>，从两个维度理解：地理规模和经济规模。地理规模指的是皇帝必须从首都北京（Beijing /beɪˈdʒɪŋ/）治理的疆域物理范围。它决定了统治者（委托人）与散布帝国各地的代理人（地方官员）之间信息不对称的严重程度。作者将地理规模操作化为各府到北京的距离，沿帝国驿道路线度量（第114页）。经济规模指的是经济的总产出（Y = AN，其中A为人均农业产出，N为人口数量）。随着经济通过人口扩张而增长——中国人口从1650年不足1.5亿增长到1850年超过4亿（第109页，注释6）——每个行政节点的经济利益增加，加剧了代理人的腐败动机。因此，自变量不仅仅是静态意义上的</w:t>
      </w:r>
      <w:r>
        <w:rPr>
          <w:rFonts w:hint="default" w:ascii="Times New Roman Regular" w:hAnsi="Times New Roman Regular" w:cs="Times New Roman Regular"/>
          <w:lang w:val="en-US"/>
        </w:rPr>
        <w:t>“庞大”</w:t>
      </w:r>
      <w:r>
        <w:rPr>
          <w:rFonts w:hint="default" w:ascii="Times New Roman Regular" w:hAnsi="Times New Roman Regular" w:cs="Times New Roman Regular" w:eastAsiaTheme="minorEastAsia"/>
        </w:rPr>
        <w:t>，而是领土幅员与经济扩张之间的动态交互，随时间推移不断恶化委托—代理问题。</w:t>
      </w:r>
    </w:p>
    <w:p w14:paraId="7B05EB02">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3" o:spt="1" style="height:1.5pt;width:432pt;" fillcolor="#A0A0A0" filled="t" stroked="f" coordsize="21600,21600" o:hr="t" o:hrstd="t" o:hralign="center">
            <v:path/>
            <v:fill on="t" focussize="0,0"/>
            <v:stroke on="f"/>
            <v:imagedata o:title=""/>
            <o:lock v:ext="edit"/>
            <w10:wrap type="none"/>
            <w10:anchorlock/>
          </v:rect>
        </w:pict>
      </w:r>
    </w:p>
    <w:p w14:paraId="5AE24D8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Stateness: Conceptualization and Measurement / 国家性：概念化与度量</w:t>
      </w:r>
    </w:p>
    <w:p w14:paraId="37415D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Sng conceptualizes the Chinese state as a </w:t>
      </w:r>
      <w:r>
        <w:rPr>
          <w:rStyle w:val="8"/>
          <w:rFonts w:hint="default" w:ascii="Times New Roman Regular" w:hAnsi="Times New Roman Regular" w:cs="Times New Roman Regular" w:eastAsiaTheme="minorEastAsia"/>
        </w:rPr>
        <w:t>large, stable dictatorship</w:t>
      </w:r>
      <w:r>
        <w:rPr>
          <w:rFonts w:hint="default" w:ascii="Times New Roman Regular" w:hAnsi="Times New Roman Regular" w:cs="Times New Roman Regular" w:eastAsiaTheme="minorEastAsia"/>
        </w:rPr>
        <w:t xml:space="preserve"> governed through a centralized, hierarchical bureaucracy—not as the kind of despotic Leviathan that older scholarship (e.g., Wittfogel /ˈvɪtfəʊɡəl/, 1957; Balazs /ˈbɑːlɑːʒ/, 1964) described. Building on Mancur Olson /ˈmæŋkər ˈoʊlsən/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(1993) theory of the stationary bandit, Sng treats the emperor as a rational ruler with an encompassing interest in the long-term prosperity of his domain—he understands that excessive exaction reduces future revenues and provokes rebellion. The problem is not that the ruler is predatory, but that his agents are. The state is therefore conceptualized primarily through the lens of </w:t>
      </w:r>
      <w:r>
        <w:rPr>
          <w:rStyle w:val="8"/>
          <w:rFonts w:hint="default" w:ascii="Times New Roman Regular" w:hAnsi="Times New Roman Regular" w:cs="Times New Roman Regular" w:eastAsiaTheme="minorEastAsia"/>
        </w:rPr>
        <w:t>the principal-agent problem</w:t>
      </w:r>
      <w:r>
        <w:rPr>
          <w:rFonts w:hint="default" w:ascii="Times New Roman Regular" w:hAnsi="Times New Roman Regular" w:cs="Times New Roman Regular" w:eastAsiaTheme="minorEastAsia"/>
        </w:rPr>
        <w:t>: the emperor is the principal who sets tax rates and attempts to monitor his bureaucracy; the magistrates, clerks, runners, and local gentry are the agents who collect taxes on his behalf but have private incentives to extort taxpayers for personal gain (pp. 107–108, 111).</w:t>
      </w:r>
    </w:p>
    <w:p w14:paraId="5FDB123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孙端辉将中国国家概念化为一个</w:t>
      </w:r>
      <w:r>
        <w:rPr>
          <w:rStyle w:val="8"/>
          <w:rFonts w:hint="default" w:ascii="Times New Roman Regular" w:hAnsi="Times New Roman Regular" w:cs="Times New Roman Regular" w:eastAsiaTheme="minorEastAsia"/>
        </w:rPr>
        <w:t>大型、稳定的独裁政权</w:t>
      </w:r>
      <w:r>
        <w:rPr>
          <w:rFonts w:hint="default" w:ascii="Times New Roman Regular" w:hAnsi="Times New Roman Regular" w:cs="Times New Roman Regular" w:eastAsiaTheme="minorEastAsia"/>
        </w:rPr>
        <w:t>，通过中央集权的层级官僚体系进行治理——而非旧有学术文献（如魏特夫 Wittfogel /ˈvɪtfəʊɡəl/，1957；白乐日 Balazs /ˈbɑːlɑːʒ/，1964）所描述的那种专制利维坦。在曼瑟·奥尔森（Mancur Olson /ˈmæŋkər ˈoʊlsən/，1993）</w:t>
      </w:r>
      <w:r>
        <w:rPr>
          <w:rFonts w:hint="default" w:ascii="Times New Roman Regular" w:hAnsi="Times New Roman Regular" w:cs="Times New Roman Regular"/>
          <w:lang w:val="en-US"/>
        </w:rPr>
        <w:t>“驻足匪帮”</w:t>
      </w:r>
      <w:r>
        <w:rPr>
          <w:rFonts w:hint="default" w:ascii="Times New Roman Regular" w:hAnsi="Times New Roman Regular" w:cs="Times New Roman Regular" w:eastAsiaTheme="minorEastAsia"/>
        </w:rPr>
        <w:t>（stationary bandit）理论基础上，孙端辉将皇帝视为一个理性统治者，对其领地的长期繁荣拥有涵盖性利益——他明白过度榨取会减少未来收入并激发叛乱。问题不在于统治者是掠夺性的，而在于他的代理人是。因此，国家主要通过</w:t>
      </w:r>
      <w:r>
        <w:rPr>
          <w:rStyle w:val="8"/>
          <w:rFonts w:hint="default" w:ascii="Times New Roman Regular" w:hAnsi="Times New Roman Regular" w:cs="Times New Roman Regular" w:eastAsiaTheme="minorEastAsia"/>
        </w:rPr>
        <w:t>委托—代理问题</w:t>
      </w:r>
      <w:r>
        <w:rPr>
          <w:rFonts w:hint="default" w:ascii="Times New Roman Regular" w:hAnsi="Times New Roman Regular" w:cs="Times New Roman Regular" w:eastAsiaTheme="minorEastAsia"/>
        </w:rPr>
        <w:t>的视角被概念化：皇帝是设定税率并试图监督官僚的委托人；知县、胥吏、衙役和地方绅士则是代他征税但有私人动机向纳税人勒索敛财的代理人（第107至108页，第111页）。</w:t>
      </w:r>
    </w:p>
    <w:p w14:paraId="25DF96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Sng measures </w:t>
      </w:r>
      <w:r>
        <w:rPr>
          <w:rFonts w:hint="default" w:ascii="Times New Roman Regular" w:hAnsi="Times New Roman Regular" w:cs="Times New Roman Regular"/>
          <w:lang w:val="en-US"/>
        </w:rPr>
        <w:t>“stateness”</w:t>
      </w:r>
      <w:r>
        <w:rPr>
          <w:rFonts w:hint="default" w:ascii="Times New Roman Regular" w:hAnsi="Times New Roman Regular" w:cs="Times New Roman Regular" w:eastAsiaTheme="minorEastAsia"/>
        </w:rPr>
        <w:t xml:space="preserve"> or state capacity in several concrete ways. First, </w:t>
      </w:r>
      <w:r>
        <w:rPr>
          <w:rStyle w:val="8"/>
          <w:rFonts w:hint="default" w:ascii="Times New Roman Regular" w:hAnsi="Times New Roman Regular" w:cs="Times New Roman Regular" w:eastAsiaTheme="minorEastAsia"/>
        </w:rPr>
        <w:t>fiscal capacity</w:t>
      </w:r>
      <w:r>
        <w:rPr>
          <w:rFonts w:hint="default" w:ascii="Times New Roman Regular" w:hAnsi="Times New Roman Regular" w:cs="Times New Roman Regular" w:eastAsiaTheme="minorEastAsia"/>
        </w:rPr>
        <w:t xml:space="preserve"> is measured as total tax revenue, reconstructed from official Qing documents including the Collected Statutes of the Qing Dynasty, the Veritable Records, and archival records from the National Library of China (p. 117). Second, </w:t>
      </w:r>
      <w:r>
        <w:rPr>
          <w:rStyle w:val="8"/>
          <w:rFonts w:hint="default" w:ascii="Times New Roman Regular" w:hAnsi="Times New Roman Regular" w:cs="Times New Roman Regular" w:eastAsiaTheme="minorEastAsia"/>
        </w:rPr>
        <w:t>administrative capacity</w:t>
      </w:r>
      <w:r>
        <w:rPr>
          <w:rFonts w:hint="default" w:ascii="Times New Roman Regular" w:hAnsi="Times New Roman Regular" w:cs="Times New Roman Regular" w:eastAsiaTheme="minorEastAsia"/>
        </w:rPr>
        <w:t xml:space="preserve"> is measured as the density of county-level administrative units (counties per 10,000 km²) and the ratio of officials to population—around 20,000 ranked officials for a population exceeding 300 million in 1800, or roughly one official per 15,000 people (p. 113). Third, </w:t>
      </w:r>
      <w:r>
        <w:rPr>
          <w:rStyle w:val="8"/>
          <w:rFonts w:hint="default" w:ascii="Times New Roman Regular" w:hAnsi="Times New Roman Regular" w:cs="Times New Roman Regular" w:eastAsiaTheme="minorEastAsia"/>
        </w:rPr>
        <w:t>coercive capacity</w:t>
      </w:r>
      <w:r>
        <w:rPr>
          <w:rFonts w:hint="default" w:ascii="Times New Roman Regular" w:hAnsi="Times New Roman Regular" w:cs="Times New Roman Regular" w:eastAsiaTheme="minorEastAsia"/>
        </w:rPr>
        <w:t xml:space="preserve"> is proxied by troop deployment data, specifically the statutory number of Green Standard Army soldiers in the provinces (p. 122, Table 6). In all three dimensions, Sng shows that the Chinese state was remarkably thin. This picture stands in sharp contrast to the traditional </w:t>
      </w:r>
      <w:r>
        <w:rPr>
          <w:rFonts w:hint="default" w:ascii="Times New Roman Regular" w:hAnsi="Times New Roman Regular" w:cs="Times New Roman Regular"/>
          <w:lang w:val="en-US"/>
        </w:rPr>
        <w:t>“Oriental Despotism”</w:t>
      </w:r>
      <w:r>
        <w:rPr>
          <w:rFonts w:hint="default" w:ascii="Times New Roman Regular" w:hAnsi="Times New Roman Regular" w:cs="Times New Roman Regular" w:eastAsiaTheme="minorEastAsia"/>
        </w:rPr>
        <w:t xml:space="preserve"> image and aligns instead with a growing consensus among Chinese historians that the Qing state was a </w:t>
      </w:r>
      <w:r>
        <w:rPr>
          <w:rFonts w:hint="default" w:ascii="Times New Roman Regular" w:hAnsi="Times New Roman Regular" w:cs="Times New Roman Regular"/>
          <w:lang w:val="en-US"/>
        </w:rPr>
        <w:t>“night watchman state”</w:t>
      </w:r>
      <w:r>
        <w:rPr>
          <w:rFonts w:hint="default" w:ascii="Times New Roman Regular" w:hAnsi="Times New Roman Regular" w:cs="Times New Roman Regular" w:eastAsiaTheme="minorEastAsia"/>
        </w:rPr>
        <w:t xml:space="preserve"> that governed minimally and administered sparingly (p. 120).</w:t>
      </w:r>
    </w:p>
    <w:p w14:paraId="54E4EA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孙端辉以几种具体方式度量</w:t>
      </w:r>
      <w:r>
        <w:rPr>
          <w:rFonts w:hint="default" w:ascii="Times New Roman Regular" w:hAnsi="Times New Roman Regular" w:cs="Times New Roman Regular"/>
          <w:lang w:val="en-US"/>
        </w:rPr>
        <w:t>“国家性”</w:t>
      </w:r>
      <w:r>
        <w:rPr>
          <w:rFonts w:hint="default" w:ascii="Times New Roman Regular" w:hAnsi="Times New Roman Regular" w:cs="Times New Roman Regular" w:eastAsiaTheme="minorEastAsia"/>
        </w:rPr>
        <w:t>或国家能力。第一，</w:t>
      </w:r>
      <w:r>
        <w:rPr>
          <w:rStyle w:val="8"/>
          <w:rFonts w:hint="default" w:ascii="Times New Roman Regular" w:hAnsi="Times New Roman Regular" w:cs="Times New Roman Regular" w:eastAsiaTheme="minorEastAsia"/>
        </w:rPr>
        <w:t>财政能力</w:t>
      </w:r>
      <w:r>
        <w:rPr>
          <w:rFonts w:hint="default" w:ascii="Times New Roman Regular" w:hAnsi="Times New Roman Regular" w:cs="Times New Roman Regular" w:eastAsiaTheme="minorEastAsia"/>
        </w:rPr>
        <w:t>以总税收收入衡量，根据清朝官方文献重建，包括《大清会典》、《清实录》以及中国国家图书馆的档案记录（第117页）。第二，</w:t>
      </w:r>
      <w:r>
        <w:rPr>
          <w:rStyle w:val="8"/>
          <w:rFonts w:hint="default" w:ascii="Times New Roman Regular" w:hAnsi="Times New Roman Regular" w:cs="Times New Roman Regular" w:eastAsiaTheme="minorEastAsia"/>
        </w:rPr>
        <w:t>行政能力</w:t>
      </w:r>
      <w:r>
        <w:rPr>
          <w:rFonts w:hint="default" w:ascii="Times New Roman Regular" w:hAnsi="Times New Roman Regular" w:cs="Times New Roman Regular" w:eastAsiaTheme="minorEastAsia"/>
        </w:rPr>
        <w:t>以县级行政单位密度（每万平方公里的县数量）和官民比衡量——1800年约有20,000名有品级官员治理超过3亿人口，约每15,000人对应一名官员（第113页）。第三，</w:t>
      </w:r>
      <w:r>
        <w:rPr>
          <w:rStyle w:val="8"/>
          <w:rFonts w:hint="default" w:ascii="Times New Roman Regular" w:hAnsi="Times New Roman Regular" w:cs="Times New Roman Regular" w:eastAsiaTheme="minorEastAsia"/>
        </w:rPr>
        <w:t>强制能力</w:t>
      </w:r>
      <w:r>
        <w:rPr>
          <w:rFonts w:hint="default" w:ascii="Times New Roman Regular" w:hAnsi="Times New Roman Regular" w:cs="Times New Roman Regular" w:eastAsiaTheme="minorEastAsia"/>
        </w:rPr>
        <w:t>以军队部署数据代理，具体为各省绿营兵的编制人数（第122页，表6）。在所有三个维度上，孙端辉都表明中国国家极为单薄。这幅图景与传统的</w:t>
      </w:r>
      <w:r>
        <w:rPr>
          <w:rFonts w:hint="default" w:ascii="Times New Roman Regular" w:hAnsi="Times New Roman Regular" w:cs="Times New Roman Regular"/>
          <w:lang w:val="en-US"/>
        </w:rPr>
        <w:t>“东方专制主义”</w:t>
      </w:r>
      <w:r>
        <w:rPr>
          <w:rFonts w:hint="default" w:ascii="Times New Roman Regular" w:hAnsi="Times New Roman Regular" w:cs="Times New Roman Regular" w:eastAsiaTheme="minorEastAsia"/>
        </w:rPr>
        <w:t>形象形成鲜明对比，而与中国历史学家日益形成的共识一致：清朝是一个治理极简、行政俭省的</w:t>
      </w:r>
      <w:r>
        <w:rPr>
          <w:rFonts w:hint="default" w:ascii="Times New Roman Regular" w:hAnsi="Times New Roman Regular" w:cs="Times New Roman Regular"/>
          <w:lang w:val="en-US"/>
        </w:rPr>
        <w:t>“守夜人国家”</w:t>
      </w:r>
      <w:r>
        <w:rPr>
          <w:rFonts w:hint="default" w:ascii="Times New Roman Regular" w:hAnsi="Times New Roman Regular" w:cs="Times New Roman Regular" w:eastAsiaTheme="minorEastAsia"/>
        </w:rPr>
        <w:t>（第120页）。</w:t>
      </w:r>
    </w:p>
    <w:p w14:paraId="7688833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This conceptualization is closely connected to the broader state formation literature. Unlike the European experience analyzed by Charles Tilly /ˈtʃɑːrlz ˈtɪli/, where interstate warfare drove state-building and fiscal extraction (Tilly, 1990), Sng</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China faced a peaceful external environment during the eighteenth century, which reduced the pressure to build fiscal capacity (p. 119). And unlike the European absolutist states analyzed by Dincecco /dɪnˈtʃɛkoʊ/ (2011) and Hoffman /ˈhɒfmən/ and Rosenthal /ˈroʊzənθɔːl/ (1997), where institutional fragmentation limited the extractive power of kings, China had overcome jurisdictional fragmentation quite early through a nonhereditary bureaucracy selected by civil service examinations (p. 108, footnote 4). The puzzle, then, is why a politically unified empire with no institutional fragmentation remained fiscally weak—and the answer, Sng argues, lies in the principal-agent problem that size imposed.</w:t>
      </w:r>
    </w:p>
    <w:p w14:paraId="141E35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这一概念化与更广泛的国家形成文献密切相关。与查尔斯·蒂利（Charles Tilly /ˈtʃɑːrlz ˈtɪli/，1990）分析的欧洲经验不同——在欧洲，国际间战争推动了国家建设和财政汲取——孙端辉笔下的中国在十八世纪面临和平的外部环境，这降低了建设财政能力的压力（第119页）。与丁切科（Dincecco /dɪnˈtʃɛkoʊ/，2011）以及霍夫曼（Hoffman /ˈhɒfmən/）和罗森塔尔（Rosenthal /ˈroʊzənθɔːl/，1997）分析的欧洲绝对君主制国家也不同——在那些国家，制度碎片化限制了国王的榨取权力——中国很早就通过科举选拔的非世袭官僚制克服了管辖碎片化（第108页，注释4）。那么谜题就是：为何一个政治统一、没有制度碎片化的帝国仍然财政虚弱——答案，孙端辉论证道，在于规模所施加的委托—代理问题。</w:t>
      </w:r>
    </w:p>
    <w:p w14:paraId="2BEFDE5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4" o:spt="1" style="height:1.5pt;width:432pt;" fillcolor="#A0A0A0" filled="t" stroked="f" coordsize="21600,21600" o:hr="t" o:hrstd="t" o:hralign="center">
            <v:path/>
            <v:fill on="t" focussize="0,0"/>
            <v:stroke on="f"/>
            <v:imagedata o:title=""/>
            <o:lock v:ext="edit"/>
            <w10:wrap type="none"/>
            <w10:anchorlock/>
          </v:rect>
        </w:pict>
      </w:r>
    </w:p>
    <w:p w14:paraId="504E19B9">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Argument: Core Argument / 论证：核心论点</w:t>
      </w:r>
    </w:p>
    <w:p w14:paraId="47E3D6D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core argument is that </w:t>
      </w:r>
      <w:r>
        <w:rPr>
          <w:rStyle w:val="8"/>
          <w:rFonts w:hint="default" w:ascii="Times New Roman Regular" w:hAnsi="Times New Roman Regular" w:cs="Times New Roman Regular" w:eastAsiaTheme="minorEastAsia"/>
        </w:rPr>
        <w:t>China</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eastAsiaTheme="minorEastAsia"/>
        </w:rPr>
        <w:t xml:space="preserve"> vast territorial size created a severe principal-agent problem that constrained the state</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eastAsiaTheme="minorEastAsia"/>
        </w:rPr>
        <w:t xml:space="preserve"> fiscal capacity, and economic expansion during the prosperous eighteenth century paradoxically worsened the problem, causing fiscal decline that sowed the seeds of the nineteenth-century crises.</w:t>
      </w:r>
    </w:p>
    <w:p w14:paraId="2E82ED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核心论点是：</w:t>
      </w:r>
      <w:r>
        <w:rPr>
          <w:rStyle w:val="8"/>
          <w:rFonts w:hint="default" w:ascii="Times New Roman Regular" w:hAnsi="Times New Roman Regular" w:cs="Times New Roman Regular" w:eastAsiaTheme="minorEastAsia"/>
        </w:rPr>
        <w:t>中国辽阔的疆域造成了严重的委托—代理问题，制约了国家的财政能力，而十八世纪繁荣时期的经济扩张反而使问题悖论性地恶化，导致了财政衰退，为十九世纪的危机埋下了种子。</w:t>
      </w:r>
    </w:p>
    <w:p w14:paraId="1130BA5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The argument proceeds in several steps. First, Sng challenges the traditional view that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economic stagnation was caused by an all-powerful, interventionist autocratic state that suppressed private enterprise (Wittfogel, 1957; Balazs, 1964). He points out that this view is theoretically problematic because the Chinese emperor, as a stable dictator with long time horizons, had rational incentives to restrain his exaction to preserve future revenue and maintain political stability, as Olson (1993) demonstrated (p. 107). The view is also empirically inconsistent with recent scholarship showing that the eighteenth-century Chinese economy was far more commercialized, market-integrated, and developed than previously assumed—as argued by Pomeranz /ˈpɒmərænts/ (2000), Shiue /ʃjuː/ and Keller /ˈkɛlər/ (2007), and others (p. 108).</w:t>
      </w:r>
    </w:p>
    <w:p w14:paraId="5F67BA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一论点分几步推进。首先，孙端辉挑战了传统观点，即中国的经济停滞是由一个全能的、干预主义的专制国家压制私人企业所导致（魏特夫，1957；白乐日，1964）。他指出这一观点在理论上有问题，因为中国皇帝作为一个稳定的独裁者，有着长远的时间视野，有理性动机约束自己的榨取以保全未来收入和维持政治稳定，正如奥尔森（1993）所论证的（第107页）。这一观点在经验上也与近年学术研究不一致——这些研究表明，十八世纪的中国经济远比此前认为的更加商业化、市场整合和发达——如彭慕兰（Pomeranz /ˈpɒmərænts/，2000）、史志宏（Shiue /ʃjuː/）和凯勒（Keller /ˈkɛlər/，2007）等人所论证（第108页）。</w:t>
      </w:r>
    </w:p>
    <w:p w14:paraId="6B8B68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if the eighteenth-century economy was prosperous, why did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fortunes reverse in the nineteenth century? Sng proposes that the answer lies not in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behavior but in the behavior of his agents. Reprising the earlier work of Kiser /ˈkaɪzər/ and Tong /tɒŋ/ (1992), Sng argues that in a large dictatorship, excessive exploitation comes not from the ruler—who has encompassing interests—but from his agents, who have shorter decision horizons and less encompassing interests. The agents have private incentives to extort the taxpayers for personal enrichment (p. 108).</w:t>
      </w:r>
    </w:p>
    <w:p w14:paraId="0E2630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其次，如果十八世纪经济繁荣，为何中国的命运在十九世纪逆转？孙端辉提出答案不在于统治者的行为，而在于其代理人的行为。延续基瑟（Kiser /ˈkaɪzər/）和佟（Tong /tɒŋ/，1992）的早期研究，孙端辉论证在大型独裁政权中，过度榨取不是来自统治者——统治者有涵盖性利益——而是来自他的代理人，代理人有更短的决策视野和更不具涵盖性的利益。代理人有私人动机向纳税人勒索以自肥（第108页）。</w:t>
      </w:r>
    </w:p>
    <w:p w14:paraId="642FF20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size exacerbates this problem through two channels. Geographically, the vast territory makes monitoring costly. Information must travel enormous distances—in 1853, news of Wuchang /ˈwuːtʃɑːŋ/</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fall to the Taiping /ˈtaɪˌpɪŋ/ rebels took eight days to reach Beijing, 1200 km away (p. 108). Regional diversity further complicates monitoring because local agents require flexibility to adapt central government decrees to local conditions, but that same flexibility provides cover for self-interested deviations (p. 108). Economically, as the economy grows, the rent-seeking incentives of agents increase because there is more surplus to extract. This puts pressure on the ruler to lower the tax rate to prevent the total effective burden (official tax plus unofficial extortion) from exceeding the rebellion threshold (p. 108).</w:t>
      </w:r>
    </w:p>
    <w:p w14:paraId="1059DB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第三，规模通过两条渠道加剧了这一问题。在地理上，辽阔疆域使监督成本高昂。信息必须跨越巨大距离传递——1853年太平军（Taiping /ˈtaɪˌpɪŋ/）攻占武昌（Wuchang /ˈwuːtʃɑːŋ/）的消息花了八天才传到1200公里外的北京（第108页）。地域多样性进一步增加了监督难度，因为地方代理人需要灵活变通中央政府法令以适应当地情况，但这种灵活性同时也为自利偏离提供了掩护（第108页）。在经济上，随着经济增长，代理人的寻租激励加强，因为有更多的剩余可供榨取。这迫使统治者降低税率，以防止总有效负担（官方税加非官方勒索）超过叛乱门槛（第108页）。</w:t>
      </w:r>
    </w:p>
    <w:p w14:paraId="68388A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and most critically, Sng argues that if the principal-agent problem is sufficiently severe, economic expansion can actually hurt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fiscal position. While economic growth expands the tax base (positive effect), it also increases corruption which forces the ruler to lower the tax rate (negative effect). Under severe agency costs, the negative effect eventually dominates the positive effect, producing a hump-shaped pattern: tax revenue first rises and then falls as the economy continues to grow. This is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most striking theoretical prediction—the </w:t>
      </w:r>
      <w:r>
        <w:rPr>
          <w:rFonts w:hint="default" w:ascii="Times New Roman Regular" w:hAnsi="Times New Roman Regular" w:cs="Times New Roman Regular"/>
          <w:lang w:val="en-US"/>
        </w:rPr>
        <w:t>“paradox of development”</w:t>
      </w:r>
      <w:r>
        <w:rPr>
          <w:rFonts w:hint="default" w:ascii="Times New Roman Regular" w:hAnsi="Times New Roman Regular" w:cs="Times New Roman Regular" w:eastAsiaTheme="minorEastAsia"/>
        </w:rPr>
        <w:t xml:space="preserve"> in which a regime that successfully fosters growth may become a victim of its own success (pp. 108, 113, 119).</w:t>
      </w:r>
    </w:p>
    <w:p w14:paraId="648B17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也是最关键的，孙端辉论证如果委托—代理问题足够严重，经济扩张实际上可能损害统治者的财政状况。虽然经济增长扩大了税基（正效应），但它同时增加了腐败，迫使统治者降低税率（负效应）。在严重的代理成本下，负效应最终压倒正效应，产生驼峰形模式：税收收入先升后降，即使经济继续增长。这是本文最引人注目的理论预测——</w:t>
      </w:r>
      <w:r>
        <w:rPr>
          <w:rFonts w:hint="default" w:ascii="Times New Roman Regular" w:hAnsi="Times New Roman Regular" w:cs="Times New Roman Regular"/>
          <w:lang w:val="en-US"/>
        </w:rPr>
        <w:t>“发展悖论”</w:t>
      </w:r>
      <w:r>
        <w:rPr>
          <w:rFonts w:hint="default" w:ascii="Times New Roman Regular" w:hAnsi="Times New Roman Regular" w:cs="Times New Roman Regular" w:eastAsiaTheme="minorEastAsia"/>
        </w:rPr>
        <w:t>，即一个成功促进增长的政权可能成为自身成功的牺牲品（第108、113、119页）。</w:t>
      </w:r>
    </w:p>
    <w:p w14:paraId="7F73109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5" o:spt="1" style="height:1.5pt;width:432pt;" fillcolor="#A0A0A0" filled="t" stroked="f" coordsize="21600,21600" o:hr="t" o:hrstd="t" o:hralign="center">
            <v:path/>
            <v:fill on="t" focussize="0,0"/>
            <v:stroke on="f"/>
            <v:imagedata o:title=""/>
            <o:lock v:ext="edit"/>
            <w10:wrap type="none"/>
            <w10:anchorlock/>
          </v:rect>
        </w:pict>
      </w:r>
    </w:p>
    <w:p w14:paraId="40B1E48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Mechanisms / 机制</w:t>
      </w:r>
    </w:p>
    <w:p w14:paraId="3BDE56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paper proposes a clear causal chain with several linked mechanisms:</w:t>
      </w:r>
    </w:p>
    <w:p w14:paraId="0E47DC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本文提出了一条由多个环节链接的清晰因果链：</w:t>
      </w:r>
    </w:p>
    <w:p w14:paraId="5E0122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Mechanism 1: Information asymmetry from geographic distance.</w:t>
      </w:r>
      <w:r>
        <w:rPr>
          <w:rFonts w:hint="default" w:ascii="Times New Roman Regular" w:hAnsi="Times New Roman Regular" w:cs="Times New Roman Regular" w:eastAsiaTheme="minorEastAsia"/>
        </w:rPr>
        <w:t xml:space="preserve"> The ruler resides in Beijing and must rely on agents stationed across a vast empire to collect taxes and administer justice. Distance increases the cost and time of transmitting information. Regional diversity compounds the problem because local agents must exercise discretion, and the ruler cannot easily distinguish between an agent who deviates for legitimate local reasons and one who deviates for personal gain (p. 108). The formal model captures this through a monitoring parameter </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 xml:space="preserve">, where the probability of detecting extortion ε is mε². A larger territory implies a smaller </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 xml:space="preserve"> for distant regions, meaning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audit is less effective (p. 112).</w:t>
      </w:r>
    </w:p>
    <w:p w14:paraId="03BBD6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机制1：地理距离导致的信息不对称。</w:t>
      </w:r>
      <w:r>
        <w:rPr>
          <w:rFonts w:hint="default" w:ascii="Times New Roman Regular" w:hAnsi="Times New Roman Regular" w:cs="Times New Roman Regular" w:eastAsiaTheme="minorEastAsia"/>
        </w:rPr>
        <w:t xml:space="preserve"> 统治者驻扎在北京，必须依靠部署在广袤帝国各地的代理人征税和司法。距离增加了信息传递的成本和时间。地域多样性使问题更加复杂，因为地方代理人必须行使裁量权，而统治者难以区分一个因合理的地方原因而偏离的代理人与一个为私利而偏离的代理人（第108页）。正式模型通过监督参数</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捕捉这一点，发现勒索ε的概率为mε²。更大的领土意味着对偏远地区而言</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更小，即统治者的审计效力更弱（第112页）。</w:t>
      </w:r>
    </w:p>
    <w:p w14:paraId="775629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Mechanism 2: Agent extortion (</w:t>
      </w:r>
      <w:r>
        <w:rPr>
          <w:rStyle w:val="8"/>
          <w:rFonts w:hint="default" w:ascii="Times New Roman Regular" w:hAnsi="Times New Roman Regular" w:cs="Times New Roman Regular"/>
          <w:lang w:val="en-US"/>
        </w:rPr>
        <w:t>“tyranny at the bottom”</w:t>
      </w:r>
      <w:r>
        <w:rPr>
          <w:rStyle w:val="8"/>
          <w:rFonts w:hint="default" w:ascii="Times New Roman Regular" w:hAnsi="Times New Roman Regular" w:cs="Times New Roman Regular" w:eastAsiaTheme="minorEastAsia"/>
        </w:rPr>
        <w:t>).</w:t>
      </w:r>
      <w:r>
        <w:rPr>
          <w:rFonts w:hint="default" w:ascii="Times New Roman Regular" w:hAnsi="Times New Roman Regular" w:cs="Times New Roman Regular" w:eastAsiaTheme="minorEastAsia"/>
        </w:rPr>
        <w:t xml:space="preserve"> Given weak monitoring, the agent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optimal extortion rate is ε* = Y/(2mX), where Y is aggregate output and X is the punishment for getting caught (p. 112, Eq. 1). This means extortion increases with the size of the economy and decreases with monitoring capacity. The representative agent in the model embodies the magistrate, county clerks, runners, and local gentry, all of whom had historical incentives and opportunities to exploit taxpayers—for example, by manipulating tax documents, imposing unauthorized surcharges, or engaging in tax arbitrage (pp. 110–111).</w:t>
      </w:r>
    </w:p>
    <w:p w14:paraId="105307F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机制2：代理人勒索（</w:t>
      </w:r>
      <w:r>
        <w:rPr>
          <w:rStyle w:val="8"/>
          <w:rFonts w:hint="default" w:ascii="Times New Roman Regular" w:hAnsi="Times New Roman Regular" w:cs="Times New Roman Regular"/>
          <w:lang w:val="en-US"/>
        </w:rPr>
        <w:t>“底层暴政”</w:t>
      </w:r>
      <w:r>
        <w:rPr>
          <w:rStyle w:val="8"/>
          <w:rFonts w:hint="default" w:ascii="Times New Roman Regular" w:hAnsi="Times New Roman Regular" w:cs="Times New Roman Regular" w:eastAsiaTheme="minorEastAsia"/>
        </w:rPr>
        <w:t>）。</w:t>
      </w:r>
      <w:r>
        <w:rPr>
          <w:rFonts w:hint="default" w:ascii="Times New Roman Regular" w:hAnsi="Times New Roman Regular" w:cs="Times New Roman Regular" w:eastAsiaTheme="minorEastAsia"/>
        </w:rPr>
        <w:t xml:space="preserve"> 在监督薄弱的情况下，代理人的最优勒索率为ε* = Y/(2mX)，其中Y是总产出，X是被抓获的惩罚（第112页，方程1）。这意味着勒索随经济规模增大而增加，随监督能力增强而减少。模型中的代表性代理人体现了知县、胥吏、衙役和地方绅士，他们在历史上都有剥削纳税人的动机和机会——例如，操纵税务文件、征收未经授权的附加费、或从事税收套利（第110至111页）。</w:t>
      </w:r>
    </w:p>
    <w:p w14:paraId="272D79B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Mechanism 3: The ruler</w:t>
      </w:r>
      <w:r>
        <w:rPr>
          <w:rStyle w:val="8"/>
          <w:rFonts w:hint="default" w:ascii="Times New Roman Regular" w:hAnsi="Times New Roman Regular" w:cs="Times New Roman Regular"/>
          <w:lang w:val="en-US"/>
        </w:rPr>
        <w:t>’s</w:t>
      </w:r>
      <w:r>
        <w:rPr>
          <w:rStyle w:val="8"/>
          <w:rFonts w:hint="default" w:ascii="Times New Roman Regular" w:hAnsi="Times New Roman Regular" w:cs="Times New Roman Regular" w:eastAsiaTheme="minorEastAsia"/>
        </w:rPr>
        <w:t xml:space="preserve"> constrained response—low taxes.</w:t>
      </w:r>
      <w:r>
        <w:rPr>
          <w:rFonts w:hint="default" w:ascii="Times New Roman Regular" w:hAnsi="Times New Roman Regular" w:cs="Times New Roman Regular" w:eastAsiaTheme="minorEastAsia"/>
        </w:rPr>
        <w:t xml:space="preserve"> The ruler understands that the total effective tax burden on the peasants is τ + ε (official tax rate plus extortion rate). If this exceeds a rebellion threshold </w:t>
      </w:r>
      <w:r>
        <w:rPr>
          <w:rStyle w:val="9"/>
          <w:rFonts w:hint="default" w:ascii="Times New Roman Regular" w:hAnsi="Times New Roman Regular" w:cs="Times New Roman Regular" w:eastAsiaTheme="minorEastAsia"/>
        </w:rPr>
        <w:t>r</w:t>
      </w:r>
      <w:r>
        <w:rPr>
          <w:rFonts w:hint="default" w:ascii="Times New Roman Regular" w:hAnsi="Times New Roman Regular" w:cs="Times New Roman Regular" w:eastAsiaTheme="minorEastAsia"/>
        </w:rPr>
        <w:t>, the peasants revolt. Because the ruler wants to avoid revolt at all costs, he sets τ* = r − Y/(2mX) (p. 112, Eq. 2). When monitoring is weak (</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 xml:space="preserve"> is small), equilibrium extortion is high (ε* is large), so the ruler must set the official tax rate low. This is Proposition 1: </w:t>
      </w:r>
      <w:r>
        <w:rPr>
          <w:rFonts w:hint="default" w:ascii="Times New Roman Regular" w:hAnsi="Times New Roman Regular" w:cs="Times New Roman Regular"/>
          <w:lang w:val="en-US"/>
        </w:rPr>
        <w:t>“a severe principal-agent problem leads to a (fiscally) weak state”</w:t>
      </w:r>
      <w:r>
        <w:rPr>
          <w:rFonts w:hint="default" w:ascii="Times New Roman Regular" w:hAnsi="Times New Roman Regular" w:cs="Times New Roman Regular" w:eastAsiaTheme="minorEastAsia"/>
        </w:rPr>
        <w:t xml:space="preserve"> (p. 112). It explains the paradox that official taxes in Qing China were low while the effective burden on peasants was relatively heavy.</w:t>
      </w:r>
    </w:p>
    <w:p w14:paraId="45AD3F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机制3：统治者的受限回应——低税率。</w:t>
      </w:r>
      <w:r>
        <w:rPr>
          <w:rFonts w:hint="default" w:ascii="Times New Roman Regular" w:hAnsi="Times New Roman Regular" w:cs="Times New Roman Regular" w:eastAsiaTheme="minorEastAsia"/>
        </w:rPr>
        <w:t xml:space="preserve"> 统治者明白农民承受的总有效税负是τ + ε（官方税率加勒索率）。如果超过叛乱门槛</w:t>
      </w:r>
      <w:r>
        <w:rPr>
          <w:rStyle w:val="9"/>
          <w:rFonts w:hint="default" w:ascii="Times New Roman Regular" w:hAnsi="Times New Roman Regular" w:cs="Times New Roman Regular" w:eastAsiaTheme="minorEastAsia"/>
        </w:rPr>
        <w:t>r</w:t>
      </w:r>
      <w:r>
        <w:rPr>
          <w:rFonts w:hint="default" w:ascii="Times New Roman Regular" w:hAnsi="Times New Roman Regular" w:cs="Times New Roman Regular" w:eastAsiaTheme="minorEastAsia"/>
        </w:rPr>
        <w:t>，农民就会造反。因为统治者不惜一切代价避免叛乱，他设定τ* = r − Y/(2mX)（第112页，方程2）。当监督薄弱（</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小）时，均衡勒索率高（ε*大），所以统治者必须设定低官方税率。这就是命题1：</w:t>
      </w:r>
      <w:r>
        <w:rPr>
          <w:rFonts w:hint="default" w:ascii="Times New Roman Regular" w:hAnsi="Times New Roman Regular" w:cs="Times New Roman Regular"/>
          <w:lang w:val="en-US"/>
        </w:rPr>
        <w:t>“严重的委托—代理问题导致（财政上）虚弱的国家”</w:t>
      </w:r>
      <w:r>
        <w:rPr>
          <w:rFonts w:hint="default" w:ascii="Times New Roman Regular" w:hAnsi="Times New Roman Regular" w:cs="Times New Roman Regular" w:eastAsiaTheme="minorEastAsia"/>
        </w:rPr>
        <w:t>（第112页）。它解释了清代中国官方税收低而农民实际负担却相对沉重的悖论。</w:t>
      </w:r>
    </w:p>
    <w:p w14:paraId="17299C4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Mechanism 4: Small bureaucracy.</w:t>
      </w:r>
      <w:r>
        <w:rPr>
          <w:rFonts w:hint="default" w:ascii="Times New Roman Regular" w:hAnsi="Times New Roman Regular" w:cs="Times New Roman Regular" w:eastAsiaTheme="minorEastAsia"/>
        </w:rPr>
        <w:t xml:space="preserve"> When the ruler extends the model to choose the number of counties (β), the equilibrium condition τ</w:t>
      </w:r>
      <w:r>
        <w:rPr>
          <w:rStyle w:val="9"/>
          <w:rFonts w:hint="default" w:ascii="Times New Roman Regular" w:hAnsi="Times New Roman Regular" w:cs="Times New Roman Regular" w:eastAsiaTheme="minorEastAsia"/>
        </w:rPr>
        <w:t>Y = C'(β</w:t>
      </w:r>
      <w:r>
        <w:rPr>
          <w:rFonts w:hint="default" w:ascii="Times New Roman Regular" w:hAnsi="Times New Roman Regular" w:cs="Times New Roman Regular" w:eastAsiaTheme="minorEastAsia"/>
        </w:rPr>
        <w:t xml:space="preserve">) (p. 113, Eq. 3) means that a low equilibrium tax rate implies a smaller bureaucracy, because the marginal benefit of adding another county is too small to justify the cost. This is Proposition 2: </w:t>
      </w:r>
      <w:r>
        <w:rPr>
          <w:rFonts w:hint="default" w:ascii="Times New Roman Regular" w:hAnsi="Times New Roman Regular" w:cs="Times New Roman Regular"/>
          <w:lang w:val="en-US"/>
        </w:rPr>
        <w:t>“a severe principal-agent problem leads to a small bureaucracy”</w:t>
      </w:r>
      <w:r>
        <w:rPr>
          <w:rFonts w:hint="default" w:ascii="Times New Roman Regular" w:hAnsi="Times New Roman Regular" w:cs="Times New Roman Regular" w:eastAsiaTheme="minorEastAsia"/>
        </w:rPr>
        <w:t xml:space="preserve"> (p. 113). Historically, there were only about 20,000 ranked officials governing over 300 million people (p. 113), and this extraordinary thinness of the administrative apparatus is predicted by the model.</w:t>
      </w:r>
    </w:p>
    <w:p w14:paraId="19C845D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机制4：小官僚机构。</w:t>
      </w:r>
      <w:r>
        <w:rPr>
          <w:rFonts w:hint="default" w:ascii="Times New Roman Regular" w:hAnsi="Times New Roman Regular" w:cs="Times New Roman Regular" w:eastAsiaTheme="minorEastAsia"/>
        </w:rPr>
        <w:t xml:space="preserve"> 当统治者将模型扩展到选择县的数量（β）时，均衡条件τ</w:t>
      </w:r>
      <w:r>
        <w:rPr>
          <w:rStyle w:val="9"/>
          <w:rFonts w:hint="default" w:ascii="Times New Roman Regular" w:hAnsi="Times New Roman Regular" w:cs="Times New Roman Regular" w:eastAsiaTheme="minorEastAsia"/>
        </w:rPr>
        <w:t>Y = C'(β</w:t>
      </w:r>
      <w:r>
        <w:rPr>
          <w:rFonts w:hint="default" w:ascii="Times New Roman Regular" w:hAnsi="Times New Roman Regular" w:cs="Times New Roman Regular" w:eastAsiaTheme="minorEastAsia"/>
        </w:rPr>
        <w:t>)（第113页，方程3）意味着低均衡税率对应更小的官僚机构，因为增设一个县的边际收益太小，不足以抵偿成本。这就是命题2：</w:t>
      </w:r>
      <w:r>
        <w:rPr>
          <w:rFonts w:hint="default" w:ascii="Times New Roman Regular" w:hAnsi="Times New Roman Regular" w:cs="Times New Roman Regular"/>
          <w:lang w:val="en-US"/>
        </w:rPr>
        <w:t>“严重的委托—代理问题导致小官僚机构”</w:t>
      </w:r>
      <w:r>
        <w:rPr>
          <w:rFonts w:hint="default" w:ascii="Times New Roman Regular" w:hAnsi="Times New Roman Regular" w:cs="Times New Roman Regular" w:eastAsiaTheme="minorEastAsia"/>
        </w:rPr>
        <w:t>（第113页）。历史上，仅约20,000名有品级官员治理超过3亿人口（第113页），这种行政机器的非凡单薄正是模型所预测的。</w:t>
      </w:r>
    </w:p>
    <w:p w14:paraId="2940E7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Mechanism 5: The dynamic trap—economic growth worsening fiscal capacity.</w:t>
      </w:r>
      <w:r>
        <w:rPr>
          <w:rFonts w:hint="default" w:ascii="Times New Roman Regular" w:hAnsi="Times New Roman Regular" w:cs="Times New Roman Regular" w:eastAsiaTheme="minorEastAsia"/>
        </w:rPr>
        <w:t xml:space="preserve"> As the population N grows, extortion ε* rises (dε*/dN &gt; 0) and the tax rate τ* falls (dτ*/dN &lt; 0). When </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 xml:space="preserve"> is small enough, the negative effect (falling tax rate) eventually overwhelms the positive effect (growing tax base), and total tax revenue VR = τ*βY follows a hump-shaped pattern (p. 113). This is Proposition 3: </w:t>
      </w:r>
      <w:r>
        <w:rPr>
          <w:rFonts w:hint="default" w:ascii="Times New Roman Regular" w:hAnsi="Times New Roman Regular" w:cs="Times New Roman Regular"/>
          <w:lang w:val="en-US"/>
        </w:rPr>
        <w:t>“if the principal-agent problem is severe, economic expansion will initially increase the tax revenue but eventually depress it”</w:t>
      </w:r>
      <w:r>
        <w:rPr>
          <w:rFonts w:hint="default" w:ascii="Times New Roman Regular" w:hAnsi="Times New Roman Regular" w:cs="Times New Roman Regular" w:eastAsiaTheme="minorEastAsia"/>
        </w:rPr>
        <w:t xml:space="preserve"> (p. 113). This mechanism explains why the Qing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real tax revenue peaked early in the eighteenth century and then declined steadily through the prosperous High Qing period, long before the military and social upheavals of the nineteenth century.</w:t>
      </w:r>
    </w:p>
    <w:p w14:paraId="65293D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机制5：动态陷阱——经济增长恶化财政能力。</w:t>
      </w:r>
      <w:r>
        <w:rPr>
          <w:rFonts w:hint="default" w:ascii="Times New Roman Regular" w:hAnsi="Times New Roman Regular" w:cs="Times New Roman Regular" w:eastAsiaTheme="minorEastAsia"/>
        </w:rPr>
        <w:t xml:space="preserve"> 随着人口N增长，勒索ε</w:t>
      </w:r>
      <w:r>
        <w:rPr>
          <w:rStyle w:val="9"/>
          <w:rFonts w:hint="default" w:ascii="Times New Roman Regular" w:hAnsi="Times New Roman Regular" w:cs="Times New Roman Regular" w:eastAsiaTheme="minorEastAsia"/>
        </w:rPr>
        <w:t>上升（dε</w:t>
      </w:r>
      <w:r>
        <w:rPr>
          <w:rFonts w:hint="default" w:ascii="Times New Roman Regular" w:hAnsi="Times New Roman Regular" w:cs="Times New Roman Regular" w:eastAsiaTheme="minorEastAsia"/>
        </w:rPr>
        <w:t>/dN &gt; 0），税率τ</w:t>
      </w:r>
      <w:r>
        <w:rPr>
          <w:rStyle w:val="9"/>
          <w:rFonts w:hint="default" w:ascii="Times New Roman Regular" w:hAnsi="Times New Roman Regular" w:cs="Times New Roman Regular" w:eastAsiaTheme="minorEastAsia"/>
        </w:rPr>
        <w:t>下降（dτ</w:t>
      </w:r>
      <w:r>
        <w:rPr>
          <w:rFonts w:hint="default" w:ascii="Times New Roman Regular" w:hAnsi="Times New Roman Regular" w:cs="Times New Roman Regular" w:eastAsiaTheme="minorEastAsia"/>
        </w:rPr>
        <w:t>/dN &lt; 0）。当</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足够小时，负效应（税率下降）最终压倒正效应（税基增长），总税收VR = τ*βY呈驼峰形（第113页）。这就是命题3：</w:t>
      </w:r>
      <w:r>
        <w:rPr>
          <w:rFonts w:hint="default" w:ascii="Times New Roman Regular" w:hAnsi="Times New Roman Regular" w:cs="Times New Roman Regular"/>
          <w:lang w:val="en-US"/>
        </w:rPr>
        <w:t>“如果委托—代理问题严重，经济扩张最初将增加税收，但最终会压低税收”</w:t>
      </w:r>
      <w:r>
        <w:rPr>
          <w:rFonts w:hint="default" w:ascii="Times New Roman Regular" w:hAnsi="Times New Roman Regular" w:cs="Times New Roman Regular" w:eastAsiaTheme="minorEastAsia"/>
        </w:rPr>
        <w:t>（第113页）。这一机制解释了为何清朝的实际税收在十八世纪初达到峰值，然后在繁荣的盛清时期稳步下降，远早于十九世纪的军事和社会动荡。</w:t>
      </w:r>
    </w:p>
    <w:p w14:paraId="5BFA109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Mechanism 6: Fiscal decline leading to reduced public goods and vulnerability.</w:t>
      </w:r>
      <w:r>
        <w:rPr>
          <w:rFonts w:hint="default" w:ascii="Times New Roman Regular" w:hAnsi="Times New Roman Regular" w:cs="Times New Roman Regular" w:eastAsiaTheme="minorEastAsia"/>
        </w:rPr>
        <w:t xml:space="preserve"> The sustained revenue contraction led to cuts in military spending (troop numbers declined in southern provinces before the Opium War) and administrative underinvestment (the number of counties barely increased despite a population that more than doubled). Understaffed and underfunded magistracies could not maintain social order, especially in fast-growing frontier areas where communal violence was common (p. 122). The White Lotus Rebellion (1796–1804), the Taiping Rebellion (1850–64), and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defeat in the Opium War (1839–42) were all consequences, not causes, of this long-term fiscal and administrative decline (pp. 119–123).</w:t>
      </w:r>
    </w:p>
    <w:p w14:paraId="17D06F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机制6：财政衰退导致公共物品减少和脆弱性。</w:t>
      </w:r>
      <w:r>
        <w:rPr>
          <w:rFonts w:hint="default" w:ascii="Times New Roman Regular" w:hAnsi="Times New Roman Regular" w:cs="Times New Roman Regular" w:eastAsiaTheme="minorEastAsia"/>
        </w:rPr>
        <w:t xml:space="preserve"> 持续的收入萎缩导致军费开支削减（南方各省兵力在鸦片战争前即已下降）和行政投入不足（尽管人口翻了一番多，县的数量几乎没有增加）。人手不足、经费匮乏的衙门无法维持社会秩序，尤其是在快速增长的边疆地区，那里社区暴力频发（第122页）。白莲教起义（1796—1804年）、太平天国运动（1850—1864年）以及中国在鸦片战争（1839—1842年）中的战败，都是这一长期财政和行政衰退的后果，而非原因（第119至123页）。</w:t>
      </w:r>
    </w:p>
    <w:p w14:paraId="434C53E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6" o:spt="1" style="height:1.5pt;width:432pt;" fillcolor="#A0A0A0" filled="t" stroked="f" coordsize="21600,21600" o:hr="t" o:hrstd="t" o:hralign="center">
            <v:path/>
            <v:fill on="t" focussize="0,0"/>
            <v:stroke on="f"/>
            <v:imagedata o:title=""/>
            <o:lock v:ext="edit"/>
            <w10:wrap type="none"/>
            <w10:anchorlock/>
          </v:rect>
        </w:pict>
      </w:r>
    </w:p>
    <w:p w14:paraId="141DED3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Data / 数据</w:t>
      </w:r>
    </w:p>
    <w:p w14:paraId="1CBCC9A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paper uses several distinct data sources to test its three main propositions:</w:t>
      </w:r>
    </w:p>
    <w:p w14:paraId="132FDA8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本文使用了几种不同的数据源来检验其三个主要命题：</w:t>
      </w:r>
    </w:p>
    <w:p w14:paraId="1DF635C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Cross-sectional data on prefectures in 1820 (for testing Propositions 1 and 2).</w:t>
      </w:r>
      <w:r>
        <w:rPr>
          <w:rFonts w:hint="default" w:ascii="Times New Roman Regular" w:hAnsi="Times New Roman Regular" w:cs="Times New Roman Regular" w:eastAsiaTheme="minorEastAsia"/>
        </w:rPr>
        <w:t xml:space="preserve"> The unit of analysis is the prefecture, of which there are 268 in China proper. The key dependent variables are (a) land tax per capita in grams of silver and (b) the number of counties per 10,000 km², both measured circa 1820. The key independent variable is the distance from each prefecture to Beijing, calculated as the sum of the GIS-estimated least-cost path from the prefectural seat to the provincial capital plus the imperial postal road distance from the provincial capital to Beijing. The control variables include population density (as a proxy for agricultural output per capita, following Acemoglu et al., 2002), average elevation, a dummy for whether the prefecture is a provincial capital seat, population size, and land area. Data sources include the Harvard University China Historical GIS Project (CHGIS, 2007) for the GIS demarcation of county seats and prefectures; the Grand Gazetteer of the Qing during the Reign of Jiaqing /dʒjɑːˈtʃɪŋ/ as reproduced in Liang /ljɑːŋ/ (2008) for population and land tax quotas; and the Collected Statutes of the Qing Dynasty (Yongzheng /jʊŋˈdʒʌŋ/ edition) for the imperial postal relay routes (pp. 114–115, Table 2).</w:t>
      </w:r>
    </w:p>
    <w:p w14:paraId="0D55DE2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1820年的府级横截面数据（用于检验命题1和2）。</w:t>
      </w:r>
      <w:r>
        <w:rPr>
          <w:rFonts w:hint="default" w:ascii="Times New Roman Regular" w:hAnsi="Times New Roman Regular" w:cs="Times New Roman Regular" w:eastAsiaTheme="minorEastAsia"/>
        </w:rPr>
        <w:t xml:space="preserve"> 分析单位是府，中国本部共268个。关键因变量是（a）以克白银计的人均土地税和（b）每万平方公里的县数，均约在1820年测量。关键自变量是各府到北京的距离，计算方式为GIS估算的从府治到省会的最低成本路径加上省会到北京的帝国驿道距离之和。控制变量包括人口密度（作为人均农业产出的代理变量，遵循阿西莫格鲁等人2002年的方法）、平均海拔、该府是否为省会所在地的虚拟变量、人口总量和土地面积。数据来源包括哈佛大学中国历史地理信息系统项目（CHGIS，2007）提供的县治和府的GIS界定；嘉庆（Jiaqing /dʒjɑːˈtʃɪŋ/）朝《大清一统志》（收录于梁方仲 Liang /ljɑːŋ/，2008）提供的人口和土地税额；以及《大清会典》（雍正 Yongzheng /jʊŋˈdʒʌŋ/ 版）提供的帝国驿道路线（第114至115页，表2）。</w:t>
      </w:r>
    </w:p>
    <w:p w14:paraId="3CD0AAD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Time-series data on Qing state tax revenue, 1650–1850 (for testing Proposition 3).</w:t>
      </w:r>
      <w:r>
        <w:rPr>
          <w:rFonts w:hint="default" w:ascii="Times New Roman Regular" w:hAnsi="Times New Roman Regular" w:cs="Times New Roman Regular" w:eastAsiaTheme="minorEastAsia"/>
        </w:rPr>
        <w:t xml:space="preserve"> The author reconstructed annual tax revenue from multiple published and archival Qing fiscal records. Published sources include the Collected Statutes of the Qing Dynasty, the Encyclopedia of the Historical Records of the Qing, and the Veritable Records of the Qing Dynasty. Archival sources include records from the National Library of China Department of Rare Books and Special Collections and the Library of Ancient Books in Beijing. Revenue includes the land tax (diding, stipulated in silver), the grain tax (land tax stipulated in grain), the salt tax, customs duties, and miscellaneous taxes—with the two land taxes together accounting for more than 80% of total revenue (p. 110, footnote 10). For conversion to real terms, the author uses the Wang /wɑːŋ/ (1992) rice price series. For per capita calculations, the author uses Perkins /ˈpɜːrkɪnz/ (1969) population estimates (pp. 117–118).</w:t>
      </w:r>
    </w:p>
    <w:p w14:paraId="21A22F4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清朝国家税收的时间序列数据，1650—1850年（用于检验命题3）。</w:t>
      </w:r>
      <w:r>
        <w:rPr>
          <w:rFonts w:hint="default" w:ascii="Times New Roman Regular" w:hAnsi="Times New Roman Regular" w:cs="Times New Roman Regular" w:eastAsiaTheme="minorEastAsia"/>
        </w:rPr>
        <w:t xml:space="preserve"> 作者从多种已出版和档案的清朝财政记录中重建了年度税收。已出版来源包括《大清会典》、《清朝文献通考》和《清实录》。档案来源包括中国国家图书馆善本特藏部和北京古籍图书馆的记录。收入包括土地税（地丁，以白银计定）、漕粮（以粮食计定的土地税）、盐税、关税和杂税——两种土地税合计占总收入的80%以上（第110页，注释10）。为折算为实际值，作者使用王业键（Wang /wɑːŋ/，1992）的米价序列。为计算人均值，作者使用珀金斯（Perkins /ˈpɜːrkɪnz/，1969）的人口估计（第117至118页）。</w:t>
      </w:r>
    </w:p>
    <w:p w14:paraId="0558E4D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Historical narrative evidence on public goods provision.</w:t>
      </w:r>
      <w:r>
        <w:rPr>
          <w:rFonts w:hint="default" w:ascii="Times New Roman Regular" w:hAnsi="Times New Roman Regular" w:cs="Times New Roman Regular" w:eastAsiaTheme="minorEastAsia"/>
        </w:rPr>
        <w:t xml:space="preserve"> For military strength, the author uses troop deployment data from the Green Standard Army in four southern provinces—Guangdong /ɡwɑːŋˈdɒŋ/, Fujian /fuːˈdʒjɛn/, Zhejiang /dʒʌˈdʒjɑːŋ/, and Guangxi /ɡwɑːŋˈʃiː/—from Wang Qingyun /wɑːŋ tʃɪŋˈjuːn/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(1890) collection (Table 6, p. 122). For local administration, the author draws on secondary scholarship documenting the growth of the magistrate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workload, the outlawing of litigation masters, and the undergovernment of frontier societies (pp. 121–122). For social unrest, the author uses Chen Gaoyong /tʃɛn ɡaʊˈjʊŋ/</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(1939) chronicle of uprisings to construct a frequency plot of rebellions alongside the tax revenue series (p. 123, Fig. 4).</w:t>
      </w:r>
    </w:p>
    <w:p w14:paraId="40FD625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关于公共物品供给的历史叙事证据。</w:t>
      </w:r>
      <w:r>
        <w:rPr>
          <w:rFonts w:hint="default" w:ascii="Times New Roman Regular" w:hAnsi="Times New Roman Regular" w:cs="Times New Roman Regular" w:eastAsiaTheme="minorEastAsia"/>
        </w:rPr>
        <w:t xml:space="preserve"> 关于军事力量，作者使用四个南方省份——广东（Guangdong /ɡwɑːŋˈdɒŋ/）、福建（Fujian /fuːˈdʒjɛn/）、浙江（Zhejiang /dʒʌˈdʒjɑːŋ/）和广西（Guangxi /ɡwɑːŋˈʃiː/）——的绿营兵部署数据，来自王庆云（Wang Qingyun /wɑːŋ tʃɪŋˈjuːn/，1890）的汇编（表6，第122页）。关于地方行政，作者引用了记录知县工作量增长、禁止讼师、以及边疆社会治理不足的二手学术研究（第121至122页）。关于社会动乱，作者使用陈高佣（Chen Gaoyong /tʃɛn ɡaʊˈjʊŋ/，1939）的历代天灾人祸编年表构建了叛乱频次图，与税收序列并列展示（第123页，图4）。</w:t>
      </w:r>
    </w:p>
    <w:p w14:paraId="5985173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7" o:spt="1" style="height:1.5pt;width:432pt;" fillcolor="#A0A0A0" filled="t" stroked="f" coordsize="21600,21600" o:hr="t" o:hrstd="t" o:hralign="center">
            <v:path/>
            <v:fill on="t" focussize="0,0"/>
            <v:stroke on="f"/>
            <v:imagedata o:title=""/>
            <o:lock v:ext="edit"/>
            <w10:wrap type="none"/>
            <w10:anchorlock/>
          </v:rect>
        </w:pict>
      </w:r>
    </w:p>
    <w:p w14:paraId="35A87BB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Methods / 方法</w:t>
      </w:r>
    </w:p>
    <w:p w14:paraId="1D7BB6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paper employs a combination of formal modeling, cross-sectional regression analysis, time-series construction, and historical narrative.</w:t>
      </w:r>
    </w:p>
    <w:p w14:paraId="5153B8D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本文综合运用了形式化建模、横截面回归分析、时间序列构建和历史叙事。</w:t>
      </w:r>
    </w:p>
    <w:p w14:paraId="47DCA16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Formal model.</w:t>
      </w:r>
      <w:r>
        <w:rPr>
          <w:rFonts w:hint="default" w:ascii="Times New Roman Regular" w:hAnsi="Times New Roman Regular" w:cs="Times New Roman Regular" w:eastAsiaTheme="minorEastAsia"/>
        </w:rPr>
        <w:t xml:space="preserve"> The core theoretical contribution is a simple game-theoretic model involving three players: the ruler (principal), a representative tax agent, and a peasant population. The ruler sets the tax rate τ, the agent chooses an extortion level ε, and the peasants revolt if the combined burden τ + ε exceeds a threshold r. The ruler audits the agent after tax collection; the probability of catching the agent is mε². The model is solved by backward induction and yields closed-form solutions for the equilibrium tax rate, extortion rate, and bureaucratic size. The model generates three propositions: (1) a severe principal-agent problem leads to low taxes and a weak state; (2) it leads to a small bureaucracy; (3) under severe agency costs, economic expansion eventually depresses tax revenue (pp. 111–113).</w:t>
      </w:r>
    </w:p>
    <w:p w14:paraId="5E094B4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形式化模型。</w:t>
      </w:r>
      <w:r>
        <w:rPr>
          <w:rFonts w:hint="default" w:ascii="Times New Roman Regular" w:hAnsi="Times New Roman Regular" w:cs="Times New Roman Regular" w:eastAsiaTheme="minorEastAsia"/>
        </w:rPr>
        <w:t xml:space="preserve"> 核心理论贡献是一个涉及三个参与者的简单博弈论模型：统治者（委托人）、一个代表性税务代理人和农民群体。统治者设定税率τ，代理人选择勒索水平ε，如果合计负担τ + ε超过门槛r，农民就造反。统治者在税收征收后审计代理人；抓获代理人的概率为mε²。模型通过逆向归纳法求解，得出均衡税率、勒索率和官僚规模的闭式解。模型产生三个命题：(1) 严重的委托—代理问题导致低税收和弱国家；(2) 导致小官僚机构；(3) 在严重的代理成本下，经济扩张最终压低税收（第111至113页）。</w:t>
      </w:r>
    </w:p>
    <w:p w14:paraId="292641C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Cross-sectional regressions.</w:t>
      </w:r>
      <w:r>
        <w:rPr>
          <w:rFonts w:hint="default" w:ascii="Times New Roman Regular" w:hAnsi="Times New Roman Regular" w:cs="Times New Roman Regular" w:eastAsiaTheme="minorEastAsia"/>
        </w:rPr>
        <w:t xml:space="preserve"> To test Propositions 1 and 2, the author estimates log-linear regressions (Eq. 4, p. 114) where the dependent variable is either log(tax per capita) or log(counties per 10,000 km²), and the key regressor is distance from Beijing (in 1000 km). Standard errors are clustered by province to address potential heteroskedasticity. The baseline OLS results show that every 1000 km increase in distance from Beijing is associated with a statistically significant decrease in both land tax per capita and administrative density (Table 3, p. 117). The author addresses endogeneity concerns (that postal routes might have been routed through heavily taxed regions) in two ways: first, by showing via GIS analysis that the hypothetical slope-dependent least-cost road network closely resembles the historical imperial road system, suggesting the road system was determined mainly by physical geography rather than human choices (p. 116); second, by using the straight-line distance between each prefecture and Beijing as an instrument for road distance in IV regressions. The IV results are stable: every 1000 km increase in distance is associated with a 25.9% decrease in tax per capita and a 25.7% decrease in county density (Table 4, p. 118). Multiple robustness checks are performed, including restricting the sample to the </w:t>
      </w:r>
      <w:r>
        <w:rPr>
          <w:rFonts w:hint="default" w:ascii="Times New Roman Regular" w:hAnsi="Times New Roman Regular" w:cs="Times New Roman Regular"/>
          <w:lang w:val="en-US"/>
        </w:rPr>
        <w:t>“developed area”</w:t>
      </w:r>
      <w:r>
        <w:rPr>
          <w:rFonts w:hint="default" w:ascii="Times New Roman Regular" w:hAnsi="Times New Roman Regular" w:cs="Times New Roman Regular" w:eastAsiaTheme="minorEastAsia"/>
        </w:rPr>
        <w:t xml:space="preserve"> in the east, dropping outlier prefectures with extremely low taxes (which had experienced recent rebellions), restricting the sample to prefectures within 1500 km of Beijing, adding dummy variables for Yellow River proximity and southern provinces, using linear instead of log-linear specifications, and using alternative measures of distance, tax, and administrative density (Tables 4 and A1, pp. 118, 124–125).</w:t>
      </w:r>
    </w:p>
    <w:p w14:paraId="2183ED5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横截面回归。</w:t>
      </w:r>
      <w:r>
        <w:rPr>
          <w:rFonts w:hint="default" w:ascii="Times New Roman Regular" w:hAnsi="Times New Roman Regular" w:cs="Times New Roman Regular" w:eastAsiaTheme="minorEastAsia"/>
        </w:rPr>
        <w:t xml:space="preserve"> 为检验命题1和2，作者估计了对数线性回归（方程4，第114页），因变量为log(人均税收)或log(每万平方公里县数)，关键回归变量为到北京的距离（以千公里计）。标准误按省聚类以应对潜在异方差性。基线OLS结果表明，距北京每增加1000公里，人均土地税和行政密度均显著下降（表3，第117页）。作者通过两种方式解决内生性疑虑（驿道可能经过高税区）：首先，通过GIS分析表明假设的基于坡度的最低成本路网与历史帝国驿道系统高度相似，暗示驿道系统主要由自然地理而非人为选择决定（第116页）；其次，使用各府到北京的直线距离作为路线距离的工具变量进行IV回归。IV结果稳定：距离每增加1000公里，人均税收减少25.9%，县密度减少25.7%（表4，第118页）。进行了多项稳健性检验，包括将样本限制在东部</w:t>
      </w:r>
      <w:r>
        <w:rPr>
          <w:rFonts w:hint="default" w:ascii="Times New Roman Regular" w:hAnsi="Times New Roman Regular" w:cs="Times New Roman Regular"/>
          <w:lang w:val="en-US"/>
        </w:rPr>
        <w:t>“发达地区”</w:t>
      </w:r>
      <w:r>
        <w:rPr>
          <w:rFonts w:hint="default" w:ascii="Times New Roman Regular" w:hAnsi="Times New Roman Regular" w:cs="Times New Roman Regular" w:eastAsiaTheme="minorEastAsia"/>
        </w:rPr>
        <w:t>、剔除税收极低的异常值府（这些府近期经历过叛乱）、将样本限制在距北京1500公里以内的府、为是否临近黄河和南方省份添加虚拟变量、使用线性而非对数线性模型、以及使用距离、税收和行政密度的替代度量（表4和表A1，第118、124至125页）。</w:t>
      </w:r>
    </w:p>
    <w:p w14:paraId="215DF3B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The key assumptions for these methods to be valid are:</w:t>
      </w:r>
      <w:r>
        <w:rPr>
          <w:rFonts w:hint="default" w:ascii="Times New Roman Regular" w:hAnsi="Times New Roman Regular" w:cs="Times New Roman Regular" w:eastAsiaTheme="minorEastAsia"/>
        </w:rPr>
        <w:t xml:space="preserve"> (a) that the instrument (straight-line distance) satisfies the exclusion restriction—that it affects tax per capita and county density only through its effect on road distance (and hence monitoring difficulty), not through other channels. This is plausible but not beyond challenge, as straight-line distance from the capital could correlate with other factors such as economic geography, proximity to foreign threats, or historical patterns of settlement. (b) That the distance-based measure adequately captures monitoring difficulty, which conflates geographic distance with other correlated factors. (c) That the cross-sectional data from 1820 reflects long-run equilibrium patterns rather than short-run shocks. (d) That the relationship is not driven by reverse causation (e.g., the state taxing more in areas where it already had more administrative presence, rather than the other way around).</w:t>
      </w:r>
    </w:p>
    <w:p w14:paraId="253A8DB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这些方法有效性所依赖的关键假设是：</w:t>
      </w:r>
      <w:r>
        <w:rPr>
          <w:rFonts w:hint="default" w:ascii="Times New Roman Regular" w:hAnsi="Times New Roman Regular" w:cs="Times New Roman Regular" w:eastAsiaTheme="minorEastAsia"/>
        </w:rPr>
        <w:t>（a）工具变量（直线距离）满足排除性限制——它仅通过影响道路距离（从而影响监督难度）来影响人均税收和县密度，不通过其他渠道。这是合理的但并非不可质疑，因为到首都的直线距离可能与其他因素相关，如经济地理、与外部威胁的距离、或历史上的定居模式。（b）基于距离的度量充分捕捉了监督难度，实际上这与其他相关因素混合在一起。（c）1820年的横截面数据反映的是长期均衡模式而非短期冲击。（d）关系不是由反向因果驱动的（例如，国家在已有更多行政存在的地方征收更多税收，而非反过来）。</w:t>
      </w:r>
    </w:p>
    <w:p w14:paraId="6A179A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Time-series reconstruction.</w:t>
      </w:r>
      <w:r>
        <w:rPr>
          <w:rFonts w:hint="default" w:ascii="Times New Roman Regular" w:hAnsi="Times New Roman Regular" w:cs="Times New Roman Regular" w:eastAsiaTheme="minorEastAsia"/>
        </w:rPr>
        <w:t xml:space="preserve"> For Proposition 3, the author reconstructed Qing tax revenue year by year from 1650 to 1850. The reconstruction draws on both national-level aggregates from the Veritable Records and more reliable provincial-level breakdowns from other official sources. The real revenue series is obtained by deflating with rice prices; per capita revenue is computed using population estimates. The resulting figure (Fig. 3, p. 120) shows a clear hump-shaped pattern: nominal revenue rose steadily but real revenue peaked around the early 1700s and then declined, while per capita revenue fell more precipitously—from enough to feed and clothe 9.6% of the population in 1685 to only 2.3% in 1848. This is descriptive rather than causal, but the pattern is striking and directly consistent with Proposition 3.</w:t>
      </w:r>
    </w:p>
    <w:p w14:paraId="1CAC4B1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时间序列重建。</w:t>
      </w:r>
      <w:r>
        <w:rPr>
          <w:rFonts w:hint="default" w:ascii="Times New Roman Regular" w:hAnsi="Times New Roman Regular" w:cs="Times New Roman Regular" w:eastAsiaTheme="minorEastAsia"/>
        </w:rPr>
        <w:t xml:space="preserve"> 对于命题3，作者逐年重建了1650至1850年的清朝税收。重建工作既利用了《清实录》的全国性汇总数据，也利用了其他官方来源中更可靠的省级分项数据。实际收入序列通过米价平减获得；人均收入使用人口估计值计算。得到的图表（图3，第120页）呈现明显的驼峰形模式：名义收入稳步上升，但实际收入约在1700年代初达到峰值后下降，而人均收入下降更为剧烈——从1685年足以养活9.6%人口降至1848年仅2.3%。这是描述性而非因果性的，但这一模式引人注目且与命题3直接一致。</w:t>
      </w:r>
    </w:p>
    <w:p w14:paraId="4ADACB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Historical narrative.</w:t>
      </w:r>
      <w:r>
        <w:rPr>
          <w:rFonts w:hint="default" w:ascii="Times New Roman Regular" w:hAnsi="Times New Roman Regular" w:cs="Times New Roman Regular" w:eastAsiaTheme="minorEastAsia"/>
        </w:rPr>
        <w:t xml:space="preserve"> The final empirical component uses qualitative historical evidence to trace the consequences of fiscal decline. This includes analysis of troop deployment records, imperial edicts revealing the emperor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awareness of military weaknesses (Emperor Qianlong /tʃjɛnˈlʊŋ/</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1793 directive after the Macartney /məˈkɑːrtni/ Mission, Emperor Daoguang /daʊˈɡwɑːŋ/</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1834 lament), the stagnation of the county system, and the geographical origins of major rebellions in undergovernment frontier areas (pp. 119–123). The historical narrative is not formally tested but serves as process-tracing evidence linking fiscal decline to concrete policy outcomes and eventual state failure.</w:t>
      </w:r>
    </w:p>
    <w:p w14:paraId="6F8B39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历史叙事。</w:t>
      </w:r>
      <w:r>
        <w:rPr>
          <w:rFonts w:hint="default" w:ascii="Times New Roman Regular" w:hAnsi="Times New Roman Regular" w:cs="Times New Roman Regular" w:eastAsiaTheme="minorEastAsia"/>
        </w:rPr>
        <w:t xml:space="preserve"> 最后的经验部分使用定性历史证据追踪财政衰退的后果。包括分析军队部署记录、皇帝诏书中显示皇帝对军事弱点的认识（乾隆帝 Qianlong /tʃjɛnˈlʊŋ/ 1793年马戛尔尼 Macartney /məˈkɑːrtni/ 使团后的指令、道光帝 Daoguang /daʊˈɡwɑːŋ/ 1834年的感叹）、县制的停滞、以及主要叛乱发生在治理不足的边疆地区的地理起源（第119至123页）。历史叙事未经正式检验，但作为过程追踪证据，将财政衰退与具体政策后果和最终国家失败联系起来。</w:t>
      </w:r>
    </w:p>
    <w:p w14:paraId="0BEA6F86">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8" o:spt="1" style="height:1.5pt;width:432pt;" fillcolor="#A0A0A0" filled="t" stroked="f" coordsize="21600,21600" o:hr="t" o:hrstd="t" o:hralign="center">
            <v:path/>
            <v:fill on="t" focussize="0,0"/>
            <v:stroke on="f"/>
            <v:imagedata o:title=""/>
            <o:lock v:ext="edit"/>
            <w10:wrap type="none"/>
            <w10:anchorlock/>
          </v:rect>
        </w:pict>
      </w:r>
    </w:p>
    <w:p w14:paraId="45C7FDD3">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Contribution / 贡献</w:t>
      </w:r>
    </w:p>
    <w:p w14:paraId="4C44809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paper makes several significant contributions that would be recognized by the scholarly community:</w:t>
      </w:r>
    </w:p>
    <w:p w14:paraId="5F7C6D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本文做出了几项将获得学术界认可的重要贡献：</w:t>
      </w:r>
    </w:p>
    <w:p w14:paraId="08FBC3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First, it offers a </w:t>
      </w:r>
      <w:r>
        <w:rPr>
          <w:rStyle w:val="8"/>
          <w:rFonts w:hint="default" w:ascii="Times New Roman Regular" w:hAnsi="Times New Roman Regular" w:cs="Times New Roman Regular" w:eastAsiaTheme="minorEastAsia"/>
        </w:rPr>
        <w:t>new theoretical framework</w:t>
      </w:r>
      <w:r>
        <w:rPr>
          <w:rFonts w:hint="default" w:ascii="Times New Roman Regular" w:hAnsi="Times New Roman Regular" w:cs="Times New Roman Regular" w:eastAsiaTheme="minorEastAsia"/>
        </w:rPr>
        <w:t xml:space="preserve"> that reconciles seemingly contradictory features of the late imperial Chinese state—absolutist yet weak, low-taxing yet exploitative—within a single, parsimonious model. By applying the principal-agent framework to the Chinese case, Sng provides a rational-choice explanation for the fiscal weakness of a unified empire that does not require assumptions about cultural stagnation, ideological rigidity, or irrational despotism (p. 107). This is a significant contribution to the comparative state formation literature, which has long been dominated by the European experience (Tilly, 1990; Dincecco, 2011).</w:t>
      </w:r>
    </w:p>
    <w:p w14:paraId="3795EB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首先，它提供了一个</w:t>
      </w:r>
      <w:r>
        <w:rPr>
          <w:rStyle w:val="8"/>
          <w:rFonts w:hint="default" w:ascii="Times New Roman Regular" w:hAnsi="Times New Roman Regular" w:cs="Times New Roman Regular" w:eastAsiaTheme="minorEastAsia"/>
        </w:rPr>
        <w:t>新的理论框架</w:t>
      </w:r>
      <w:r>
        <w:rPr>
          <w:rFonts w:hint="default" w:ascii="Times New Roman Regular" w:hAnsi="Times New Roman Regular" w:cs="Times New Roman Regular" w:eastAsiaTheme="minorEastAsia"/>
        </w:rPr>
        <w:t>，在一个简约的模型中调和了晚期中华帝国国家看似矛盾的特征——专制却虚弱、低税却剥削性。通过将委托—代理框架应用于中国案例，孙端辉为统一帝国的财政虚弱提供了一个理性选择解释，无需假设文化停滞、意识形态僵化或非理性专制（第107页）。这是对比较国家形成文献的重要贡献，该文献长期以欧洲经验为主导（蒂利，1990；丁切科，2011）。</w:t>
      </w:r>
    </w:p>
    <w:p w14:paraId="1F3368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most novel theoretical contribution is </w:t>
      </w:r>
      <w:r>
        <w:rPr>
          <w:rStyle w:val="8"/>
          <w:rFonts w:hint="default" w:ascii="Times New Roman Regular" w:hAnsi="Times New Roman Regular" w:cs="Times New Roman Regular" w:eastAsiaTheme="minorEastAsia"/>
        </w:rPr>
        <w:t>Proposition 3—the dynamic prediction that economic growth can worsen fiscal capacity</w:t>
      </w:r>
      <w:r>
        <w:rPr>
          <w:rFonts w:hint="default" w:ascii="Times New Roman Regular" w:hAnsi="Times New Roman Regular" w:cs="Times New Roman Regular" w:eastAsiaTheme="minorEastAsia"/>
        </w:rPr>
        <w:t xml:space="preserve"> when agency costs are severe. This </w:t>
      </w:r>
      <w:r>
        <w:rPr>
          <w:rFonts w:hint="default" w:ascii="Times New Roman Regular" w:hAnsi="Times New Roman Regular" w:cs="Times New Roman Regular"/>
          <w:lang w:val="en-US"/>
        </w:rPr>
        <w:t>“paradox of development”</w:t>
      </w:r>
      <w:r>
        <w:rPr>
          <w:rFonts w:hint="default" w:ascii="Times New Roman Regular" w:hAnsi="Times New Roman Regular" w:cs="Times New Roman Regular" w:eastAsiaTheme="minorEastAsia"/>
        </w:rPr>
        <w:t xml:space="preserve"> is a genuinely new insight with implications beyond the Chinese case: it suggests that any large, centralized polity with weak monitoring capacity may face an inherent tension between economic prosperity and state capacity. This connects to Ian Morris /ˈɪən ˈmɒrɪs/</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broader observation that </w:t>
      </w:r>
      <w:r>
        <w:rPr>
          <w:rFonts w:hint="default" w:ascii="Times New Roman Regular" w:hAnsi="Times New Roman Regular" w:cs="Times New Roman Regular"/>
          <w:lang w:val="en-US"/>
        </w:rPr>
        <w:t>“social development creates the very forces that undermine it”</w:t>
      </w:r>
      <w:r>
        <w:rPr>
          <w:rFonts w:hint="default" w:ascii="Times New Roman Regular" w:hAnsi="Times New Roman Regular" w:cs="Times New Roman Regular" w:eastAsiaTheme="minorEastAsia"/>
        </w:rPr>
        <w:t xml:space="preserve"> (p. 119).</w:t>
      </w:r>
    </w:p>
    <w:p w14:paraId="79BB47A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其次，本文最新颖的理论贡献是</w:t>
      </w:r>
      <w:r>
        <w:rPr>
          <w:rStyle w:val="8"/>
          <w:rFonts w:hint="default" w:ascii="Times New Roman Regular" w:hAnsi="Times New Roman Regular" w:cs="Times New Roman Regular" w:eastAsiaTheme="minorEastAsia"/>
        </w:rPr>
        <w:t>命题3——当代理成本严重时，经济增长可能恶化财政能力的动态预测</w:t>
      </w:r>
      <w:r>
        <w:rPr>
          <w:rFonts w:hint="default" w:ascii="Times New Roman Regular" w:hAnsi="Times New Roman Regular" w:cs="Times New Roman Regular" w:eastAsiaTheme="minorEastAsia"/>
        </w:rPr>
        <w:t>。这一</w:t>
      </w:r>
      <w:r>
        <w:rPr>
          <w:rFonts w:hint="default" w:ascii="Times New Roman Regular" w:hAnsi="Times New Roman Regular" w:cs="Times New Roman Regular"/>
          <w:lang w:val="en-US"/>
        </w:rPr>
        <w:t>“发展悖论”</w:t>
      </w:r>
      <w:r>
        <w:rPr>
          <w:rFonts w:hint="default" w:ascii="Times New Roman Regular" w:hAnsi="Times New Roman Regular" w:cs="Times New Roman Regular" w:eastAsiaTheme="minorEastAsia"/>
        </w:rPr>
        <w:t>是一个真正的新洞见，其含义超越了中国案例：它暗示任何大型、中央集权、监督能力弱的政体都可能面临经济繁荣与国家能力之间的内在张力。这与伊恩·莫里斯（Ian Morris /ˈɪən ˈmɒrɪs/）更广泛的观察相呼应：</w:t>
      </w:r>
      <w:r>
        <w:rPr>
          <w:rFonts w:hint="default" w:ascii="Times New Roman Regular" w:hAnsi="Times New Roman Regular" w:cs="Times New Roman Regular"/>
          <w:lang w:val="en-US"/>
        </w:rPr>
        <w:t>“社会发展创造了恰恰颠覆它的力量”</w:t>
      </w:r>
      <w:r>
        <w:rPr>
          <w:rFonts w:hint="default" w:ascii="Times New Roman Regular" w:hAnsi="Times New Roman Regular" w:cs="Times New Roman Regular" w:eastAsiaTheme="minorEastAsia"/>
        </w:rPr>
        <w:t>（第119页）。</w:t>
      </w:r>
    </w:p>
    <w:p w14:paraId="40B7CEB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Third, the paper contributes </w:t>
      </w:r>
      <w:r>
        <w:rPr>
          <w:rStyle w:val="8"/>
          <w:rFonts w:hint="default" w:ascii="Times New Roman Regular" w:hAnsi="Times New Roman Regular" w:cs="Times New Roman Regular" w:eastAsiaTheme="minorEastAsia"/>
        </w:rPr>
        <w:t>original data</w:t>
      </w:r>
      <w:r>
        <w:rPr>
          <w:rFonts w:hint="default" w:ascii="Times New Roman Regular" w:hAnsi="Times New Roman Regular" w:cs="Times New Roman Regular" w:eastAsiaTheme="minorEastAsia"/>
        </w:rPr>
        <w:t>: the reconstruction of the Qing state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annual tax revenue from 1650 to 1850, drawing on both published and previously underutilized archival sources. This time series is a valuable empirical contribution in its own right, documenting a striking hump-shaped fiscal pattern that had not been systematically demonstrated before (pp. 117–120, Fig. 3).</w:t>
      </w:r>
    </w:p>
    <w:p w14:paraId="11947A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第三，本文贡献了</w:t>
      </w:r>
      <w:r>
        <w:rPr>
          <w:rStyle w:val="8"/>
          <w:rFonts w:hint="default" w:ascii="Times New Roman Regular" w:hAnsi="Times New Roman Regular" w:cs="Times New Roman Regular" w:eastAsiaTheme="minorEastAsia"/>
        </w:rPr>
        <w:t>原创数据</w:t>
      </w:r>
      <w:r>
        <w:rPr>
          <w:rFonts w:hint="default" w:ascii="Times New Roman Regular" w:hAnsi="Times New Roman Regular" w:cs="Times New Roman Regular" w:eastAsiaTheme="minorEastAsia"/>
        </w:rPr>
        <w:t>：重建了1650至1850年清朝国家的年度税收，利用了已出版和此前未充分利用的档案来源。这一时间序列本身就是有价值的经验贡献，记录了一个此前未被系统展示的引人注目的驼峰形财政模式（第117至120页，图3）。</w:t>
      </w:r>
    </w:p>
    <w:p w14:paraId="030891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Fourth, the cross-sectional analysis provides </w:t>
      </w:r>
      <w:r>
        <w:rPr>
          <w:rStyle w:val="8"/>
          <w:rFonts w:hint="default" w:ascii="Times New Roman Regular" w:hAnsi="Times New Roman Regular" w:cs="Times New Roman Regular" w:eastAsiaTheme="minorEastAsia"/>
        </w:rPr>
        <w:t>new descriptive patterns</w:t>
      </w:r>
      <w:r>
        <w:rPr>
          <w:rFonts w:hint="default" w:ascii="Times New Roman Regular" w:hAnsi="Times New Roman Regular" w:cs="Times New Roman Regular" w:eastAsiaTheme="minorEastAsia"/>
        </w:rPr>
        <w:t>: the finding that both tax per capita and administrative density decline significantly with distance from Beijing, even after controlling for population density, elevation, and other factors. This spatial gradient is a direct empirical imprint of the principal-agent problem and adds to the burgeoning literature on the spatial dimensions of state capacity (Stasavage /stəˈsɑːvɪdʒ/, 2010; Olsson /ˈɒlsən/ and Hansson /ˈhænsən/, 2011).</w:t>
      </w:r>
    </w:p>
    <w:p w14:paraId="65CE825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第四，横截面分析提供了</w:t>
      </w:r>
      <w:r>
        <w:rPr>
          <w:rStyle w:val="8"/>
          <w:rFonts w:hint="default" w:ascii="Times New Roman Regular" w:hAnsi="Times New Roman Regular" w:cs="Times New Roman Regular" w:eastAsiaTheme="minorEastAsia"/>
        </w:rPr>
        <w:t>新的描述性模式</w:t>
      </w:r>
      <w:r>
        <w:rPr>
          <w:rFonts w:hint="default" w:ascii="Times New Roman Regular" w:hAnsi="Times New Roman Regular" w:cs="Times New Roman Regular" w:eastAsiaTheme="minorEastAsia"/>
        </w:rPr>
        <w:t>：即使在控制了人口密度、海拔和其他因素后，人均税收和行政密度都随到北京的距离增加而显著下降。这一空间梯度是委托—代理问题的直接经验印记，丰富了关于国家能力空间维度的新兴文献（斯塔萨维奇 Stasavage /stəˈsɑːvɪdʒ/，2010；奥尔森 Olsson /ˈɒlsən/ 和汉森 Hansson /ˈhænsən/，2011）。</w:t>
      </w:r>
    </w:p>
    <w:p w14:paraId="291DB1D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Fifth, the paper contributes to the </w:t>
      </w:r>
      <w:r>
        <w:rPr>
          <w:rStyle w:val="8"/>
          <w:rFonts w:hint="default" w:ascii="Times New Roman Regular" w:hAnsi="Times New Roman Regular" w:cs="Times New Roman Regular"/>
          <w:lang w:val="en-US"/>
        </w:rPr>
        <w:t>“Great Divergence”</w:t>
      </w:r>
      <w:r>
        <w:rPr>
          <w:rStyle w:val="8"/>
          <w:rFonts w:hint="default" w:ascii="Times New Roman Regular" w:hAnsi="Times New Roman Regular" w:cs="Times New Roman Regular" w:eastAsiaTheme="minorEastAsia"/>
        </w:rPr>
        <w:t xml:space="preserve"> debate</w:t>
      </w:r>
      <w:r>
        <w:rPr>
          <w:rFonts w:hint="default" w:ascii="Times New Roman Regular" w:hAnsi="Times New Roman Regular" w:cs="Times New Roman Regular" w:eastAsiaTheme="minorEastAsia"/>
        </w:rPr>
        <w:t xml:space="preserve"> by providing a structural, institutional explanation for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nineteenth-century decline that does not rely on cultural essentialism. Rather than blaming Confucian conservatism or Chinese cultural attitudes, Sng argues that it was structural, fiscal, and administrative weaknesses—consequences of governing a vast territory with imperfect monitoring—that left China unable to respond to the rise of the West. </w:t>
      </w:r>
      <w:r>
        <w:rPr>
          <w:rFonts w:hint="default" w:ascii="Times New Roman Regular" w:hAnsi="Times New Roman Regular" w:cs="Times New Roman Regular"/>
          <w:lang w:val="en-US"/>
        </w:rPr>
        <w:t>“It was structural, fiscal, and administrative weaknesses, not ignorance and hubris, that resulted in China’s inability to respond more resolutely to the rise of the West”</w:t>
      </w:r>
      <w:r>
        <w:rPr>
          <w:rFonts w:hint="default" w:ascii="Times New Roman Regular" w:hAnsi="Times New Roman Regular" w:cs="Times New Roman Regular" w:eastAsiaTheme="minorEastAsia"/>
        </w:rPr>
        <w:t xml:space="preserve"> (p. 121).</w:t>
      </w:r>
    </w:p>
    <w:p w14:paraId="00AB3E5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第五，本文为**</w:t>
      </w:r>
      <w:r>
        <w:rPr>
          <w:rFonts w:hint="default" w:ascii="Times New Roman Regular" w:hAnsi="Times New Roman Regular" w:cs="Times New Roman Regular"/>
          <w:lang w:val="en-US"/>
        </w:rPr>
        <w:t>“大分流”</w:t>
      </w:r>
      <w:r>
        <w:rPr>
          <w:rFonts w:hint="default" w:ascii="Times New Roman Regular" w:hAnsi="Times New Roman Regular" w:cs="Times New Roman Regular" w:eastAsiaTheme="minorEastAsia"/>
        </w:rPr>
        <w:t>辩论**做出了贡献，提供了一个关于中国十九世纪衰落的结构性、制度性解释，不依赖文化本质主义。孙端辉没有归咎于儒家保守主义或中国的文化态度，而是论证正是结构性的、财政的和行政的弱点——治理广袤疆域中监督不完善的后果——使中国无力应对西方的崛起。</w:t>
      </w:r>
      <w:r>
        <w:rPr>
          <w:rFonts w:hint="default" w:ascii="Times New Roman Regular" w:hAnsi="Times New Roman Regular" w:cs="Times New Roman Regular"/>
          <w:lang w:val="en-US"/>
        </w:rPr>
        <w:t>“正是结构性的、财政的和行政的弱点，而非无知和傲慢，导致了中国无法更果断地回应西方的崛起”</w:t>
      </w:r>
      <w:r>
        <w:rPr>
          <w:rFonts w:hint="default" w:ascii="Times New Roman Regular" w:hAnsi="Times New Roman Regular" w:cs="Times New Roman Regular" w:eastAsiaTheme="minorEastAsia"/>
        </w:rPr>
        <w:t>（第121页）。</w:t>
      </w:r>
    </w:p>
    <w:p w14:paraId="75920F7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49" o:spt="1" style="height:1.5pt;width:432pt;" fillcolor="#A0A0A0" filled="t" stroked="f" coordsize="21600,21600" o:hr="t" o:hrstd="t" o:hralign="center">
            <v:path/>
            <v:fill on="t" focussize="0,0"/>
            <v:stroke on="f"/>
            <v:imagedata o:title=""/>
            <o:lock v:ext="edit"/>
            <w10:wrap type="none"/>
            <w10:anchorlock/>
          </v:rect>
        </w:pict>
      </w:r>
    </w:p>
    <w:p w14:paraId="0B5BF768">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Suggestions: Limitations and Improvements / 建议：局限与改进</w:t>
      </w:r>
    </w:p>
    <w:p w14:paraId="26CCFD8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Professional scholars and researchers would likely identify the following limitations:</w:t>
      </w:r>
    </w:p>
    <w:p w14:paraId="5B3A72E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专业学者和研究者可能会指出以下局限：</w:t>
      </w:r>
    </w:p>
    <w:p w14:paraId="6024E9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The model is highly stylized and abstracts away from important features.</w:t>
      </w:r>
      <w:r>
        <w:rPr>
          <w:rFonts w:hint="default" w:ascii="Times New Roman Regular" w:hAnsi="Times New Roman Regular" w:cs="Times New Roman Regular" w:eastAsiaTheme="minorEastAsia"/>
        </w:rPr>
        <w:t xml:space="preserve"> The model has only one agent per district, no interaction between agents, no heterogeneity among agents (some were honest, others corrupt), and no role for informal institutions, kinship networks, or cultural norms that shaped governance in practice. The representative agent conflates the magistrate, clerks, runners, and local gentry into a single decision-maker, which obscures the complex and sometimes conflicting incentive structures within each county (pp. 111, footnotes 15–16). A richer model might allow for heterogeneity among agents and incorporate the gentry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dual role as both taxpayers protected from abuse and participants in the exploitation of small farmers (p. 111).</w:t>
      </w:r>
    </w:p>
    <w:p w14:paraId="1E47AD7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模型高度简化，抽象掉了重要特征。</w:t>
      </w:r>
      <w:r>
        <w:rPr>
          <w:rFonts w:hint="default" w:ascii="Times New Roman Regular" w:hAnsi="Times New Roman Regular" w:cs="Times New Roman Regular" w:eastAsiaTheme="minorEastAsia"/>
        </w:rPr>
        <w:t xml:space="preserve"> 模型每个辖区只有一个代理人，代理人之间没有互动，代理人之间没有异质性（有些是廉洁的，有些是腐败的），而且没有为非正式制度、亲属网络或文化规范在实践治理中的角色留出位置。代表性代理人将知县、胥吏、衙役和地方绅士混合为一个单一决策者，这模糊了每个县内部复杂且有时相互冲突的激励结构（第111页，注释15至16）。一个更丰富的模型可以允许代理人异质性，并纳入绅士的双重角色——既是受保护免遭剥削的纳税人，又是小农剥削的参与者（第111页）。</w:t>
      </w:r>
    </w:p>
    <w:p w14:paraId="26144DE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The cross-sectional analysis does not identify causality.</w:t>
      </w:r>
      <w:r>
        <w:rPr>
          <w:rFonts w:hint="default" w:ascii="Times New Roman Regular" w:hAnsi="Times New Roman Regular" w:cs="Times New Roman Regular" w:eastAsiaTheme="minorEastAsia"/>
        </w:rPr>
        <w:t xml:space="preserve"> The author explicitly acknowledges this limitation (p. 115), but it remains a significant one. The negative correlation between distance from Beijing and tax per capita / county density could be driven by many factors other than monitoring costs—for instance, the historical pattern of Chinese state formation, which expanded outward from the North China Plain; differences in agricultural productivity, land tenure systems, or commercial development between north and south; or the strategic importance of regions near the capital for defense. The IV strategy (using straight-line distance as an instrument for road distance) addresses endogeneity of the road network but does not solve the broader exclusion restriction concern: straight-line distance itself may affect outcomes through channels other than monitoring, such as proximity to trade networks, exposure to frontier conflicts, or cultural distance from the center.</w:t>
      </w:r>
    </w:p>
    <w:p w14:paraId="4DEE8F2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横截面分析没有识别因果关系。</w:t>
      </w:r>
      <w:r>
        <w:rPr>
          <w:rFonts w:hint="default" w:ascii="Times New Roman Regular" w:hAnsi="Times New Roman Regular" w:cs="Times New Roman Regular" w:eastAsiaTheme="minorEastAsia"/>
        </w:rPr>
        <w:t xml:space="preserve"> 作者明确承认了这一局限（第115页），但它仍然是一个重要的问题。到北京的距离与人均税收/县密度之间的负相关可能由监督成本以外的许多因素驱动——例如，中国国家形成从华北平原向外扩展的历史模式；南北之间农业生产力、土地保有制度或商业发展的差异；或靠近首都地区在防御方面的战略重要性。IV策略（使用直线距离作为道路距离的工具变量）解决了道路网络的内生性，但没有解决更广泛的排除性限制问题：直线距离本身可能通过监督以外的渠道影响结果，如与贸易网络的距离、边境冲突的暴露程度、或与中心的文化距离。</w:t>
      </w:r>
    </w:p>
    <w:p w14:paraId="60758F5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The time-series evidence is descriptive, not causal.</w:t>
      </w:r>
      <w:r>
        <w:rPr>
          <w:rFonts w:hint="default" w:ascii="Times New Roman Regular" w:hAnsi="Times New Roman Regular" w:cs="Times New Roman Regular" w:eastAsiaTheme="minorEastAsia"/>
        </w:rPr>
        <w:t xml:space="preserve"> The hump-shaped pattern of real tax revenue is striking and consistent with Proposition 3, but the paper does not rule out alternative explanations for the fiscal decline. For example, the decline could be driven by the specific policy of freezing the head tax in 1712 and the decision in the 1730s to stop incentivizing the reporting of newly reclaimed lands—both of which the author discusses (p. 119) but treats as secondary factors rather than competing explanations. It could also be driven by the long-term silver-copper exchange rate fluctuation, the drying up of silver inflows from the Americas and Japan, or the increasing sophistication of tax avoidance by the gentry. The model predicts a hump shape, but many other models could also predict a hump shape for different reasons.</w:t>
      </w:r>
    </w:p>
    <w:p w14:paraId="50F45F6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时间序列证据是描述性的，不是因果性的。</w:t>
      </w:r>
      <w:r>
        <w:rPr>
          <w:rFonts w:hint="default" w:ascii="Times New Roman Regular" w:hAnsi="Times New Roman Regular" w:cs="Times New Roman Regular" w:eastAsiaTheme="minorEastAsia"/>
        </w:rPr>
        <w:t xml:space="preserve"> 实际税收的驼峰形模式引人注目且与命题3一致，但本文没有排除财政衰退的替代解释。例如，衰退可能是由1712年冻结人头税的具体政策和1730年代停止激励报告新垦土地的决定驱动的——作者讨论了这两者（第119页），但将其视为次要因素而非竞争性解释。衰退也可能是由长期银铜汇率波动、来自美洲和日本的白银流入枯竭、或绅士阶层日益精巧的避税手段驱动的。模型预测了驼峰形，但许多其他模型也可能因不同原因预测驼峰形。</w:t>
      </w:r>
    </w:p>
    <w:p w14:paraId="20B923E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The absence of direct corruption data.</w:t>
      </w:r>
      <w:r>
        <w:rPr>
          <w:rFonts w:hint="default" w:ascii="Times New Roman Regular" w:hAnsi="Times New Roman Regular" w:cs="Times New Roman Regular" w:eastAsiaTheme="minorEastAsia"/>
        </w:rPr>
        <w:t xml:space="preserve">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 mechanism is agent extortion, but there is no direct measurement of corruption at the prefectural level. The author openly acknowledges this gap: </w:t>
      </w:r>
      <w:r>
        <w:rPr>
          <w:rFonts w:hint="default" w:ascii="Times New Roman Regular" w:hAnsi="Times New Roman Regular" w:cs="Times New Roman Regular"/>
          <w:lang w:val="en-US"/>
        </w:rPr>
        <w:t>“Due to a lack of data on corruption, I am unable to empirically investigate the relationship between distance and agency costs directly”</w:t>
      </w:r>
      <w:r>
        <w:rPr>
          <w:rFonts w:hint="default" w:ascii="Times New Roman Regular" w:hAnsi="Times New Roman Regular" w:cs="Times New Roman Regular" w:eastAsiaTheme="minorEastAsia"/>
        </w:rPr>
        <w:t xml:space="preserve"> (p. 114). The spatial gradient in taxes and counties is an indirect test—consistent with the hypothesis but also consistent with alternative explanations. Future work could potentially use historical records of impeachments, criminal cases against officials, or reports from the Censorate to construct proxies for corruption.</w:t>
      </w:r>
    </w:p>
    <w:p w14:paraId="5B4C21A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缺乏直接的腐败数据。</w:t>
      </w:r>
      <w:r>
        <w:rPr>
          <w:rFonts w:hint="default" w:ascii="Times New Roman Regular" w:hAnsi="Times New Roman Regular" w:cs="Times New Roman Regular" w:eastAsiaTheme="minorEastAsia"/>
        </w:rPr>
        <w:t xml:space="preserve"> 本文的核心机制是代理人勒索，但没有府级层面的腐败直接度量。作者坦然承认这一缺口：</w:t>
      </w:r>
      <w:r>
        <w:rPr>
          <w:rFonts w:hint="default" w:ascii="Times New Roman Regular" w:hAnsi="Times New Roman Regular" w:cs="Times New Roman Regular"/>
          <w:lang w:val="en-US"/>
        </w:rPr>
        <w:t>“由于缺乏腐败数据，我无法直接经验性地调查距离与代理成本之间的关系”</w:t>
      </w:r>
      <w:r>
        <w:rPr>
          <w:rFonts w:hint="default" w:ascii="Times New Roman Regular" w:hAnsi="Times New Roman Regular" w:cs="Times New Roman Regular" w:eastAsiaTheme="minorEastAsia"/>
        </w:rPr>
        <w:t>（第114页）。税收和县数的空间梯度是间接检验——与假说一致，但也与替代解释一致。未来的研究可能利用弹劾历史记录、针对官员的刑事案件或都察院报告来构建腐败代理变量。</w:t>
      </w:r>
    </w:p>
    <w:p w14:paraId="39617C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The model takes political unification as given.</w:t>
      </w:r>
      <w:r>
        <w:rPr>
          <w:rFonts w:hint="default" w:ascii="Times New Roman Regular" w:hAnsi="Times New Roman Regular" w:cs="Times New Roman Regular" w:eastAsiaTheme="minorEastAsia"/>
        </w:rPr>
        <w:t xml:space="preserve"> The paper explicitly takes the unified, centralized Chinese empire as a point of departure (p. 109). But political unification is itself an outcome that requires explanation—why was China unified in the first place, and why did it remain so? If size causes fiscal weakness, wouldn</w:t>
      </w:r>
      <w:r>
        <w:rPr>
          <w:rFonts w:hint="default" w:ascii="Times New Roman Regular" w:hAnsi="Times New Roman Regular" w:cs="Times New Roman Regular"/>
          <w:lang w:val="en-US"/>
        </w:rPr>
        <w:t>’t</w:t>
      </w:r>
      <w:r>
        <w:rPr>
          <w:rFonts w:hint="default" w:ascii="Times New Roman Regular" w:hAnsi="Times New Roman Regular" w:cs="Times New Roman Regular" w:eastAsiaTheme="minorEastAsia"/>
        </w:rPr>
        <w:t xml:space="preserve"> the logical prediction be that the empire should fragment? This is the question addressed in the companion papers by Ko /koʊ/ and Sng (2013) and Ko, Koyama /kɔɪˈjɑːmə/, and Sng (2014), as well as Fernández-Villaverde et al. (2023)—the </w:t>
      </w:r>
      <w:r>
        <w:rPr>
          <w:rFonts w:hint="default" w:ascii="Times New Roman Regular" w:hAnsi="Times New Roman Regular" w:cs="Times New Roman Regular"/>
          <w:lang w:val="en-US"/>
        </w:rPr>
        <w:t>“Fractured-Land Hypothesis”</w:t>
      </w:r>
      <w:r>
        <w:rPr>
          <w:rFonts w:hint="default" w:ascii="Times New Roman Regular" w:hAnsi="Times New Roman Regular" w:cs="Times New Roman Regular" w:eastAsiaTheme="minorEastAsia"/>
        </w:rPr>
        <w:t xml:space="preserve"> paper we read previously—which argues that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flat, interconnected geography created incentives for unification despite the governance costs. But within the scope of this paper, the exogeneity of unification is an important limitation.</w:t>
      </w:r>
    </w:p>
    <w:p w14:paraId="1977840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模型将政治统一视为给定。</w:t>
      </w:r>
      <w:r>
        <w:rPr>
          <w:rFonts w:hint="default" w:ascii="Times New Roman Regular" w:hAnsi="Times New Roman Regular" w:cs="Times New Roman Regular" w:eastAsiaTheme="minorEastAsia"/>
        </w:rPr>
        <w:t xml:space="preserve"> 本文明确以统一的、中央集权的中华帝国为出发点（第109页）。但政治统一本身是一个需要解释的结果——中国为何一开始就统一了？为何保持统一？如果规模导致财政虚弱，逻辑预测难道不是帝国应该分裂吗？这正是柯（Ko /koʊ/）与孙端辉（2013）以及柯、小山（Koyama /kɔɪˈjɑːmə/）与孙端辉（2014）的配套论文所探讨的问题，还有我们之前读过的费尔南德斯-比利亚韦尔德等人（2023）的</w:t>
      </w:r>
      <w:r>
        <w:rPr>
          <w:rFonts w:hint="default" w:ascii="Times New Roman Regular" w:hAnsi="Times New Roman Regular" w:cs="Times New Roman Regular"/>
          <w:lang w:val="en-US"/>
        </w:rPr>
        <w:t>“碎裂土地假说”</w:t>
      </w:r>
      <w:r>
        <w:rPr>
          <w:rFonts w:hint="default" w:ascii="Times New Roman Regular" w:hAnsi="Times New Roman Regular" w:cs="Times New Roman Regular" w:eastAsiaTheme="minorEastAsia"/>
        </w:rPr>
        <w:t>论文——该论文认为中国平坦、互联的地理创造了统一的激励，尽管有治理成本。但在本文范围内，统一的外生性是一个重要局限。</w:t>
      </w:r>
    </w:p>
    <w:p w14:paraId="2BAA061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6. Limited consideration of the benefits of large size.</w:t>
      </w:r>
      <w:r>
        <w:rPr>
          <w:rFonts w:hint="default" w:ascii="Times New Roman Regular" w:hAnsi="Times New Roman Regular" w:cs="Times New Roman Regular" w:eastAsiaTheme="minorEastAsia"/>
        </w:rPr>
        <w:t xml:space="preserve"> The paper focuses exclusively on the costs of governing a large territory but acknowledges that political unification also brought significant benefits—above all the peace dividend, as Rosenthal /ˈroʊzənθɔːl/ and Wong /wɒŋ/ (2011) highlight (p. 109). A more complete analysis would weigh the costs (fiscal weakness from agency problems) against the benefits (reduced warfare, larger markets, economies of scale in defense) to assess whether the Chinese empire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size was, on net, a help or a hindrance to development. Without this, the paper risks overstating the negative effects of size.</w:t>
      </w:r>
    </w:p>
    <w:p w14:paraId="3071870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6. 对大规模的收益考虑不足。</w:t>
      </w:r>
      <w:r>
        <w:rPr>
          <w:rFonts w:hint="default" w:ascii="Times New Roman Regular" w:hAnsi="Times New Roman Regular" w:cs="Times New Roman Regular" w:eastAsiaTheme="minorEastAsia"/>
        </w:rPr>
        <w:t xml:space="preserve"> 本文专注于治理大领土的成本，但承认政治统一也带来了显著收益——首先是和平红利，正如罗森塔尔（Rosenthal /ˈroʊzənθɔːl/）和王国斌（Wong /wɒŋ/，2011）所强调的（第109页）。一个更完整的分析会权衡成本（代理问题导致的财政虚弱）与收益（减少的战争、更大的市场、防御的规模经济），以评估中国帝国的规模对发展而言究竟是净收益还是净损失。缺少这一点，本文有夸大规模负面效应的风险。</w:t>
      </w:r>
    </w:p>
    <w:p w14:paraId="723C8F91">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0" o:spt="1" style="height:1.5pt;width:432pt;" fillcolor="#A0A0A0" filled="t" stroked="f" coordsize="21600,21600" o:hr="t" o:hrstd="t" o:hralign="center">
            <v:path/>
            <v:fill on="t" focussize="0,0"/>
            <v:stroke on="f"/>
            <v:imagedata o:title=""/>
            <o:lock v:ext="edit"/>
            <w10:wrap type="none"/>
            <w10:anchorlock/>
          </v:rect>
        </w:pict>
      </w:r>
    </w:p>
    <w:p w14:paraId="435D56ED">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Extensions / 扩展</w:t>
      </w:r>
    </w:p>
    <w:p w14:paraId="102DEC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Professional scholars and researchers might propose the following extensions:</w:t>
      </w:r>
    </w:p>
    <w:p w14:paraId="5C2804A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专业学者和研究者可能提出以下扩展方向：</w:t>
      </w:r>
    </w:p>
    <w:p w14:paraId="4EDF92F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Comparative analysis with other large empires.</w:t>
      </w:r>
      <w:r>
        <w:rPr>
          <w:rFonts w:hint="default" w:ascii="Times New Roman Regular" w:hAnsi="Times New Roman Regular" w:cs="Times New Roman Regular" w:eastAsiaTheme="minorEastAsia"/>
        </w:rPr>
        <w:t xml:space="preserve"> The principal-agent framework should apply not only to China but to any large, centralized state. A natural extension would compare the Chinese experience with other large premodern empires—the Ottoman /ˈɒtəmən/ Empire, the Mughal /ˈmuːɡəl/ Empire in India, the Russian Empire—to examine whether similar distance gradients in taxation and administration are observed. If the theory is correct, all large centralized empires should exhibit fiscal weakness relative to their size and a negative distance gradient from the capital. Differences in outcomes could be attributed to variation in monitoring technologies, institutional innovations, or decentralization strategies.</w:t>
      </w:r>
    </w:p>
    <w:p w14:paraId="6DDCC6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1. 与其他大帝国的比较分析。</w:t>
      </w:r>
      <w:r>
        <w:rPr>
          <w:rFonts w:hint="default" w:ascii="Times New Roman Regular" w:hAnsi="Times New Roman Regular" w:cs="Times New Roman Regular" w:eastAsiaTheme="minorEastAsia"/>
        </w:rPr>
        <w:t xml:space="preserve"> 委托—代理框架不仅应适用于中国，还应适用于任何大型中央集权国家。一个自然的扩展是将中国经验与其他大型前现代帝国——奥斯曼帝国（Ottoman /ˈɒtəmən/）、印度的莫卧儿帝国（Mughal /ˈmuːɡəl/）、俄罗斯帝国——进行比较，考察是否观察到类似的税收和行政距离梯度。如果理论正确，所有大型中央集权帝国都应表现出相对于其规模的财政虚弱和从首都出发的负向距离梯度。结果差异可归因于监督技术、制度创新或分权策略的变异。</w:t>
      </w:r>
    </w:p>
    <w:p w14:paraId="45D0355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The role of information technology.</w:t>
      </w:r>
      <w:r>
        <w:rPr>
          <w:rFonts w:hint="default" w:ascii="Times New Roman Regular" w:hAnsi="Times New Roman Regular" w:cs="Times New Roman Regular" w:eastAsiaTheme="minorEastAsia"/>
        </w:rPr>
        <w:t xml:space="preserve"> The model treats monitoring capacity </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 xml:space="preserve"> as fixed. An extension could endogenize </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 xml:space="preserve"> by modeling how improvements in communication technology—the telegraph, the railroad, modern bureaucratic record-keeping—altered the principal-agent problem. This would connect to the broader literature on how information revolutions transform state capacity. For instance, did the introduction of the telegraph in late nineteenth-century China measurably improve the central government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monitoring capacity and fiscal performance?</w:t>
      </w:r>
    </w:p>
    <w:p w14:paraId="3E26CF0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2. 信息技术的角色。</w:t>
      </w:r>
      <w:r>
        <w:rPr>
          <w:rFonts w:hint="default" w:ascii="Times New Roman Regular" w:hAnsi="Times New Roman Regular" w:cs="Times New Roman Regular" w:eastAsiaTheme="minorEastAsia"/>
        </w:rPr>
        <w:t xml:space="preserve"> 模型将监督能力</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视为固定。一个扩展可以通过建模通信技术改进——电报、铁路、现代官僚记录保持——如何改变委托—代理问题来内生化</w:t>
      </w:r>
      <w:r>
        <w:rPr>
          <w:rStyle w:val="9"/>
          <w:rFonts w:hint="default" w:ascii="Times New Roman Regular" w:hAnsi="Times New Roman Regular" w:cs="Times New Roman Regular" w:eastAsiaTheme="minorEastAsia"/>
        </w:rPr>
        <w:t>m</w:t>
      </w:r>
      <w:r>
        <w:rPr>
          <w:rFonts w:hint="default" w:ascii="Times New Roman Regular" w:hAnsi="Times New Roman Regular" w:cs="Times New Roman Regular" w:eastAsiaTheme="minorEastAsia"/>
        </w:rPr>
        <w:t>。这将与关于信息革命如何转变国家能力的更广泛文献相联系。例如，十九世纪晚期中国引入电报是否可测量地改善了中央政府的监督能力和财政表现？</w:t>
      </w:r>
    </w:p>
    <w:p w14:paraId="00D38CF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Within-dynasty variation in monitoring strategies.</w:t>
      </w:r>
      <w:r>
        <w:rPr>
          <w:rFonts w:hint="default" w:ascii="Times New Roman Regular" w:hAnsi="Times New Roman Regular" w:cs="Times New Roman Regular" w:eastAsiaTheme="minorEastAsia"/>
        </w:rPr>
        <w:t xml:space="preserve"> Different Qing emperors experimented with different monitoring institutions—Emperor Yongzheng /jʊŋˈdʒʌŋ/</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fiscal reforms in the 1720s, the palace memorial system, and the use of confidential agents. A within-dynasty panel study examining how these institutional innovations affected corruption, fiscal performance, and the distance gradient could provide more compelling evidence for the causal mechanisms.</w:t>
      </w:r>
    </w:p>
    <w:p w14:paraId="4FC2CEC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3. 朝代内部监督策略的变异。</w:t>
      </w:r>
      <w:r>
        <w:rPr>
          <w:rFonts w:hint="default" w:ascii="Times New Roman Regular" w:hAnsi="Times New Roman Regular" w:cs="Times New Roman Regular" w:eastAsiaTheme="minorEastAsia"/>
        </w:rPr>
        <w:t xml:space="preserve"> 不同的清朝皇帝尝试了不同的监督制度——雍正帝（Yongzheng /jʊŋˈdʒʌŋ/）1720年代的财政改革、奏折制度和密探的使用。一项朝代内部的面板研究，考察这些制度创新如何影响了腐败、财政表现和距离梯度，可以为因果机制提供更有说服力的证据。</w:t>
      </w:r>
    </w:p>
    <w:p w14:paraId="2C53083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Modern applications: fiscal federalism in contemporary China.</w:t>
      </w:r>
      <w:r>
        <w:rPr>
          <w:rFonts w:hint="default" w:ascii="Times New Roman Regular" w:hAnsi="Times New Roman Regular" w:cs="Times New Roman Regular" w:eastAsiaTheme="minorEastAsia"/>
        </w:rPr>
        <w:t xml:space="preserve"> The principal-agent problem did not disappear with the Qing dynasty. Modern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central-local fiscal relations—the fiscal contracting system of the 1980s, the 1994 tax-sharing reform—can be analyzed using the same framework. An extension could examine whether the distance gradient persists in modern China and how decentralization and modern monitoring technologies have altered the dynamics.</w:t>
      </w:r>
    </w:p>
    <w:p w14:paraId="4862B58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4. 现代应用：当代中国的财政联邦主义。</w:t>
      </w:r>
      <w:r>
        <w:rPr>
          <w:rFonts w:hint="default" w:ascii="Times New Roman Regular" w:hAnsi="Times New Roman Regular" w:cs="Times New Roman Regular" w:eastAsiaTheme="minorEastAsia"/>
        </w:rPr>
        <w:t xml:space="preserve"> 委托—代理问题并未随清朝消失。现代中国的中央—地方财政关系——1980年代的财政包干制、1994年的分税制改革——可以使用同一框架分析。一个扩展可以考察距离梯度是否在现代中国持续存在，以及分权和现代监督技术如何改变了动态。</w:t>
      </w:r>
    </w:p>
    <w:p w14:paraId="3E2088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Interaction between external threats and internal agency problems.</w:t>
      </w:r>
      <w:r>
        <w:rPr>
          <w:rFonts w:hint="default" w:ascii="Times New Roman Regular" w:hAnsi="Times New Roman Regular" w:cs="Times New Roman Regular" w:eastAsiaTheme="minorEastAsia"/>
        </w:rPr>
        <w:t xml:space="preserve"> Sng notes that China</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peaceful external environment in the eighteenth century reduced the pressure to build fiscal capacity (p. 119). An extension inspired by the Tilly /ˈtɪli/ tradition could model the interaction between external military threats and internal agency costs. When external threats are high, the ruler faces a cruel dilemma: he needs more revenue to defend the empire, but raising taxes risks triggering the revolt he fears. This might explain why the Qing dynasty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most dangerous moments came when external and internal threats coincided—as in the mid-nineteenth century when the Opium Wars and the Taiping Rebellion struck simultaneously.</w:t>
      </w:r>
    </w:p>
    <w:p w14:paraId="511FE3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5. 外部威胁与内部代理问题的交互。</w:t>
      </w:r>
      <w:r>
        <w:rPr>
          <w:rFonts w:hint="default" w:ascii="Times New Roman Regular" w:hAnsi="Times New Roman Regular" w:cs="Times New Roman Regular" w:eastAsiaTheme="minorEastAsia"/>
        </w:rPr>
        <w:t xml:space="preserve"> 孙端辉指出十八世纪中国和平的外部环境降低了建设财政能力的压力（第119页）。一个受蒂利（Tilly /ˈtɪli/）传统启发的扩展可以建模外部军事威胁与内部代理成本之间的交互。当外部威胁高时，统治者面临残酷的两难：他需要更多收入来保卫帝国，但加税有引发他所恐惧的叛乱的风险。这可能解释了为何清朝最危险的时刻出现在外部和内部威胁同时出现之时——如十九世纪中期鸦片战争与太平天国运动同时爆发。</w:t>
      </w:r>
    </w:p>
    <w:p w14:paraId="0CC8A28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6. Connecting to the decentralization literature.</w:t>
      </w:r>
      <w:r>
        <w:rPr>
          <w:rFonts w:hint="default" w:ascii="Times New Roman Regular" w:hAnsi="Times New Roman Regular" w:cs="Times New Roman Regular" w:eastAsiaTheme="minorEastAsia"/>
        </w:rPr>
        <w:t xml:space="preserve"> The paper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conclusion briefly discusses how decentralization after 1850 mitigated the principal-agent problem but created free-rider problems in national-level public goods provision (p. 123). This opens a rich avenue for further research on the optimal degree of centralization in large states—a question that remains highly relevant for contemporary China, India, and other large developing countries. The tradeoff between centralized monitoring and decentralized fiscal autonomy could be modeled more formally and tested against the post-1850 Chinese experience.</w:t>
      </w:r>
    </w:p>
    <w:p w14:paraId="7C7CA9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6. 与分权文献的联系。</w:t>
      </w:r>
      <w:r>
        <w:rPr>
          <w:rFonts w:hint="default" w:ascii="Times New Roman Regular" w:hAnsi="Times New Roman Regular" w:cs="Times New Roman Regular" w:eastAsiaTheme="minorEastAsia"/>
        </w:rPr>
        <w:t xml:space="preserve"> 本文结论部分简要讨论了1850年后的分权如何缓解了委托—代理问题但在全国性公共物品供给中制造了搭便车问题（第123页）。这为进一步研究大国中最优集权程度开辟了丰富的途径——这一问题对当代中国、印度和其他大型发展中国家仍然高度相关。集中监督与分权财政自主之间的权衡可以更正式地建模，并对照1850年后的中国经验进行检验。</w:t>
      </w:r>
    </w:p>
    <w:p w14:paraId="33A0A9AA">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Lecture Notes: Stasavage, </w:t>
      </w:r>
      <w:r>
        <w:rPr>
          <w:rStyle w:val="9"/>
          <w:rFonts w:hint="default" w:ascii="Times New Roman Regular" w:hAnsi="Times New Roman Regular" w:cs="Times New Roman Regular" w:eastAsiaTheme="minorEastAsia"/>
        </w:rPr>
        <w:t>The Decline and Rise of Democracy</w:t>
      </w:r>
      <w:r>
        <w:rPr>
          <w:rFonts w:hint="default" w:ascii="Times New Roman Regular" w:hAnsi="Times New Roman Regular" w:cs="Times New Roman Regular" w:eastAsiaTheme="minorEastAsia"/>
        </w:rPr>
        <w:t>, Chapters 3–4</w:t>
      </w:r>
    </w:p>
    <w:p w14:paraId="268D9096">
      <w:pPr>
        <w:pStyle w:val="2"/>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讲义：斯塔萨维奇《民主的衰落与崛起》第三、四章</w:t>
      </w:r>
    </w:p>
    <w:p w14:paraId="3248663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1" o:spt="1" style="height:1.5pt;width:432pt;" fillcolor="#A0A0A0" filled="t" stroked="f" coordsize="21600,21600" o:hr="t" o:hrstd="t" o:hralign="center">
            <v:path/>
            <v:fill on="t" focussize="0,0"/>
            <v:stroke on="f"/>
            <v:imagedata o:title=""/>
            <o:lock v:ext="edit"/>
            <w10:wrap type="none"/>
            <w10:anchorlock/>
          </v:rect>
        </w:pict>
      </w:r>
    </w:p>
    <w:p w14:paraId="35ACB15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Literature Name / 文献名称</w:t>
      </w:r>
    </w:p>
    <w:p w14:paraId="6609D99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w:t>
      </w:r>
      <w:r>
        <w:rPr>
          <w:rStyle w:val="9"/>
          <w:rFonts w:hint="default" w:ascii="Times New Roman Regular" w:hAnsi="Times New Roman Regular" w:cs="Times New Roman Regular" w:eastAsiaTheme="minorEastAsia"/>
        </w:rPr>
        <w:t>The Decline and Rise of Democracy: A Global History from Antiquity to Today</w:t>
      </w:r>
      <w:r>
        <w:rPr>
          <w:rFonts w:hint="default" w:ascii="Times New Roman Regular" w:hAnsi="Times New Roman Regular" w:cs="Times New Roman Regular" w:eastAsiaTheme="minorEastAsia"/>
        </w:rPr>
        <w:t>, Chapters 3 (</w:t>
      </w:r>
      <w:r>
        <w:rPr>
          <w:rFonts w:hint="default" w:ascii="Times New Roman Regular" w:hAnsi="Times New Roman Regular" w:cs="Times New Roman Regular"/>
          <w:lang w:val="en-US"/>
        </w:rPr>
        <w:t>“Weak States Inherited Democracy”</w:t>
      </w:r>
      <w:r>
        <w:rPr>
          <w:rFonts w:hint="default" w:ascii="Times New Roman Regular" w:hAnsi="Times New Roman Regular" w:cs="Times New Roman Regular" w:eastAsiaTheme="minorEastAsia"/>
        </w:rPr>
        <w:t>) and 4 (</w:t>
      </w:r>
      <w:r>
        <w:rPr>
          <w:rFonts w:hint="default" w:ascii="Times New Roman Regular" w:hAnsi="Times New Roman Regular" w:cs="Times New Roman Regular"/>
          <w:lang w:val="en-US"/>
        </w:rPr>
        <w:t>“When Technology Undermined Democracy”</w:t>
      </w:r>
      <w:r>
        <w:rPr>
          <w:rFonts w:hint="default" w:ascii="Times New Roman Regular" w:hAnsi="Times New Roman Regular" w:cs="Times New Roman Regular" w:eastAsiaTheme="minorEastAsia"/>
        </w:rPr>
        <w:t>).</w:t>
      </w:r>
    </w:p>
    <w:p w14:paraId="7DEF1DE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《民主的衰落与崛起：从古代到今天的全球史》，第三章（</w:t>
      </w:r>
      <w:r>
        <w:rPr>
          <w:rFonts w:hint="default" w:ascii="Times New Roman Regular" w:hAnsi="Times New Roman Regular" w:cs="Times New Roman Regular"/>
          <w:lang w:val="en-US"/>
        </w:rPr>
        <w:t>“弱国家继承了民主”</w:t>
      </w:r>
      <w:r>
        <w:rPr>
          <w:rFonts w:hint="default" w:ascii="Times New Roman Regular" w:hAnsi="Times New Roman Regular" w:cs="Times New Roman Regular" w:eastAsiaTheme="minorEastAsia"/>
        </w:rPr>
        <w:t>）和第四章（</w:t>
      </w:r>
      <w:r>
        <w:rPr>
          <w:rFonts w:hint="default" w:ascii="Times New Roman Regular" w:hAnsi="Times New Roman Regular" w:cs="Times New Roman Regular"/>
          <w:lang w:val="en-US"/>
        </w:rPr>
        <w:t>“当技术削弱了民主”</w:t>
      </w:r>
      <w:r>
        <w:rPr>
          <w:rFonts w:hint="default" w:ascii="Times New Roman Regular" w:hAnsi="Times New Roman Regular" w:cs="Times New Roman Regular" w:eastAsiaTheme="minorEastAsia"/>
        </w:rPr>
        <w:t>）。</w:t>
      </w:r>
    </w:p>
    <w:p w14:paraId="154E074D">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2" o:spt="1" style="height:1.5pt;width:432pt;" fillcolor="#A0A0A0" filled="t" stroked="f" coordsize="21600,21600" o:hr="t" o:hrstd="t" o:hralign="center">
            <v:path/>
            <v:fill on="t" focussize="0,0"/>
            <v:stroke on="f"/>
            <v:imagedata o:title=""/>
            <o:lock v:ext="edit"/>
            <w10:wrap type="none"/>
            <w10:anchorlock/>
          </v:rect>
        </w:pict>
      </w:r>
    </w:p>
    <w:p w14:paraId="7C2EAA5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Author(s) / 作者</w:t>
      </w:r>
    </w:p>
    <w:p w14:paraId="4DBEC87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David Stasavage /ˈstæsəvɪdʒ/.</w:t>
      </w:r>
    </w:p>
    <w:p w14:paraId="357281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大卫·斯塔萨维奇 /ˈstæsəvɪdʒ/。</w:t>
      </w:r>
    </w:p>
    <w:p w14:paraId="271A090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3" o:spt="1" style="height:1.5pt;width:432pt;" fillcolor="#A0A0A0" filled="t" stroked="f" coordsize="21600,21600" o:hr="t" o:hrstd="t" o:hralign="center">
            <v:path/>
            <v:fill on="t" focussize="0,0"/>
            <v:stroke on="f"/>
            <v:imagedata o:title=""/>
            <o:lock v:ext="edit"/>
            <w10:wrap type="none"/>
            <w10:anchorlock/>
          </v:rect>
        </w:pict>
      </w:r>
    </w:p>
    <w:p w14:paraId="14B11BBB">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Published Year / 出版年份</w:t>
      </w:r>
    </w:p>
    <w:p w14:paraId="097A60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2020, Princeton University Press.</w:t>
      </w:r>
    </w:p>
    <w:p w14:paraId="0C6C88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2020年，普林斯顿大学出版社。</w:t>
      </w:r>
    </w:p>
    <w:p w14:paraId="170E1239">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4" o:spt="1" style="height:1.5pt;width:432pt;" fillcolor="#A0A0A0" filled="t" stroked="f" coordsize="21600,21600" o:hr="t" o:hrstd="t" o:hralign="center">
            <v:path/>
            <v:fill on="t" focussize="0,0"/>
            <v:stroke on="f"/>
            <v:imagedata o:title=""/>
            <o:lock v:ext="edit"/>
            <w10:wrap type="none"/>
            <w10:anchorlock/>
          </v:rect>
        </w:pict>
      </w:r>
    </w:p>
    <w:p w14:paraId="1FB84DF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DV: What is the main dependent variable? / 因变量：主要因变量是什么？</w:t>
      </w:r>
    </w:p>
    <w:p w14:paraId="5BF4CB9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main dependent variable across both chapters is the form of governance a society adopts, specifically whether it practices </w:t>
      </w:r>
      <w:r>
        <w:rPr>
          <w:rFonts w:hint="default" w:ascii="Times New Roman Regular" w:hAnsi="Times New Roman Regular" w:cs="Times New Roman Regular"/>
          <w:lang w:val="en-US"/>
        </w:rPr>
        <w:t>“early democracy”</w:t>
      </w:r>
      <w:r>
        <w:rPr>
          <w:rFonts w:hint="default" w:ascii="Times New Roman Regular" w:hAnsi="Times New Roman Regular" w:cs="Times New Roman Regular" w:eastAsiaTheme="minorEastAsia"/>
        </w:rPr>
        <w:t xml:space="preserve"> (council or assembly governance) or </w:t>
      </w:r>
      <w:r>
        <w:rPr>
          <w:rFonts w:hint="default" w:ascii="Times New Roman Regular" w:hAnsi="Times New Roman Regular" w:cs="Times New Roman Regular"/>
          <w:lang w:val="en-US"/>
        </w:rPr>
        <w:t>“autocracy”</w:t>
      </w:r>
      <w:r>
        <w:rPr>
          <w:rFonts w:hint="default" w:ascii="Times New Roman Regular" w:hAnsi="Times New Roman Regular" w:cs="Times New Roman Regular" w:eastAsiaTheme="minorEastAsia"/>
        </w:rPr>
        <w:t xml:space="preserve"> (rule without a council). Stasavage operationalizes this primarily as a binary distinction: whether a society has council governance or not. In the Standard Cross Cultural Sample (SCCS) data, this is measured by whether rulers govern with the assistance of a council or assembly versus governing alone (p. 66). In the Western North American Indian (WNAI) data compiled by Jorgensen /ˈjɔːrɡənsən/, this is similarly measured as the presence or absence of council governance (p. 68). The dependent variable is not modern liberal democracy with elections and constitutions, but rather the much older and more widespread practice of collective governance through councils—what the author terms </w:t>
      </w:r>
      <w:r>
        <w:rPr>
          <w:rFonts w:hint="default" w:ascii="Times New Roman Regular" w:hAnsi="Times New Roman Regular" w:cs="Times New Roman Regular"/>
          <w:lang w:val="en-US"/>
        </w:rPr>
        <w:t>“early democracy.”</w:t>
      </w:r>
      <w:r>
        <w:rPr>
          <w:rFonts w:hint="default" w:ascii="Times New Roman Regular" w:hAnsi="Times New Roman Regular" w:cs="Times New Roman Regular" w:eastAsiaTheme="minorEastAsia"/>
        </w:rPr>
        <w:t xml:space="preserve"> A secondary dependent variable in Chapter 3 is the presence of bureaucracy (defined as subordinates chosen by the ruler who are not from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family), which is treated as a potential substitute for council governance (p. 74).</w:t>
      </w:r>
    </w:p>
    <w:p w14:paraId="48E353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两章的主要因变量是一个社会采用的治理形式，具体而言是该社会实行</w:t>
      </w:r>
      <w:r>
        <w:rPr>
          <w:rFonts w:hint="default" w:ascii="Times New Roman Regular" w:hAnsi="Times New Roman Regular" w:cs="Times New Roman Regular"/>
          <w:lang w:val="en-US"/>
        </w:rPr>
        <w:t>“早期民主”</w:t>
      </w:r>
      <w:r>
        <w:rPr>
          <w:rFonts w:hint="default" w:ascii="Times New Roman Regular" w:hAnsi="Times New Roman Regular" w:cs="Times New Roman Regular" w:eastAsiaTheme="minorEastAsia"/>
        </w:rPr>
        <w:t>（议会或大会治理）还是</w:t>
      </w:r>
      <w:r>
        <w:rPr>
          <w:rFonts w:hint="default" w:ascii="Times New Roman Regular" w:hAnsi="Times New Roman Regular" w:cs="Times New Roman Regular"/>
          <w:lang w:val="en-US"/>
        </w:rPr>
        <w:t>“专制”</w:t>
      </w:r>
      <w:r>
        <w:rPr>
          <w:rFonts w:hint="default" w:ascii="Times New Roman Regular" w:hAnsi="Times New Roman Regular" w:cs="Times New Roman Regular" w:eastAsiaTheme="minorEastAsia"/>
        </w:rPr>
        <w:t>（没有议会的统治）。斯塔萨维奇将其主要操作化为一个二元区分：一个社会是否存在议会治理。在标准跨文化样本（SCCS）数据中，这通过统治者是在议会或大会的协助下治理还是独自治理来衡量（第66页）。在约根森 /ˈjɔːrɡənsən/ 编纂的西部北美印第安人（WNAI）数据中，同样以议会治理的有无来衡量（第68页）。因变量不是带有选举和宪法的现代自由民主，而是更古老、更广泛存在的通过议会进行集体治理的实践——作者称之为</w:t>
      </w:r>
      <w:r>
        <w:rPr>
          <w:rFonts w:hint="default" w:ascii="Times New Roman Regular" w:hAnsi="Times New Roman Regular" w:cs="Times New Roman Regular"/>
          <w:lang w:val="en-US"/>
        </w:rPr>
        <w:t>“早期民主”</w:t>
      </w:r>
      <w:r>
        <w:rPr>
          <w:rFonts w:hint="default" w:ascii="Times New Roman Regular" w:hAnsi="Times New Roman Regular" w:cs="Times New Roman Regular" w:eastAsiaTheme="minorEastAsia"/>
        </w:rPr>
        <w:t>。第三章的一个次要因变量是官僚制的存在（定义为由统治者选择的、不属于统治者自己家族的下属），它被视为议会治理的潜在替代品（第74页）。</w:t>
      </w:r>
    </w:p>
    <w:p w14:paraId="4AB0B9B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5" o:spt="1" style="height:1.5pt;width:432pt;" fillcolor="#A0A0A0" filled="t" stroked="f" coordsize="21600,21600" o:hr="t" o:hrstd="t" o:hralign="center">
            <v:path/>
            <v:fill on="t" focussize="0,0"/>
            <v:stroke on="f"/>
            <v:imagedata o:title=""/>
            <o:lock v:ext="edit"/>
            <w10:wrap type="none"/>
            <w10:anchorlock/>
          </v:rect>
        </w:pict>
      </w:r>
    </w:p>
    <w:p w14:paraId="78EDF6A5">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IV: What is the main independent variable? / 自变量：主要自变量是什么？</w:t>
      </w:r>
    </w:p>
    <w:p w14:paraId="17D02D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main independent variable is state weakness, understood as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inability to monitor, tax, and control the population. This concept of state weakness is decomposed into three specific dimensions across the two chapters. First, in Chapter 3, agricultural variability (caloric variability)—the degree to which agricultural potential varies from location to location within a society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territory. This is measured as the standard deviation of caloric potential across localized grid cells using data from Galor /ɡəˈlɔːr/ and Özak /ˈøzɑːk/ (p. 67). Second, also in Chapter 3, exit options for the population—how easy it is for people to leave if dissatisfied. This is proxied by population density (lower density means easier exit) and by qualitative geographic features such as whether a society occupies a narrow river valley versus open land (pp. 69–72). Third,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dependence on the population for military service, proxied by the prestige accorded to warriors in the SCCS (p. 73). In Chapter 4, the independent variable shifts to technology—specifically, technologies of soil mapping, geometry and surveying, agricultural intensification, and writing. These technologies are argued to strengthen the bureaucratic alternative and thereby undermine early democracy (pp. 79–97). Europe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technological backwardness relative to China and the Middle East is presented as a key factor explaining why early democracy persisted longer in Europe.</w:t>
      </w:r>
    </w:p>
    <w:p w14:paraId="0CE96B3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主要自变量是国家的弱势，理解为统治者无法监控、征税和控制人口的能力不足。这一国家弱势概念在两章中被分解为三个具体维度。第一，在第三章中，农业变异性（热量变异性）——一个社会领土内农业潜力从一个地点到另一个地点的变化程度。这通过使用加洛尔 /ɡəˈlɔːr/ 和厄扎克 /ˈøzɑːk/ 的数据，计算局部网格单元间热量潜力的标准差来衡量（第67页）。第二，同在第三章中，人口的退出选项——人们在不满时离开的难易程度。这以人口密度作为代理变量（密度越低意味着退出越容易），以及定性地理特征，如一个社会是占据狭窄河谷还是开阔土地（第69-72页）。第三，统治者对人口军事服务的依赖程度，以SCCS中给予战士的声望来代理衡量（第73页）。在第四章中，自变量转向技术——具体而言，是土壤测绘、几何与测量、农业集约化以及文字等技术。这些技术被认为强化了官僚制替代方案，从而削弱了早期民主（第79-97页）。欧洲相对于中国和中东的技术落后被提出作为解释早期民主为何在欧洲持续更久的关键因素。</w:t>
      </w:r>
    </w:p>
    <w:p w14:paraId="55D13FAB">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6" o:spt="1" style="height:1.5pt;width:432pt;" fillcolor="#A0A0A0" filled="t" stroked="f" coordsize="21600,21600" o:hr="t" o:hrstd="t" o:hralign="center">
            <v:path/>
            <v:fill on="t" focussize="0,0"/>
            <v:stroke on="f"/>
            <v:imagedata o:title=""/>
            <o:lock v:ext="edit"/>
            <w10:wrap type="none"/>
            <w10:anchorlock/>
          </v:rect>
        </w:pict>
      </w:r>
    </w:p>
    <w:p w14:paraId="640296DF">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Stateness: How is the </w:t>
      </w:r>
      <w:r>
        <w:rPr>
          <w:rFonts w:hint="default" w:ascii="Times New Roman Regular" w:hAnsi="Times New Roman Regular" w:cs="Times New Roman Regular" w:eastAsiaTheme="minorEastAsia"/>
          <w:lang w:val="en-US"/>
        </w:rPr>
        <w:t>“state”</w:t>
      </w:r>
      <w:r>
        <w:rPr>
          <w:rFonts w:hint="default" w:ascii="Times New Roman Regular" w:hAnsi="Times New Roman Regular" w:cs="Times New Roman Regular" w:eastAsiaTheme="minorEastAsia"/>
        </w:rPr>
        <w:t xml:space="preserve"> and/or </w:t>
      </w:r>
      <w:r>
        <w:rPr>
          <w:rFonts w:hint="default" w:ascii="Times New Roman Regular" w:hAnsi="Times New Roman Regular" w:cs="Times New Roman Regular" w:eastAsiaTheme="minorEastAsia"/>
          <w:lang w:val="en-US"/>
        </w:rPr>
        <w:t>“state building”</w:t>
      </w:r>
      <w:r>
        <w:rPr>
          <w:rFonts w:hint="default" w:ascii="Times New Roman Regular" w:hAnsi="Times New Roman Regular" w:cs="Times New Roman Regular" w:eastAsiaTheme="minorEastAsia"/>
        </w:rPr>
        <w:t xml:space="preserve"> conceptualized and measured? / 国家性：如何概念化和测量</w:t>
      </w:r>
      <w:r>
        <w:rPr>
          <w:rFonts w:hint="default" w:ascii="Times New Roman Regular" w:hAnsi="Times New Roman Regular" w:cs="Times New Roman Regular" w:eastAsiaTheme="minorEastAsia"/>
          <w:lang w:val="en-US"/>
        </w:rPr>
        <w:t>“国家”</w:t>
      </w:r>
      <w:r>
        <w:rPr>
          <w:rFonts w:hint="default" w:ascii="Times New Roman Regular" w:hAnsi="Times New Roman Regular" w:cs="Times New Roman Regular" w:eastAsiaTheme="minorEastAsia"/>
        </w:rPr>
        <w:t>和/或</w:t>
      </w:r>
      <w:r>
        <w:rPr>
          <w:rFonts w:hint="default" w:ascii="Times New Roman Regular" w:hAnsi="Times New Roman Regular" w:cs="Times New Roman Regular" w:eastAsiaTheme="minorEastAsia"/>
          <w:lang w:val="en-US"/>
        </w:rPr>
        <w:t>“国家建设”</w:t>
      </w:r>
      <w:r>
        <w:rPr>
          <w:rFonts w:hint="default" w:ascii="Times New Roman Regular" w:hAnsi="Times New Roman Regular" w:cs="Times New Roman Regular" w:eastAsiaTheme="minorEastAsia"/>
        </w:rPr>
        <w:t>？</w:t>
      </w:r>
    </w:p>
    <w:p w14:paraId="1726743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Stasavage follows Douglass North /nɔːrθ/ in defining the state as an entity that extracts revenue in exchange for protection (p. 62). Protection is broadly construed to include defense against external invasion, insurance against famine, and social protection. Revenue encompasses taxation in currency, taxation in kind, or any redistribution of economic surplus. Crucially, this definition does not require formal institutions: among the Kwakiutl /kwɑːˈkjuːtəl/ of northwest North America, chiefs appropriated up to half the catch from hunting and fishing, which counts as revenue extraction (p. 63). A </w:t>
      </w:r>
      <w:r>
        <w:rPr>
          <w:rFonts w:hint="default" w:ascii="Times New Roman Regular" w:hAnsi="Times New Roman Regular" w:cs="Times New Roman Regular"/>
          <w:lang w:val="en-US"/>
        </w:rPr>
        <w:t>“weak state”</w:t>
      </w:r>
      <w:r>
        <w:rPr>
          <w:rFonts w:hint="default" w:ascii="Times New Roman Regular" w:hAnsi="Times New Roman Regular" w:cs="Times New Roman Regular" w:eastAsiaTheme="minorEastAsia"/>
        </w:rPr>
        <w:t xml:space="preserve"> in Stasavage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framework is one where the ruler faces two fundamental problems: uncertainty about production (not knowing how much people produce, hence not knowing how much to tax) and exit risk (the population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ability to leave, protest, or refuse to pay) (pp. 63–64). State strength is measured in the SCCS by whether governance exists above the level of the local community and by the presence of bureaucrats—subordinates chosen by the ruler who are not family members (pp. 65–66, 74). The concept of a </w:t>
      </w:r>
      <w:r>
        <w:rPr>
          <w:rFonts w:hint="default" w:ascii="Times New Roman Regular" w:hAnsi="Times New Roman Regular" w:cs="Times New Roman Regular"/>
          <w:lang w:val="en-US"/>
        </w:rPr>
        <w:t>“strong state”</w:t>
      </w:r>
      <w:r>
        <w:rPr>
          <w:rFonts w:hint="default" w:ascii="Times New Roman Regular" w:hAnsi="Times New Roman Regular" w:cs="Times New Roman Regular" w:eastAsiaTheme="minorEastAsia"/>
        </w:rPr>
        <w:t xml:space="preserve"> is thus one that has resolved these information and enforcement problems through bureaucratic capacity, intensive agriculture that makes production legible, and technologies like writing and soil mapping that allow rulers to monitor subjects without consulting councils (Chapter 4). This conceptualization stands in direct dialogue with James Scott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notion of </w:t>
      </w:r>
      <w:r>
        <w:rPr>
          <w:rFonts w:hint="default" w:ascii="Times New Roman Regular" w:hAnsi="Times New Roman Regular" w:cs="Times New Roman Regular"/>
          <w:lang w:val="en-US"/>
        </w:rPr>
        <w:t>“legibility”</w:t>
      </w:r>
      <w:r>
        <w:rPr>
          <w:rFonts w:hint="default" w:ascii="Times New Roman Regular" w:hAnsi="Times New Roman Regular" w:cs="Times New Roman Regular" w:eastAsiaTheme="minorEastAsia"/>
        </w:rPr>
        <w:t xml:space="preserve"> from </w:t>
      </w:r>
      <w:r>
        <w:rPr>
          <w:rStyle w:val="9"/>
          <w:rFonts w:hint="default" w:ascii="Times New Roman Regular" w:hAnsi="Times New Roman Regular" w:cs="Times New Roman Regular" w:eastAsiaTheme="minorEastAsia"/>
        </w:rPr>
        <w:t>Seeing Like a State</w:t>
      </w:r>
      <w:r>
        <w:rPr>
          <w:rFonts w:hint="default" w:ascii="Times New Roman Regular" w:hAnsi="Times New Roman Regular" w:cs="Times New Roman Regular" w:eastAsiaTheme="minorEastAsia"/>
        </w:rPr>
        <w:t xml:space="preserve"> and </w:t>
      </w:r>
      <w:r>
        <w:rPr>
          <w:rStyle w:val="9"/>
          <w:rFonts w:hint="default" w:ascii="Times New Roman Regular" w:hAnsi="Times New Roman Regular" w:cs="Times New Roman Regular" w:eastAsiaTheme="minorEastAsia"/>
        </w:rPr>
        <w:t>Against the Grain</w:t>
      </w:r>
      <w:r>
        <w:rPr>
          <w:rFonts w:hint="default" w:ascii="Times New Roman Regular" w:hAnsi="Times New Roman Regular" w:cs="Times New Roman Regular" w:eastAsiaTheme="minorEastAsia"/>
        </w:rPr>
        <w:t xml:space="preserve">—the idea that states need to render society </w:t>
      </w:r>
      <w:r>
        <w:rPr>
          <w:rFonts w:hint="default" w:ascii="Times New Roman Regular" w:hAnsi="Times New Roman Regular" w:cs="Times New Roman Regular"/>
          <w:lang w:val="en-US"/>
        </w:rPr>
        <w:t>“readable”</w:t>
      </w:r>
      <w:r>
        <w:rPr>
          <w:rFonts w:hint="default" w:ascii="Times New Roman Regular" w:hAnsi="Times New Roman Regular" w:cs="Times New Roman Regular" w:eastAsiaTheme="minorEastAsia"/>
        </w:rPr>
        <w:t xml:space="preserve"> in order to tax and control it. Stasavage effectively argues that where legibility was low, democracy emerged as a functional substitute.</w:t>
      </w:r>
    </w:p>
    <w:p w14:paraId="41F2B4E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斯塔萨维奇遵循道格拉斯·诺斯 /nɔːrθ/ 的定义，将国家界定为以保护换取收入的实体（第62页）。保护被广义地理解为包括抵御外部入侵、防范饥荒的保险以及社会保护。收入涵盖货币征税、实物征税或任何经济剩余的再分配。关键的是，这个定义不要求正式制度：在北美西北海岸的夸夸嘉夸族 /kwɑːˈkjuːtəl/ 中，酋长从狩猎和捕鱼活动中侵占多达一半的收获，这也算收入汲取（第63页）。斯塔萨维奇框架中的</w:t>
      </w:r>
      <w:r>
        <w:rPr>
          <w:rFonts w:hint="default" w:ascii="Times New Roman Regular" w:hAnsi="Times New Roman Regular" w:cs="Times New Roman Regular"/>
          <w:lang w:val="en-US"/>
        </w:rPr>
        <w:t>“弱国家”</w:t>
      </w:r>
      <w:r>
        <w:rPr>
          <w:rFonts w:hint="default" w:ascii="Times New Roman Regular" w:hAnsi="Times New Roman Regular" w:cs="Times New Roman Regular" w:eastAsiaTheme="minorEastAsia"/>
        </w:rPr>
        <w:t>是统治者面临两个根本问题的国家：生产的不确定性（不知道人们生产了多少，因此不知道该征多少税）和退出风险（人口离开、抗议或拒绝缴纳的能力）（第63-64页）。国家力量在SCCS中通过治理是否存在于地方社区层面之上，以及是否存在官僚——由统治者选择的非家族成员下属——来衡量（第65-66、74页）。因此，</w:t>
      </w:r>
      <w:r>
        <w:rPr>
          <w:rFonts w:hint="default" w:ascii="Times New Roman Regular" w:hAnsi="Times New Roman Regular" w:cs="Times New Roman Regular"/>
          <w:lang w:val="en-US"/>
        </w:rPr>
        <w:t>“强国家”</w:t>
      </w:r>
      <w:r>
        <w:rPr>
          <w:rFonts w:hint="default" w:ascii="Times New Roman Regular" w:hAnsi="Times New Roman Regular" w:cs="Times New Roman Regular" w:eastAsiaTheme="minorEastAsia"/>
        </w:rPr>
        <w:t>的概念是通过官僚能力、使生产变得可读的集约化农业，以及文字和土壤测绘等技术使统治者无需咨询议会即可监控臣民来解决这些信息和执法问题的国家（第四章）。这一概念化与詹姆斯·斯科特 /skɒt/ 在《国家的视角》和《反谷》中的</w:t>
      </w:r>
      <w:r>
        <w:rPr>
          <w:rFonts w:hint="default" w:ascii="Times New Roman Regular" w:hAnsi="Times New Roman Regular" w:cs="Times New Roman Regular"/>
          <w:lang w:val="en-US"/>
        </w:rPr>
        <w:t>“可读性”</w:t>
      </w:r>
      <w:r>
        <w:rPr>
          <w:rFonts w:hint="default" w:ascii="Times New Roman Regular" w:hAnsi="Times New Roman Regular" w:cs="Times New Roman Regular" w:eastAsiaTheme="minorEastAsia"/>
        </w:rPr>
        <w:t>概念直接对话——国家需要使社会变得</w:t>
      </w:r>
      <w:r>
        <w:rPr>
          <w:rFonts w:hint="default" w:ascii="Times New Roman Regular" w:hAnsi="Times New Roman Regular" w:cs="Times New Roman Regular"/>
          <w:lang w:val="en-US"/>
        </w:rPr>
        <w:t>“可读”</w:t>
      </w:r>
      <w:r>
        <w:rPr>
          <w:rFonts w:hint="default" w:ascii="Times New Roman Regular" w:hAnsi="Times New Roman Regular" w:cs="Times New Roman Regular" w:eastAsiaTheme="minorEastAsia"/>
        </w:rPr>
        <w:t>以便征税和控制。斯塔萨维奇有效地论证了，在可读性低的地方，民主作为一种功能性替代品出现了。</w:t>
      </w:r>
    </w:p>
    <w:p w14:paraId="42282BAC">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7" o:spt="1" style="height:1.5pt;width:432pt;" fillcolor="#A0A0A0" filled="t" stroked="f" coordsize="21600,21600" o:hr="t" o:hrstd="t" o:hralign="center">
            <v:path/>
            <v:fill on="t" focussize="0,0"/>
            <v:stroke on="f"/>
            <v:imagedata o:title=""/>
            <o:lock v:ext="edit"/>
            <w10:wrap type="none"/>
            <w10:anchorlock/>
          </v:rect>
        </w:pict>
      </w:r>
    </w:p>
    <w:p w14:paraId="70157DC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Argument: What is the core argument? / 论点：核心论点是什么？</w:t>
      </w:r>
    </w:p>
    <w:p w14:paraId="3B045F7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core argument spanning both chapters can be stated plainly: early democracy was not a sign of political progress but a consequence of state weakness. When rulers could not observe what people were producing, when people could easily leave, and when rulers needed their population for military service, rulers had to share power through councils or assemblies. Conversely, when rulers had the bureaucratic and technological means to monitor production, fix populations in place, and enforce tax collection without consulting anyone, they governed autocratically. The specific logic is as follows.</w:t>
      </w:r>
    </w:p>
    <w:p w14:paraId="7ED5672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Chapter 3 establishes three conditions favoring early democracy. (1) Uncertainty about agricultural production. Where caloric variability was high—meaning agricultural output varied unpredictably across locations—rulers could not know how much to tax without local information. A council provided a forum where local knowledge could be revealed, allowing for more effective taxation by consent rather than by guesswork (pp. 66–69). (2) Exit options for the population. Where people could easily move elsewhere—due to low population density or extensive (non-intensive) agriculture—rulers were in a precarious position. To avoid losing their tax base entirely, they shared power. Evidence from the Jorgensen data on western North American Indians shows that council governance peaked at moderate population densities and disappeared entirely at densities above 25 people per square mile (pp. 71–72). This inverted-U relationship reflects the logic that at very low densities councils are logistically hard to organize, while at high densities people cannot exit and rulers can govern without consent. (3) Military dependence. When prevailing military technology required mass mobilization, rulers granted political voice as compensation for military service—the concept of </w:t>
      </w:r>
      <w:r>
        <w:rPr>
          <w:rFonts w:hint="default" w:ascii="Times New Roman Regular" w:hAnsi="Times New Roman Regular" w:cs="Times New Roman Regular"/>
          <w:lang w:val="en-US"/>
        </w:rPr>
        <w:t>“military democracy”</w:t>
      </w:r>
      <w:r>
        <w:rPr>
          <w:rFonts w:hint="default" w:ascii="Times New Roman Regular" w:hAnsi="Times New Roman Regular" w:cs="Times New Roman Regular" w:eastAsiaTheme="minorEastAsia"/>
        </w:rPr>
        <w:t xml:space="preserve"> first articulated by Lewis Henry Morgan /ˈmɔːrɡən/ (p. 73). In the SCCS, societies that accorded great prestige to warriors were roughly twice as likely to have council governance (p. 73).</w:t>
      </w:r>
    </w:p>
    <w:p w14:paraId="12EE60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Chapter 3 also introduces the bureaucratic alternative. Rulers who had a bureaucracy—defined as non-family subordinates—could solve both the information and enforcement problems without a council. Figure 3.4 shows this substitution effect clearly: among societies without bureaucrats, higher caloric variability is strongly associated with council presence; among societies with bureaucrats, caloric variability has no relationship with council presence (pp. 74–75). Bureaucracy and councils can also be complements: if democracy develops first, people develop habits of collective action that allow them to constrain a ruler even after a bureaucracy is established (p. 76). Tax farming is introduced as a third alternative that also economizes on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need for information (p. 64).</w:t>
      </w:r>
    </w:p>
    <w:p w14:paraId="5F7C6C0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Chapter 4 extends the argument by examining how specific technologies strengthened the bureaucratic alternative and thereby undermined early democracy. Soil mapping in China (the </w:t>
      </w:r>
      <w:r>
        <w:rPr>
          <w:rFonts w:hint="default" w:ascii="Times New Roman Regular" w:hAnsi="Times New Roman Regular" w:cs="Times New Roman Regular"/>
          <w:lang w:val="en-US"/>
        </w:rPr>
        <w:t>“fish scale maps”</w:t>
      </w:r>
      <w:r>
        <w:rPr>
          <w:rFonts w:hint="default" w:ascii="Times New Roman Regular" w:hAnsi="Times New Roman Regular" w:cs="Times New Roman Regular" w:eastAsiaTheme="minorEastAsia"/>
        </w:rPr>
        <w:t xml:space="preserve"> or yulin tu dating from the Ming /mɪŋ/ dynasty, based on a tradition going back to Yu /juː/ the Great) and among the Aztecs /ˈæztɛks/ (soil glyphs recorded in the Códice de Santa María Asunción /koˈðiθe ðe ˈsanta maˈɾia asunˈθjon/) allowed rulers to set differential tax rates based on soil quality without consulting local populations (pp. 80–84). Geometry and the ability to survey land, as practiced in ancient Egypt /ˈiːdʒɪpt/ and Sumeria /suːˈmɪəriə/, gave rulers tools to measure land for taxation that medieval Europeans lacked (pp. 86–87). Agricultural intensification—such as irrigation, the heavy plow, and crop rotation—made production more predictable and populations more fixed, reducing both the information and exit problems. European agriculture was markedly less intensive than Chinese or Middle Eastern agriculture: crop yields per hectare in ancient Egypt, Sumeria, and Tang /tɑːŋ/ dynasty China were three to four times those of medieval England /ˈɪŋɡlənd/ (p. 76). Writing was perhaps the most fundamental technology: it underpinned bureaucratic record-keeping and communication. Like bureaucracy itself, writing shows an indirect effect on democracy: among societies without writing, higher caloric variability predicts council presence; among societies with writing, this relationship disappears (Figure 4.3, pp. 93–94). The chapter also discusses the complexity of writing systems: simpler alphabetic systems (derived from the Old Canaanite /ˈkeɪnənaɪt/ and Phoenician /fɪˈnɪʃən/ alphabets) may have had democratizing effects by lowering access costs, whereas complex systems like Chinese logograms, cuneiform, and the Inka /ˈɪŋkə/ khipu /ˈkiːpuː/ concentrated literacy in an administrative elite (pp. 94–96).</w:t>
      </w:r>
    </w:p>
    <w:p w14:paraId="6EF148C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The overarching thesis is therefore paradoxical: technological and civilizational </w:t>
      </w:r>
      <w:r>
        <w:rPr>
          <w:rFonts w:hint="default" w:ascii="Times New Roman Regular" w:hAnsi="Times New Roman Regular" w:cs="Times New Roman Regular"/>
          <w:lang w:val="en-US"/>
        </w:rPr>
        <w:t>“progress”</w:t>
      </w:r>
      <w:r>
        <w:rPr>
          <w:rFonts w:hint="default" w:ascii="Times New Roman Regular" w:hAnsi="Times New Roman Regular" w:cs="Times New Roman Regular" w:eastAsiaTheme="minorEastAsia"/>
        </w:rPr>
        <w:t xml:space="preserve"> often undermined democracy. Europe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relative technological backwardness—its failure to develop soil mapping, its primitive surveying, its less intensive agriculture, and its late adoption of many technologies—left European rulers in a weaker position relative to their societies, and this weakness gave democracy a chance (pp. 79, 97).</w:t>
      </w:r>
    </w:p>
    <w:p w14:paraId="27518D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贯穿两章的核心论点可以直白地表述为：早期民主不是政治进步的标志，而是国家弱势的结果。当统治者无法观察人们的生产状况、人们可以轻易离开、且统治者需要人口提供军事服务时，统治者不得不通过议会或大会分享权力。相反，当统治者拥有官僚和技术手段来监控生产、固定人口并在不咨询任何人的情况下强制征税时，他们便实行专制统治。具体逻辑如下。</w:t>
      </w:r>
    </w:p>
    <w:p w14:paraId="5B29CE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章确立了有利于早期民主的三个条件。（1）农业生产的不确定性。在热量变异性高的地方——意味着农业产出在不同地点之间不可预测地变化——统治者在没有地方信息的情况下无法知道该征多少税。议会提供了一个可以揭示地方知识的论坛，使得通过同意而非猜测来进行更有效的征税成为可能（第66-69页）。（2）人口的退出选项。在人们可以轻易迁移到其他地方的地方——由于人口密度低或粗放型（非集约型）农业——统治者处于不稳定的地位。为了避免完全失去税基，他们分享权力。约根森关于西部北美印第安人的数据表明，议会治理在中等人口密度时达到峰值，而在密度超过每平方英里25人时完全消失（第71-72页）。这种倒U型关系反映了这样的逻辑：在非常低的密度下，议会在后勤上难以组织，而在高密度下，人们无法退出，统治者可以不经同意即进行治理。（3）军事依赖。当流行的军事技术需要大规模动员时，统治者给予政治发言权作为军事服务的补偿——这就是刘易斯·亨利·摩尔根 /ˈmɔːrɡən/ 首先提出的</w:t>
      </w:r>
      <w:r>
        <w:rPr>
          <w:rFonts w:hint="default" w:ascii="Times New Roman Regular" w:hAnsi="Times New Roman Regular" w:cs="Times New Roman Regular"/>
          <w:lang w:val="en-US"/>
        </w:rPr>
        <w:t>“军事民主”</w:t>
      </w:r>
      <w:r>
        <w:rPr>
          <w:rFonts w:hint="default" w:ascii="Times New Roman Regular" w:hAnsi="Times New Roman Regular" w:cs="Times New Roman Regular" w:eastAsiaTheme="minorEastAsia"/>
        </w:rPr>
        <w:t>概念（第73页）。在SCCS中，给予战士极高声望的社会拥有议会治理的可能性大约是其他社会的两倍（第73页）。</w:t>
      </w:r>
    </w:p>
    <w:p w14:paraId="1679DBB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章还引入了官僚制替代方案。拥有官僚制的统治者——定义为非家族下属——可以在不需要议会的情况下解决信息和执法两个问题。图3.4清楚地展示了这种替代效应：在没有官僚的社会中，较高的热量变异性与议会的存在强相关；在有官僚的社会中，热量变异性与议会的存在没有关系（第74-75页）。官僚制和议会也可以是互补的：如果民主首先发展起来，人们会养成集体行动的习惯，使他们即使在官僚制建立后也能约束统治者（第76页）。税收包办（tax farming）被引入作为第三种同样节约统治者信息需求的替代方案（第64页）。</w:t>
      </w:r>
    </w:p>
    <w:p w14:paraId="5881456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第四章通过考察特定技术如何强化官僚制替代方案从而削弱早期民主来扩展这一论证。中国的土壤测绘（</w:t>
      </w:r>
      <w:r>
        <w:rPr>
          <w:rFonts w:hint="default" w:ascii="Times New Roman Regular" w:hAnsi="Times New Roman Regular" w:cs="Times New Roman Regular"/>
          <w:lang w:val="en-US"/>
        </w:rPr>
        <w:t>“鱼鳞图”</w:t>
      </w:r>
      <w:r>
        <w:rPr>
          <w:rFonts w:hint="default" w:ascii="Times New Roman Regular" w:hAnsi="Times New Roman Regular" w:cs="Times New Roman Regular" w:eastAsiaTheme="minorEastAsia"/>
        </w:rPr>
        <w:t>即yulin tu，始于明 /mɪŋ/ 朝，基于可追溯到大禹 /juː/ 的传统）和阿兹特克人 /ˈæztɛks/ 的土壤测绘（记录在《圣玛丽亚阿松森法典》/koˈðiθe ðe ˈsanta maˈɾia asunˈθjon/ 中的土壤字形符号）使统治者能够根据土壤质量设定差别税率，而无需咨询当地民众（第80-84页）。古代埃及 /ˈiːdʒɪpt/ 和苏美尔 /suːˈmɪəriə/ 所实践的几何学和土地测量能力，为统治者提供了中世纪欧洲人所缺乏的土地征税测量工具（第86-87页）。农业集约化——如灌溉、重犁和轮作——使生产更可预测，人口更固定，减少了信息和退出两个问题。欧洲农业的集约化程度明显低于中国或中东农业：古埃及、苏美尔和唐 /tɑːŋ/ 朝中国每公顷的作物产量是中世纪英格兰 /ˈɪŋɡlənd/ 的三到四倍（第76页）。文字可能是最基本的技术：它支撑了官僚制的记录保存和通信。与官僚制本身一样，文字对民主显示出间接效应：在没有文字的社会中，较高的热量变异性预测议会的存在；在有文字的社会中，这种关系消失了（图4.3，第93-94页）。本章还讨论了文字系统的复杂性：较简单的字母系统（源自古迦南 /ˈkeɪnənaɪt/ 和腓尼基 /fɪˈnɪʃən/ 字母表）可能通过降低准入成本产生了民主化效应，而复杂系统如中国的表意文字、楔形文字和印加 /ˈɪŋkə/ 的奇普 /ˈkiːpuː/（结绳记事）则将识字能力集中在行政精英手中（第94-96页）。</w:t>
      </w:r>
    </w:p>
    <w:p w14:paraId="1165F49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因此，总体论题具有悖论性：技术和文明的</w:t>
      </w:r>
      <w:r>
        <w:rPr>
          <w:rFonts w:hint="default" w:ascii="Times New Roman Regular" w:hAnsi="Times New Roman Regular" w:cs="Times New Roman Regular"/>
          <w:lang w:val="en-US"/>
        </w:rPr>
        <w:t>“进步”</w:t>
      </w:r>
      <w:r>
        <w:rPr>
          <w:rFonts w:hint="default" w:ascii="Times New Roman Regular" w:hAnsi="Times New Roman Regular" w:cs="Times New Roman Regular" w:eastAsiaTheme="minorEastAsia"/>
        </w:rPr>
        <w:t>往往削弱了民主。欧洲相对的技术落后——未能发展土壤测绘、原始的测量技术、不太集约化的农业以及许多技术的晚期采用——使欧洲统治者相对于其社会处于更弱的地位，而这种弱势给了民主一个机会（第79、97页）。</w:t>
      </w:r>
    </w:p>
    <w:p w14:paraId="6E790A3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8" o:spt="1" style="height:1.5pt;width:432pt;" fillcolor="#A0A0A0" filled="t" stroked="f" coordsize="21600,21600" o:hr="t" o:hrstd="t" o:hralign="center">
            <v:path/>
            <v:fill on="t" focussize="0,0"/>
            <v:stroke on="f"/>
            <v:imagedata o:title=""/>
            <o:lock v:ext="edit"/>
            <w10:wrap type="none"/>
            <w10:anchorlock/>
          </v:rect>
        </w:pict>
      </w:r>
    </w:p>
    <w:p w14:paraId="79220BBE">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Mechanisms: What mechanisms are proposed? / 机制：提出了哪些机制？</w:t>
      </w:r>
    </w:p>
    <w:p w14:paraId="2D985E6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Stasavage proposes four interlinked mechanisms connecting state weakness to early democracy.</w:t>
      </w:r>
    </w:p>
    <w:p w14:paraId="69FFBE4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1: The information mechanism. When agricultural production is highly variable across locations, a ruler cannot devise an optimal tax policy because he does not know how much each locality produces. Setting taxes too high risks provoking protest or flight; setting them too low leaves revenue on the table. A council solves this by creating a forum for truthful communication about local production conditions. This does not require altruistic motives—truthful communication is sustained by a commonality of interest (e.g., the shared need for defense) and by the mutual preference for peaceful resolution over conflict (p. 64). Council members possess </w:t>
      </w:r>
      <w:r>
        <w:rPr>
          <w:rFonts w:hint="default" w:ascii="Times New Roman Regular" w:hAnsi="Times New Roman Regular" w:cs="Times New Roman Regular"/>
          <w:lang w:val="en-US"/>
        </w:rPr>
        <w:t>“real authority”</w:t>
      </w:r>
      <w:r>
        <w:rPr>
          <w:rFonts w:hint="default" w:ascii="Times New Roman Regular" w:hAnsi="Times New Roman Regular" w:cs="Times New Roman Regular" w:eastAsiaTheme="minorEastAsia"/>
        </w:rPr>
        <w:t xml:space="preserve"> through superior information, even without formal veto power over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proposals (p. 64). The empirical prediction is straightforward: higher caloric variability should correlate with council presence.</w:t>
      </w:r>
    </w:p>
    <w:p w14:paraId="4449DD4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2: The exit mechanism. Drawing on Robert Carneiro</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/kɑːrˈneɪroʊ/ circumscription theory (1970) and Sandra Vehrencamp</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/ˈveɪrənkæmp/ ornithological model of hierarchy, Stasavage argues that when people can easily leave, rulers must govern by consent to retain their tax base (pp. 63, 69). This mechanism is illustrated by the contrast between Mississippian /ˌmɪsɪˈsɪpiən/ societies in southeastern North America—which occupied narrow, fertile river valleys surrounded by less suitable land (high circumscription, autocratic governance)—and Iroquois /ˈɪrəkwɔɪ/ and Huron /ˈhjʊərɒn/ societies in the northeast, which practiced mobile slash-and-burn agriculture and moved villages every ten to forty years (low circumscription, democratic governance) (pp. 70–71). The Jorgensen data show the inverted-U pattern: council governance peaks at moderate population density and vanishes at high density (pp. 71–72).</w:t>
      </w:r>
    </w:p>
    <w:p w14:paraId="5FA659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Mechanism 3: The military bargaining mechanism. When military technology requires mass participation, rulers must compensate soldiers with political voice. This is </w:t>
      </w:r>
      <w:r>
        <w:rPr>
          <w:rFonts w:hint="default" w:ascii="Times New Roman Regular" w:hAnsi="Times New Roman Regular" w:cs="Times New Roman Regular"/>
          <w:lang w:val="en-US"/>
        </w:rPr>
        <w:t>“military democracy”</w:t>
      </w:r>
      <w:r>
        <w:rPr>
          <w:rFonts w:hint="default" w:ascii="Times New Roman Regular" w:hAnsi="Times New Roman Regular" w:cs="Times New Roman Regular" w:eastAsiaTheme="minorEastAsia"/>
        </w:rPr>
        <w:t xml:space="preserve"> in Morgan</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sense. The empirical pattern in the SCCS—a strong correlation between warrior prestige and council governance—is best interpreted not as warrior prestige causing democracy, but as warrior prestige and council governance being complementary parts of a single bargain between rulers and fighters (p. 73).</w:t>
      </w:r>
    </w:p>
    <w:p w14:paraId="1D3CE51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Mechanism 4: The bureaucratic substitution mechanism (Chapters 3–4). Bureaucracy, intensive agriculture, soil mapping, surveying, and writing all reduce the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dependence on local knowledge. When bureaucrats can assess production and collect taxes, the ruler no longer needs a council for information. When intensive agriculture fixes populations in observable, measurable plots, exit becomes harder and production becomes legible. Figure 3.4 and Figure 4.3 provide the key evidence: the positive relationship between caloric variability and council governance exists only in the absence of bureaucracy (or writing); in the presence of bureaucracy (or writing), the relationship vanishes (pp. 75, 93–94). This is an interaction effect, and it is the most analytically rigorous claim in the two chapters.</w:t>
      </w:r>
    </w:p>
    <w:p w14:paraId="40C3BB6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斯塔萨维奇提出了四个相互关联的机制，将国家弱势与早期民主联系起来。</w:t>
      </w:r>
    </w:p>
    <w:p w14:paraId="031C1C2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一：信息机制。当农业生产在不同地点之间高度变异时，统治者无法制定最优税收政策，因为他不知道每个地方的产出是多少。税收定得太高有可能引发抗议或逃离；定得太低则白白损失收入。议会通过创造一个关于当地生产条件进行真实沟通的论坛来解决这个问题。这不需要利他动机——真实沟通由利益的共同性（例如对防御的共同需求）和对和平解决而非冲突的共同偏好来维持（第64页）。议会成员通过其信息优势拥有</w:t>
      </w:r>
      <w:r>
        <w:rPr>
          <w:rFonts w:hint="default" w:ascii="Times New Roman Regular" w:hAnsi="Times New Roman Regular" w:cs="Times New Roman Regular"/>
          <w:lang w:val="en-US"/>
        </w:rPr>
        <w:t>“真实权威”</w:t>
      </w:r>
      <w:r>
        <w:rPr>
          <w:rFonts w:hint="default" w:ascii="Times New Roman Regular" w:hAnsi="Times New Roman Regular" w:cs="Times New Roman Regular" w:eastAsiaTheme="minorEastAsia"/>
        </w:rPr>
        <w:t>，即使没有对统治者提案的正式否决权（第64页）。经验预测是直截了当的：较高的热量变异性应与议会的存在相关。</w:t>
      </w:r>
    </w:p>
    <w:p w14:paraId="496FD3C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机制二：退出机制。借鉴罗伯特·卡内罗 /kɑːrˈneɪroʊ/ 的限制理论（1970年）和桑德拉·维伦坎普 /ˈveɪrənkæmp/ 的鸟类学等级模型，斯塔萨维奇认为，当人们可以轻易离开时，统治者必须通过同意来治理以保留其税基（第63、69页）。这一机制通过以下对比得到说明：北美东南部的密西西比 /ˌmɪsɪˈsɪpiən/ 社会——占据被不太适合其集约农业的土地包围的狭窄肥沃河谷（高限制性，专制治理）——与东北部的易洛魁 /ˈɪrəkwɔɪ/ 和休伦 /ˈhjʊərɒn/ 社会，后者实行流动的刀耕火种农业，每十到四十年迁移一次村庄（低限制性，民主治理）（第70-71页）。约根森数据显示了倒U型模式：议会治理在中等人口密度时达到峰值，在高密度时消失（第71-72页）。</w:t>
      </w:r>
    </w:p>
    <w:p w14:paraId="10E0734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机制三：军事讨价还价机制。当军事技术需要大规模参与时，统治者必须以政治发言权补偿士兵。这就是摩尔根意义上的</w:t>
      </w:r>
      <w:r>
        <w:rPr>
          <w:rFonts w:hint="default" w:ascii="Times New Roman Regular" w:hAnsi="Times New Roman Regular" w:cs="Times New Roman Regular"/>
          <w:lang w:val="en-US"/>
        </w:rPr>
        <w:t>“军事民主”</w:t>
      </w:r>
      <w:r>
        <w:rPr>
          <w:rFonts w:hint="default" w:ascii="Times New Roman Regular" w:hAnsi="Times New Roman Regular" w:cs="Times New Roman Regular" w:eastAsiaTheme="minorEastAsia"/>
        </w:rPr>
        <w:t>。SCCS中的经验模式——战士声望与议会治理之间的强相关——最好的解释不是战士声望导致民主，而是战士声望和议会治理是统治者与战士之间单一讨价还价的互补部分（第73页）。</w:t>
      </w:r>
    </w:p>
    <w:p w14:paraId="51AAE82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机制四：官僚制替代机制（第三、四章）。官僚制、集约化农业、土壤测绘、测量和文字都减少了统治者对地方知识的依赖。当官僚能够评估生产并征税时，统治者不再需要议会来获取信息。当集约化农业将人口固定在可观察、可测量的地块上时，退出变得更难，生产变得可读。图3.4和图4.3提供了关键证据：热量变异性与议会治理之间的正相关关系仅存在于没有官僚制（或文字）的情况下；在有官僚制（或文字）的情况下，这种关系消失了（第75、93-94页）。这是一个交互效应，是两章中分析上最严谨的论断。</w:t>
      </w:r>
    </w:p>
    <w:p w14:paraId="365AEE84">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59" o:spt="1" style="height:1.5pt;width:432pt;" fillcolor="#A0A0A0" filled="t" stroked="f" coordsize="21600,21600" o:hr="t" o:hrstd="t" o:hralign="center">
            <v:path/>
            <v:fill on="t" focussize="0,0"/>
            <v:stroke on="f"/>
            <v:imagedata o:title=""/>
            <o:lock v:ext="edit"/>
            <w10:wrap type="none"/>
            <w10:anchorlock/>
          </v:rect>
        </w:pict>
      </w:r>
    </w:p>
    <w:p w14:paraId="6F523594">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Data: What data is used? / 数据：使用了什么数据？</w:t>
      </w:r>
    </w:p>
    <w:p w14:paraId="266D08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two chapters draw on several distinct data sources, spanning different geographic regions, time periods, and units of analysis.</w:t>
      </w:r>
    </w:p>
    <w:p w14:paraId="74E7355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(1) The Standard Cross Cultural Sample (SCCS). This is a set of 186 well-documented societies from around the world, selected by George Peter Murdock /ˈmɜːrdɒk/ and Douglas White to be independent of each other. Each society is coded at a specific </w:t>
      </w:r>
      <w:r>
        <w:rPr>
          <w:rFonts w:hint="default" w:ascii="Times New Roman Regular" w:hAnsi="Times New Roman Regular" w:cs="Times New Roman Regular"/>
          <w:lang w:val="en-US"/>
        </w:rPr>
        <w:t>“ethnographic present,”</w:t>
      </w:r>
      <w:r>
        <w:rPr>
          <w:rFonts w:hint="default" w:ascii="Times New Roman Regular" w:hAnsi="Times New Roman Regular" w:cs="Times New Roman Regular" w:eastAsiaTheme="minorEastAsia"/>
        </w:rPr>
        <w:t xml:space="preserve"> typically the point of earliest reliable description. The SCCS provides data on: presence or absence of council governance (DV), whether governance extends beyond the local community, presence of bureaucrats (non-family subordinates chosen by the ruler), prestige accorded to warriors, and whether a system of writing exists (pp. 65–66, 73–74, 92–94). Geographic coverage is global; temporal coverage varies by society (ranging from several centuries BCE to the twentieth century). The unit of analysis is the individual society.</w:t>
      </w:r>
    </w:p>
    <w:p w14:paraId="3EB3A69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Caloric potential and caloric variability data from Galor and Özak. These are constructed from the FAO</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Global Agro-Ecological Zones database, which records the maximum potential crop production for grid cells covering the globe at a resolution of approximately 10 km × 10 km, assuming no irrigation and no inputs added to the soil. Caloric potential measures the maximum calories producible from a given plot. Caloric variability is the standard deviation of caloric potential across a localized area of nine grid cells (pp. 65, 67). The Columbian Exchange is used to construct a temporal variability measure: the change in how many calories could be produced before versus after the exchange of crops between the New World and Old World (pp. 68–69).</w:t>
      </w:r>
    </w:p>
    <w:p w14:paraId="62793A9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The Western North American Indian (WNAI) data from Joseph Jorgensen /ˈjɔːrɡənsən/. This covers 172 Native American groups located west of the Great Plains, essentially all groups in that region. It records council governance, population density, and various social and political features (pp. 68, 71–72). The unit of analysis is the individual Native American group. This data set is used as an independent check on the SCCS findings.</w:t>
      </w:r>
    </w:p>
    <w:p w14:paraId="2278A48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 Qualitative historical and archaeological evidence. For the Mississippian, Iroquois, and Huron societies, Stasavage draws on archaeological records and early European contact accounts (Chapter 3, pp. 70–71). For Chinese soil mapping, he uses the Yu Gong /juː ɡʊŋ/ (Tribute of Yu) text and Ming dynasty fish scale maps (pp. 80–83). For Aztec soil glyphs, he uses the Códice de Santa María Asunción (pp. 83–84). For European agricultural techniques, the Domesday Book, and European reconquest of Arab-controlled lands, he draws on a wide range of secondary historical sources (pp. 85–90). Crop yield data for ancient Egypt, Sumeria, Tang dynasty China, and medieval England come from agricultural history (pp. 76–77).</w:t>
      </w:r>
    </w:p>
    <w:p w14:paraId="26B4DF0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Data on the origins and spread of writing. Stasavage uses the SCCS to code whether societies had writing, and uses distance from the three independently invented writing systems (Sumerian cuneiform, Chinese, and Olmec /ˈɒlmɛk/) as a predictor of whether a society adopted writing (pp. 91–93). The association between tuber-based versus cereal-based economies and the presence of writing is also tested using FAO suitability data (pp. 91–92).</w:t>
      </w:r>
    </w:p>
    <w:p w14:paraId="105E85F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两章利用了几个不同的数据来源，涵盖不同的地理区域、时间段和分析单位。</w:t>
      </w:r>
    </w:p>
    <w:p w14:paraId="3CE97FB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（1）标准跨文化样本（SCCS）。这是由乔治·彼得·默多克 /ˈmɜːrdɒk/ 和道格拉斯·怀特选择的来自世界各地的186个有良好文献记录的社会，被选择为相互独立。每个社会在特定的</w:t>
      </w:r>
      <w:r>
        <w:rPr>
          <w:rFonts w:hint="default" w:ascii="Times New Roman Regular" w:hAnsi="Times New Roman Regular" w:cs="Times New Roman Regular"/>
          <w:lang w:val="en-US"/>
        </w:rPr>
        <w:t>“民族志现在”</w:t>
      </w:r>
      <w:r>
        <w:rPr>
          <w:rFonts w:hint="default" w:ascii="Times New Roman Regular" w:hAnsi="Times New Roman Regular" w:cs="Times New Roman Regular" w:eastAsiaTheme="minorEastAsia"/>
        </w:rPr>
        <w:t>（通常是最早可靠描述的时间点）进行编码。SCCS提供以下数据：议会治理的有无（因变量）、治理是否延伸到地方社区之外、官僚的存在（统治者选择的非家族下属）、给予战士的声望，以及是否存在文字系统（第65-66、73-74、92-94页）。地理覆盖是全球性的；时间覆盖因社会而异（从公元前几个世纪到二十世纪不等）。分析单位是单个社会。</w:t>
      </w:r>
    </w:p>
    <w:p w14:paraId="4849C90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来自加洛尔和厄扎克的热量潜力和热量变异性数据。这些数据由FAO的全球农业生态区数据库构建，记录了覆盖全球的、分辨率约为10公里×10公里的网格单元的最大潜在作物产量，假设无灌溉、无土壤投入。热量潜力衡量给定地块可产生的最大卡路里。热量变异性是九个网格单元组成的局部区域内热量潜力的标准差（第65、67页）。哥伦布大交换被用于构建时间变异性指标：新旧世界之间作物交换前后可产出热量的变化（第68-69页）。</w:t>
      </w:r>
    </w:p>
    <w:p w14:paraId="73E891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（3）来自约瑟夫·约根森 /ˈjɔːrɡənsən/ 的西部北美印第安人（WNAI）数据。这涵盖了位于大平原以西的172个美洲原住民群体，基本上是该地区的所有群体。它记录了议会治理、人口密度和各种社会与政治特征（第68、71-72页）。分析单位是单个美洲原住民群体。该数据集被用作对SCCS发现的独立检验。</w:t>
      </w:r>
    </w:p>
    <w:p w14:paraId="604CFA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（4）定性的历史和考古证据。对于密西西比、易洛魁和休伦社会，斯塔萨维奇利用考古记录和早期欧洲接触记述（第三章，第70-71页）。对于中国的土壤测绘，他使用《禹贡》/juː ɡʊŋ/（禹的贡赋）文本和明朝鱼鳞图（第80-83页）。对于阿兹特克土壤字形，他使用《圣玛丽亚阿松森法典》（第83-84页）。对于欧洲农业技术、末日审判书和欧洲对阿拉伯控制土地的再征服，他利用了广泛的二手历史资料（第85-90页）。古埃及、苏美尔、唐朝中国和中世纪英格兰的作物产量数据来自农业史研究（第76-77页）。</w:t>
      </w:r>
    </w:p>
    <w:p w14:paraId="1D966D7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（5）关于文字起源和传播的数据。斯塔萨维奇使用SCCS来编码社会是否拥有文字，并使用与三个独立发明的文字系统（苏美尔楔形文字、中文和奥尔梅克 /ˈɒlmɛk/ 文字）的距离作为社会是否采用文字的预测因子（第91-93页）。基于块茎经济与谷物经济之间的关联以及文字的存在，也使用FAO适宜性数据进行了检验（第91-92页）。</w:t>
      </w:r>
    </w:p>
    <w:p w14:paraId="7EDB8C25">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60" o:spt="1" style="height:1.5pt;width:432pt;" fillcolor="#A0A0A0" filled="t" stroked="f" coordsize="21600,21600" o:hr="t" o:hrstd="t" o:hralign="center">
            <v:path/>
            <v:fill on="t" focussize="0,0"/>
            <v:stroke on="f"/>
            <v:imagedata o:title=""/>
            <o:lock v:ext="edit"/>
            <w10:wrap type="none"/>
            <w10:anchorlock/>
          </v:rect>
        </w:pict>
      </w:r>
    </w:p>
    <w:p w14:paraId="1DC85C5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Methods: What methods are employed? / 方法：采用了什么方法？</w:t>
      </w:r>
    </w:p>
    <w:p w14:paraId="483A305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methodology is primarily comparative-descriptive and correlational, supplemented with historical case studies and limited attempts at causal identification. The specific methods include:</w:t>
      </w:r>
    </w:p>
    <w:p w14:paraId="0E83F39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Cross-tabulations and box-and-whisker plots. The main empirical results are presented as bivariate or conditional comparisons. For example, Figure 3.1 compares the distribution of caloric variability in societies with and without councils. Figure 3.2 plots the share of societies with councils against population density categories. Figure 3.3 shows the fraction of societies with council governance by the level of warrior prestige. Figures 3.4 and 4.3 present the key interaction: the caloric variability–council relationship is shown separately for societies with and without bureaucrats (or writing). These are descriptive, not based on regression analysis with controls.</w:t>
      </w:r>
    </w:p>
    <w:p w14:paraId="21BEB2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(2) Qualitative historical comparisons. The contrast between Mississippian and Northeastern Woodland societies, the comparison of Chinese versus European soil knowledge, the discussion of the European reconquest of Arab lands in Sicily /ˈsɪsɪli/ and Iberia /aɪˈbɪəriə/—all of these are comparative case analyses designed to illustrate the mechanisms. They follow a </w:t>
      </w:r>
      <w:r>
        <w:rPr>
          <w:rFonts w:hint="default" w:ascii="Times New Roman Regular" w:hAnsi="Times New Roman Regular" w:cs="Times New Roman Regular"/>
          <w:lang w:val="en-US"/>
        </w:rPr>
        <w:t>“most similar systems”</w:t>
      </w:r>
      <w:r>
        <w:rPr>
          <w:rFonts w:hint="default" w:ascii="Times New Roman Regular" w:hAnsi="Times New Roman Regular" w:cs="Times New Roman Regular" w:eastAsiaTheme="minorEastAsia"/>
        </w:rPr>
        <w:t xml:space="preserve"> logic in some cases (e.g., Huron and Mississippians both grew maize but differed in agricultural intensity and political form).</w:t>
      </w:r>
    </w:p>
    <w:p w14:paraId="79A456F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 Robustness checks using independent samples. The WNAI data on Native Americans is used as an out-of-sample check on the SCCS finding that caloric variability predicts council governance (p. 68). The Columbian Exchange is used to test whether temporal (not just spatial) caloric variability also predicts councils (pp. 68–69).</w:t>
      </w:r>
    </w:p>
    <w:p w14:paraId="0EC5064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(4) Interaction analysis. The comparison of the caloric variability–council relationship in the presence versus absence of bureaucracy (Figure 3.4) or writing (Figure 4.3) is an informal interaction test. This is the closest the chapters come to a </w:t>
      </w:r>
      <w:r>
        <w:rPr>
          <w:rFonts w:hint="default" w:ascii="Times New Roman Regular" w:hAnsi="Times New Roman Regular" w:cs="Times New Roman Regular"/>
          <w:lang w:val="en-US"/>
        </w:rPr>
        <w:t>“mechanism test”</w:t>
      </w:r>
      <w:r>
        <w:rPr>
          <w:rFonts w:hint="default" w:ascii="Times New Roman Regular" w:hAnsi="Times New Roman Regular" w:cs="Times New Roman Regular" w:eastAsiaTheme="minorEastAsia"/>
        </w:rPr>
        <w:t>—if bureaucracy substitutes for councils in solving information problems, then the caloric variability–council relationship should disappear when bureaucracy is present, which it does.</w:t>
      </w:r>
    </w:p>
    <w:p w14:paraId="1451784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Key assumptions for these methods to be valid include: (a) The SCCS and WNAI data accurately represent the political and economic characteristics of the societies they code—this requires trusting ethnographic observation. (b) Caloric potential and caloric variability, based on modern FAO data with no irrigation and no inputs, reasonably proxy the actual agricultural conditions these societies faced. This is plausible for societies observed before major human transformation of the landscape but less so for societies observed after centuries of agricultural modification. (c) The relationships are not driven by confounding variables. Since the analysis is primarily bivariate, unobserved factors (e.g., cultural diffusion, proximity to trade routes, kinship structures, religious institutions) could plausibly explain the patterns. Stasavage addresses some confounders (e.g., trade and risk-sharing as alternative explanations for the caloric variability–council relationship, p. 68) but does not use multivariate regression to control for all plausible confounds simultaneously. (d) For the interaction analysis, one must assume that the presence of bureaucracy is not itself endogenous to the same factors that drive council presence.</w:t>
      </w:r>
    </w:p>
    <w:p w14:paraId="7415208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方法论主要是比较描述性和相关性的，辅以历史案例研究和有限的因果识别尝试。具体方法包括：</w:t>
      </w:r>
    </w:p>
    <w:p w14:paraId="4393DAD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交叉表和箱线图。主要经验结果以双变量或条件比较的形式呈现。例如，图3.1比较了有议会和无议会社会中热量变异性的分布。图3.2绘制了不同人口密度类别中拥有议会的社会比例。图3.3显示了按战士声望水平划分的拥有议会治理的社会比例。图3.4和图4.3呈现了关键的交互效应：热量变异性与议会的关系分别在有无官僚（或文字）的社会中展示。这些都是描述性的，不是基于带控制变量的回归分析。</w:t>
      </w:r>
    </w:p>
    <w:p w14:paraId="766B8E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（2）定性历史比较。密西西比社会与东北林地社会的对比、中国与欧洲土壤知识的比较、欧洲再征服西西里 /ˈsɪsɪli/ 和伊比利亚 /aɪˈbɪəriə/ 阿拉伯控制土地的讨论——所有这些都是旨在说明机制的比较案例分析。在某些情况下遵循</w:t>
      </w:r>
      <w:r>
        <w:rPr>
          <w:rFonts w:hint="default" w:ascii="Times New Roman Regular" w:hAnsi="Times New Roman Regular" w:cs="Times New Roman Regular"/>
          <w:lang w:val="en-US"/>
        </w:rPr>
        <w:t>“最相似系统”</w:t>
      </w:r>
      <w:r>
        <w:rPr>
          <w:rFonts w:hint="default" w:ascii="Times New Roman Regular" w:hAnsi="Times New Roman Regular" w:cs="Times New Roman Regular" w:eastAsiaTheme="minorEastAsia"/>
        </w:rPr>
        <w:t>逻辑（例如，休伦人和密西西比人都种植玉米，但在农业集约化程度和政治形式上不同）。</w:t>
      </w:r>
    </w:p>
    <w:p w14:paraId="7ED753EA">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使用独立样本的稳健性检查。关于美洲原住民的WNAI数据被用作对SCCS发现（热量变异性预测议会治理）的样本外检验（第68页）。哥伦布大交换被用于检验时间上的（不仅是空间上的）热量变异性是否也预测议会（第68-69页）。</w:t>
      </w:r>
    </w:p>
    <w:p w14:paraId="689004D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（4）交互分析。在有无官僚制（图3.4）或文字（图4.3）的情况下比较热量变异性与议会的关系，是一种非正式的交互检验。这是两章最接近</w:t>
      </w:r>
      <w:r>
        <w:rPr>
          <w:rFonts w:hint="default" w:ascii="Times New Roman Regular" w:hAnsi="Times New Roman Regular" w:cs="Times New Roman Regular"/>
          <w:lang w:val="en-US"/>
        </w:rPr>
        <w:t>“机制检验”</w:t>
      </w:r>
      <w:r>
        <w:rPr>
          <w:rFonts w:hint="default" w:ascii="Times New Roman Regular" w:hAnsi="Times New Roman Regular" w:cs="Times New Roman Regular" w:eastAsiaTheme="minorEastAsia"/>
        </w:rPr>
        <w:t>的部分——如果官僚制在解决信息问题方面替代了议会，那么当官僚制存在时，热量变异性与议会的关系应该消失，事实确实如此。</w:t>
      </w:r>
    </w:p>
    <w:p w14:paraId="7302160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这些方法有效的关键假设包括：（a）SCCS和WNAI数据准确地代表了它们所编码的社会的政治和经济特征——这要求信任民族志观察。（b）基于现代FAO数据（无灌溉、无投入）的热量潜力和热量变异性合理地代理了这些社会面临的实际农业条件。这对于在人类大规模改造景观之前被观察到的社会是合理的，但对于在几个世纪的农业改造之后被观察到的社会则不太合理。（c）这些关系不是由混杂变量驱动的。由于分析主要是双变量的，未观察到的因素（例如文化扩散、贸易路线的邻近性、亲属结构、宗教制度）可以合理地解释这些模式。斯塔萨维奇处理了一些混杂因素（例如贸易和风险分担作为热量变异性-议会关系的替代解释，第68页），但没有使用多元回归来同时控制所有合理的混杂因素。（d）对于交互分析，必须假设官僚制的存在本身不是由驱动议会存在的相同因素内生决定的。</w:t>
      </w:r>
    </w:p>
    <w:p w14:paraId="270CDFD3">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61" o:spt="1" style="height:1.5pt;width:432pt;" fillcolor="#A0A0A0" filled="t" stroked="f" coordsize="21600,21600" o:hr="t" o:hrstd="t" o:hralign="center">
            <v:path/>
            <v:fill on="t" focussize="0,0"/>
            <v:stroke on="f"/>
            <v:imagedata o:title=""/>
            <o:lock v:ext="edit"/>
            <w10:wrap type="none"/>
            <w10:anchorlock/>
          </v:rect>
        </w:pict>
      </w:r>
    </w:p>
    <w:p w14:paraId="0098118A">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Contribution: What is the reading</w:t>
      </w:r>
      <w:r>
        <w:rPr>
          <w:rFonts w:hint="default" w:ascii="Times New Roman Regular" w:hAnsi="Times New Roman Regular" w:cs="Times New Roman Regular" w:eastAsiaTheme="minorEastAsia"/>
          <w:lang w:val="en-US"/>
        </w:rPr>
        <w:t>’s</w:t>
      </w:r>
      <w:r>
        <w:rPr>
          <w:rFonts w:hint="default" w:ascii="Times New Roman Regular" w:hAnsi="Times New Roman Regular" w:cs="Times New Roman Regular" w:eastAsiaTheme="minorEastAsia"/>
        </w:rPr>
        <w:t xml:space="preserve"> main contribution? / 贡献：该文献的主要学术贡献是什么？</w:t>
      </w:r>
    </w:p>
    <w:p w14:paraId="39C5E011">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The contribution of these two chapters is multi-dimensional.</w:t>
      </w:r>
    </w:p>
    <w:p w14:paraId="0BC1C5A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First, they offer a new theory of early democracy</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origins that reverses the conventional narrative. Rather than seeing democracy as a product of economic development, urbanization, or cultural enlightenment, Stasavage argues that democracy arose from state weakness—from ruler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inability to monitor and control. This directly challenges modernization theory (Lipset /ˈlɪpsɛt/) and connects to but substantially reframes the insights of Carneiro (circumscription), Olson (stationary bandit), and Scott (legibility). Where Carneiro explains state formation and Olson explains why autocrats provide public goods, Stasavage explains why some rulers were forced to share power with councils. His framework fills the gap we identified in our earlier discussions: Olson could not explain where </w:t>
      </w:r>
      <w:r>
        <w:rPr>
          <w:rFonts w:hint="default" w:ascii="Times New Roman Regular" w:hAnsi="Times New Roman Regular" w:cs="Times New Roman Regular"/>
          <w:lang w:val="en-US"/>
        </w:rPr>
        <w:t>“balanced power”</w:t>
      </w:r>
      <w:r>
        <w:rPr>
          <w:rFonts w:hint="default" w:ascii="Times New Roman Regular" w:hAnsi="Times New Roman Regular" w:cs="Times New Roman Regular" w:eastAsiaTheme="minorEastAsia"/>
        </w:rPr>
        <w:t xml:space="preserve"> comes from; Stasavage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answer is that it comes from information asymmetry and exit options rooted in geography and technology.</w:t>
      </w:r>
    </w:p>
    <w:p w14:paraId="7D7F640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Second, the chapters provide a genuinely global comparative framework. By using the SCCS (186 societies worldwide) and the WNAI (172 Native American groups), Stasavage avoids the Eurocentric bias that plagues much of the democracy literature. The argument applies to the Huron, the Aztecs, the Chinese, and medieval Europeans alike, with the same mechanisms operating across all cases. This global scope is unusual in a field dominated by European or Western-centric narratives.</w:t>
      </w:r>
    </w:p>
    <w:p w14:paraId="4B5397E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Third, the interaction analysis between caloric variability, council presence, and bureaucracy/writing represents a novel empirical design for testing substitution mechanisms. The finding that the caloric variability–council relationship vanishes in the presence of bureaucracy or writing is a clean test of the idea that these institutions solve the same underlying problem (information asymmetry).</w:t>
      </w:r>
    </w:p>
    <w:p w14:paraId="556B30E6">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Fourth, Chapter 4</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argument that technological progress undermined democracy is a provocative contribution that challenges progressive teleologies. The specific comparative evidence—Europe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technological backwardness in soil mapping, surveying, and agriculture relative to China and the Middle East—offers a compelling explanation for the </w:t>
      </w:r>
      <w:r>
        <w:rPr>
          <w:rFonts w:hint="default" w:ascii="Times New Roman Regular" w:hAnsi="Times New Roman Regular" w:cs="Times New Roman Regular"/>
          <w:lang w:val="en-US"/>
        </w:rPr>
        <w:t>“European divergence”</w:t>
      </w:r>
      <w:r>
        <w:rPr>
          <w:rFonts w:hint="default" w:ascii="Times New Roman Regular" w:hAnsi="Times New Roman Regular" w:cs="Times New Roman Regular" w:eastAsiaTheme="minorEastAsia"/>
        </w:rPr>
        <w:t xml:space="preserve"> in political institutions that complements existing explanations focused on geography (Jared Diamond /ˈdaɪmənd/), interstate competition (Philip Hoffman /ˈhɒfmən/), or commercial capitalism. This argument resonates with our earlier reading of Mayshar /ˈmeɪʃɑːr/, Moav /moˈɑːv/, Neeman, and Pascali /pɑːsˈkɑːli/ on land appropriability: where land is more </w:t>
      </w:r>
      <w:r>
        <w:rPr>
          <w:rFonts w:hint="default" w:ascii="Times New Roman Regular" w:hAnsi="Times New Roman Regular" w:cs="Times New Roman Regular"/>
          <w:lang w:val="en-US"/>
        </w:rPr>
        <w:t>“legible”</w:t>
      </w:r>
      <w:r>
        <w:rPr>
          <w:rFonts w:hint="default" w:ascii="Times New Roman Regular" w:hAnsi="Times New Roman Regular" w:cs="Times New Roman Regular" w:eastAsiaTheme="minorEastAsia"/>
        </w:rPr>
        <w:t xml:space="preserve"> and appropriable, states can extract without consent; where it is not, rulers must bargain.</w:t>
      </w:r>
    </w:p>
    <w:p w14:paraId="6ADACEB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这两章的贡献是多维度的。</w:t>
      </w:r>
    </w:p>
    <w:p w14:paraId="2DDBE06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一，它们提出了一种关于早期民主起源的新理论，颠覆了传统叙事。斯塔萨维奇不是将民主视为经济发展、城市化或文化启蒙的产物，而是认为民主源于国家弱势——统治者无法监控和控制的无能。这直接挑战了现代化理论（李普塞特 /ˈlɪpsɛt/），并与卡内罗（限制理论）、奥尔森（坐寇）和斯科特（可读性）的洞见联系起来，但对其进行了实质性的重新框架。卡内罗解释国家形成，奥尔森解释为什么专制者提供公共物品，而斯塔萨维奇解释为什么一些统治者被迫与议会分享权力。他的框架填补了我们在早期讨论中发现的空白：奥尔森无法解释</w:t>
      </w:r>
      <w:r>
        <w:rPr>
          <w:rFonts w:hint="default" w:ascii="Times New Roman Regular" w:hAnsi="Times New Roman Regular" w:cs="Times New Roman Regular"/>
          <w:lang w:val="en-US"/>
        </w:rPr>
        <w:t>“平衡的权力”</w:t>
      </w:r>
      <w:r>
        <w:rPr>
          <w:rFonts w:hint="default" w:ascii="Times New Roman Regular" w:hAnsi="Times New Roman Regular" w:cs="Times New Roman Regular" w:eastAsiaTheme="minorEastAsia"/>
        </w:rPr>
        <w:t>从何而来；斯塔萨维奇的回答是，它来自植根于地理和技术的信息不对称和退出选项。</w:t>
      </w:r>
    </w:p>
    <w:p w14:paraId="7B9BDA9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二，这些章节提供了一个真正的全球比较框架。通过使用SCCS（全球186个社会）和WNAI（172个美洲原住民群体），斯塔萨维奇避免了困扰民主文献的欧洲中心偏见。论证同样适用于休伦人、阿兹特克人、中国人和中世纪欧洲人，相同的机制在所有案例中运作。这种全球范围在一个被欧洲或西方中心叙事主导的领域中是不寻常的。</w:t>
      </w:r>
    </w:p>
    <w:p w14:paraId="4AF743A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三，热量变异性、议会存在和官僚制/文字之间的交互分析，代表了一种检验替代机制的新颖实证设计。热量变异性与议会的关系在官僚制或文字存在时消失的发现，是对这些制度解决同一基本问题（信息不对称）这一观点的清晰检验。</w:t>
      </w:r>
    </w:p>
    <w:p w14:paraId="7A60160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第四，第四章关于技术进步削弱民主的论点是一个具有挑衅性的贡献，挑战了进步目的论。具体的比较证据——欧洲在土壤测绘、测量和农业方面相对于中国和中东的技术落后——为政治制度中的</w:t>
      </w:r>
      <w:r>
        <w:rPr>
          <w:rFonts w:hint="default" w:ascii="Times New Roman Regular" w:hAnsi="Times New Roman Regular" w:cs="Times New Roman Regular"/>
          <w:lang w:val="en-US"/>
        </w:rPr>
        <w:t>“欧洲分岔”</w:t>
      </w:r>
      <w:r>
        <w:rPr>
          <w:rFonts w:hint="default" w:ascii="Times New Roman Regular" w:hAnsi="Times New Roman Regular" w:cs="Times New Roman Regular" w:eastAsiaTheme="minorEastAsia"/>
        </w:rPr>
        <w:t>提供了令人信服的解释，补充了聚焦于地理（贾雷德·戴蒙德 /ˈdaɪmənd/）、国家间竞争（菲利普·霍夫曼 /ˈhɒfmən/）或商业资本主义的既有解释。这一论点与我们早前阅读的梅沙尔 /ˈmeɪʃɑːr/、莫阿夫 /moˈɑːv/、尼曼和帕斯卡利 /pɑːsˈkɑːli/ 关于土地可占用性的研究产生共鸣：在土地更</w:t>
      </w:r>
      <w:r>
        <w:rPr>
          <w:rFonts w:hint="default" w:ascii="Times New Roman Regular" w:hAnsi="Times New Roman Regular" w:cs="Times New Roman Regular"/>
          <w:lang w:val="en-US"/>
        </w:rPr>
        <w:t>“可读”</w:t>
      </w:r>
      <w:r>
        <w:rPr>
          <w:rFonts w:hint="default" w:ascii="Times New Roman Regular" w:hAnsi="Times New Roman Regular" w:cs="Times New Roman Regular" w:eastAsiaTheme="minorEastAsia"/>
        </w:rPr>
        <w:t>和可占用的地方，国家可以不经同意就提取；在不可读的地方，统治者必须讨价还价。</w:t>
      </w:r>
    </w:p>
    <w:p w14:paraId="5F7247D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62" o:spt="1" style="height:1.5pt;width:432pt;" fillcolor="#A0A0A0" filled="t" stroked="f" coordsize="21600,21600" o:hr="t" o:hrstd="t" o:hralign="center">
            <v:path/>
            <v:fill on="t" focussize="0,0"/>
            <v:stroke on="f"/>
            <v:imagedata o:title=""/>
            <o:lock v:ext="edit"/>
            <w10:wrap type="none"/>
            <w10:anchorlock/>
          </v:rect>
        </w:pict>
      </w:r>
    </w:p>
    <w:p w14:paraId="31DEC450">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Suggestions: What are the limitations? / 建议：局限性是什么？</w:t>
      </w:r>
    </w:p>
    <w:p w14:paraId="5883FED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Professional scholars would identify several significant limitations.</w:t>
      </w:r>
    </w:p>
    <w:p w14:paraId="69BA88A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 The causal identification is weak. The core empirical results are bivariate correlations (caloric variability vs. council presence) presented in box-and-whisker plots without regression controls. This leaves the findings vulnerable to omitted variable bias. For instance, caloric variability may correlate with terrain ruggedness, which independently affects state capacity and political centralization (as in Nunn /nʌn/ and Puga /ˈpuːɡɑː/</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work on rugged terrain in Africa). Cultural diffusion could also confound the results: societies in the same geographic area may share both high caloric variability and a cultural tradition of council governance. To address this, scholars would recommend multivariate regression controlling for geographic region, terrain, distance from early civilizations, kinship structure, and other plausible confounders.</w:t>
      </w:r>
    </w:p>
    <w:p w14:paraId="55D189F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 Endogeneity of bureaucracy. The interaction analysis (Figures 3.4 and 4.3) treats the presence of bureaucracy and writing as if they were exogenous moderators. But bureaucracy may itself be endogenous: societies with less caloric variability (more predictable agriculture) may be precisely those that develop bureaucracies, making the interaction potentially tautological. Similarly, the adoption of writing may respond to the same state-building pressures that produce autocracy. Instrumental variables for bureaucracy or writing would strengthen the analysis.</w:t>
      </w:r>
    </w:p>
    <w:p w14:paraId="28DA0D2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(3) Measurement of </w:t>
      </w:r>
      <w:r>
        <w:rPr>
          <w:rFonts w:hint="default" w:ascii="Times New Roman Regular" w:hAnsi="Times New Roman Regular" w:cs="Times New Roman Regular"/>
          <w:lang w:val="en-US"/>
        </w:rPr>
        <w:t>“council governance.”</w:t>
      </w:r>
      <w:r>
        <w:rPr>
          <w:rFonts w:hint="default" w:ascii="Times New Roman Regular" w:hAnsi="Times New Roman Regular" w:cs="Times New Roman Regular" w:eastAsiaTheme="minorEastAsia"/>
        </w:rPr>
        <w:t xml:space="preserve"> The binary coding of council presence/absence in the SCCS is very coarse. It does not distinguish between councils that have real decision-making power and those that are merely advisory, between councils that represent broad segments of society and those dominated by elites, or between councils that meet regularly and those that are convened only in emergencies. The literature on early democracy (including the author</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own Chapter 2) makes clear that </w:t>
      </w:r>
      <w:r>
        <w:rPr>
          <w:rFonts w:hint="default" w:ascii="Times New Roman Regular" w:hAnsi="Times New Roman Regular" w:cs="Times New Roman Regular"/>
          <w:lang w:val="en-US"/>
        </w:rPr>
        <w:t>“councils”</w:t>
      </w:r>
      <w:r>
        <w:rPr>
          <w:rFonts w:hint="default" w:ascii="Times New Roman Regular" w:hAnsi="Times New Roman Regular" w:cs="Times New Roman Regular" w:eastAsiaTheme="minorEastAsia"/>
        </w:rPr>
        <w:t xml:space="preserve"> varied enormously in their composition and authority. A more granular measure—perhaps distinguishing between elite councils, open assemblies, and consensus-based decision-making—would add analytical power.</w:t>
      </w:r>
    </w:p>
    <w:p w14:paraId="4AC1C314">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 xml:space="preserve">(4) The ethnographic present problem. The SCCS codes each society at a single point in time, typically the earliest reliable description. For many societies, this is the point of European contact, which may have already disrupted indigenous political institutions. The </w:t>
      </w:r>
      <w:r>
        <w:rPr>
          <w:rFonts w:hint="default" w:ascii="Times New Roman Regular" w:hAnsi="Times New Roman Regular" w:cs="Times New Roman Regular"/>
          <w:lang w:val="en-US"/>
        </w:rPr>
        <w:t>“ethnographic present”</w:t>
      </w:r>
      <w:r>
        <w:rPr>
          <w:rFonts w:hint="default" w:ascii="Times New Roman Regular" w:hAnsi="Times New Roman Regular" w:cs="Times New Roman Regular" w:eastAsiaTheme="minorEastAsia"/>
        </w:rPr>
        <w:t xml:space="preserve"> may therefore capture a post-contact equilibrium rather than the longstanding pre-contact political form. This is particularly problematic for Native American societies that may have been reorganized by the demographic collapse following European diseases.</w:t>
      </w:r>
    </w:p>
    <w:p w14:paraId="270E0B6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 Selection into the SCCS. The 186 societies in the SCCS were selected to be independent of each other (i.e., to avoid spatial autocorrelation), but this selection may introduce bias if the criteria for inclusion are correlated with the outcomes of interest. Murdock and White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selection criteria are not random, and the resulting sample may over- or under-represent certain types of societies.</w:t>
      </w:r>
    </w:p>
    <w:p w14:paraId="0BF64A0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 The European backwardness argument in Chapter 4 is suggestive but not systematically tested. The claim that Europe</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technological backwardness preserved democracy is supported by qualitative comparisons (China vs. Europe, the reconquest of Arab lands) but not by formal empirical analysis. A more rigorous test would measure technological sophistication across many societies and test whether it predicts the bureaucratic alternative, controlling for other factors.</w:t>
      </w:r>
    </w:p>
    <w:p w14:paraId="2EFF8D90">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(7) Reverse causality between technology and political form. Chapter 4 argues that technology undermined democracy, but the causal arrow could run the other direction: perhaps democratic societies resisted the adoption of technologies that would undermine their political form. The example of Europeans failing to adopt Arab agricultural innovations after the reconquest (pp. 89–90) could be read as precisely this kind of political resistance to technological change rather than mere backwardness. Scott</w:t>
      </w:r>
      <w:r>
        <w:rPr>
          <w:rFonts w:hint="default" w:ascii="Times New Roman Regular" w:hAnsi="Times New Roman Regular" w:cs="Times New Roman Regular"/>
          <w:lang w:val="en-US"/>
        </w:rPr>
        <w:t>’s</w:t>
      </w:r>
      <w:r>
        <w:rPr>
          <w:rFonts w:hint="default" w:ascii="Times New Roman Regular" w:hAnsi="Times New Roman Regular" w:cs="Times New Roman Regular" w:eastAsiaTheme="minorEastAsia"/>
        </w:rPr>
        <w:t xml:space="preserve"> </w:t>
      </w:r>
      <w:r>
        <w:rPr>
          <w:rFonts w:hint="default" w:ascii="Times New Roman Regular" w:hAnsi="Times New Roman Regular" w:cs="Times New Roman Regular"/>
          <w:lang w:val="en-US"/>
        </w:rPr>
        <w:t>“weapons of the weak”</w:t>
      </w:r>
      <w:r>
        <w:rPr>
          <w:rFonts w:hint="default" w:ascii="Times New Roman Regular" w:hAnsi="Times New Roman Regular" w:cs="Times New Roman Regular" w:eastAsiaTheme="minorEastAsia"/>
        </w:rPr>
        <w:t xml:space="preserve"> and </w:t>
      </w:r>
      <w:r>
        <w:rPr>
          <w:rFonts w:hint="default" w:ascii="Times New Roman Regular" w:hAnsi="Times New Roman Regular" w:cs="Times New Roman Regular"/>
          <w:lang w:val="en-US"/>
        </w:rPr>
        <w:t>“the art of not being governed”</w:t>
      </w:r>
      <w:r>
        <w:rPr>
          <w:rFonts w:hint="default" w:ascii="Times New Roman Regular" w:hAnsi="Times New Roman Regular" w:cs="Times New Roman Regular" w:eastAsiaTheme="minorEastAsia"/>
        </w:rPr>
        <w:t xml:space="preserve"> frameworks suggest that people deliberately avoid legibility-enhancing technologies.</w:t>
      </w:r>
    </w:p>
    <w:p w14:paraId="5D51F55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(8) Limited attention to inequality and class structure. The framework focuses on the ruler–society relationship but says little about internal stratification within society. Societies with high inequality might develop councils that represent only elites, while more egalitarian societies might develop genuinely participatory assemblies. The SCCS coding does not capture this distinction, and the theory does not address it.</w:t>
      </w:r>
    </w:p>
    <w:p w14:paraId="003D130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中文：</w:t>
      </w:r>
      <w:r>
        <w:rPr>
          <w:rFonts w:hint="default" w:ascii="Times New Roman Regular" w:hAnsi="Times New Roman Regular" w:cs="Times New Roman Regular" w:eastAsiaTheme="minorEastAsia"/>
        </w:rPr>
        <w:t xml:space="preserve"> 专业学者会指出几个重要局限。</w:t>
      </w:r>
    </w:p>
    <w:p w14:paraId="4873B80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1）因果识别薄弱。核心经验结果是以箱线图呈现的双变量相关（热量变异性与议会存在），没有回归控制。这使发现容易受到遗漏变量偏差的影响。例如，热量变异性可能与地形崎岖度相关，后者独立影响国家能力和政治集中化（如努恩 /nʌn/ 和普加 /ˈpuːɡɑː/ 关于非洲崎岖地形的研究）。文化扩散也可能混淆结果：同一地理区域的社会可能同时具有高热量变异性和议会治理的文化传统。为解决这个问题，学者会建议进行多元回归，控制地理区域、地形、与早期文明的距离、亲属结构和其他合理的混杂因素。</w:t>
      </w:r>
    </w:p>
    <w:p w14:paraId="6A1DD0C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2）官僚制的内生性。交互分析（图3.4和4.3）将官僚制和文字的存在视为外生调节变量。但官僚制本身可能是内生的：热量变异性较低（农业更可预测）的社会可能恰好是发展出官僚制的社会，使得交互效应可能是同义反复。类似地，文字的采用可能回应与产生专制相同的国家建设压力。官僚制或文字的工具变量将加强分析。</w:t>
      </w:r>
    </w:p>
    <w:p w14:paraId="62D5E013">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（3）</w:t>
      </w:r>
      <w:r>
        <w:rPr>
          <w:rFonts w:hint="default" w:ascii="Times New Roman Regular" w:hAnsi="Times New Roman Regular" w:cs="Times New Roman Regular"/>
          <w:lang w:val="en-US"/>
        </w:rPr>
        <w:t>“议会治理”</w:t>
      </w:r>
      <w:r>
        <w:rPr>
          <w:rFonts w:hint="default" w:ascii="Times New Roman Regular" w:hAnsi="Times New Roman Regular" w:cs="Times New Roman Regular" w:eastAsiaTheme="minorEastAsia"/>
        </w:rPr>
        <w:t>的测量。SCCS中议会存在/不存在的二元编码非常粗糙。它不区分有真正决策权的议会和仅具咨询性质的议会、代表社会广泛阶层的议会和精英主导的议会、定期召开的议会和仅在紧急情况下召集的议会。关于早期民主的文献（包括作者自己的第二章）明确表明</w:t>
      </w:r>
      <w:r>
        <w:rPr>
          <w:rFonts w:hint="default" w:ascii="Times New Roman Regular" w:hAnsi="Times New Roman Regular" w:cs="Times New Roman Regular"/>
          <w:lang w:val="en-US"/>
        </w:rPr>
        <w:t>“议会”</w:t>
      </w:r>
      <w:r>
        <w:rPr>
          <w:rFonts w:hint="default" w:ascii="Times New Roman Regular" w:hAnsi="Times New Roman Regular" w:cs="Times New Roman Regular" w:eastAsiaTheme="minorEastAsia"/>
        </w:rPr>
        <w:t>在其组成和权威方面存在巨大差异。更精细的衡量——也许区分精英议会、开放大会和基于共识的决策——将增加分析力度。</w:t>
      </w:r>
    </w:p>
    <w:p w14:paraId="7842114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（4）民族志现在问题。SCCS在单一时间点（通常是最早可靠描述）对每个社会进行编码。对于许多社会，这是欧洲接触的时间点，可能已经扰乱了本土政治制度。因此，</w:t>
      </w:r>
      <w:r>
        <w:rPr>
          <w:rFonts w:hint="default" w:ascii="Times New Roman Regular" w:hAnsi="Times New Roman Regular" w:cs="Times New Roman Regular"/>
          <w:lang w:val="en-US"/>
        </w:rPr>
        <w:t>“民族志现在”</w:t>
      </w:r>
      <w:r>
        <w:rPr>
          <w:rFonts w:hint="default" w:ascii="Times New Roman Regular" w:hAnsi="Times New Roman Regular" w:cs="Times New Roman Regular" w:eastAsiaTheme="minorEastAsia"/>
        </w:rPr>
        <w:t>可能捕捉的是接触后的均衡，而不是长期存在的接触前政治形式。这对可能因欧洲疾病带来的人口崩溃而重组的美洲原住民社会尤其成问题。</w:t>
      </w:r>
    </w:p>
    <w:p w14:paraId="11D49D8E">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5）SCCS的样本选择。SCCS中的186个社会被选择为相互独立（即避免空间自相关），但如果纳入标准与感兴趣的结果相关，这种选择可能引入偏差。默多克和怀特的选择标准不是随机的，由此产生的样本可能过度或不足地代表某些类型的社会。</w:t>
      </w:r>
    </w:p>
    <w:p w14:paraId="7AF04D6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6）第四章中欧洲落后论的论证是启发性的，但未经系统检验。欧洲技术落后保护了民主的主张由定性比较（中国与欧洲、阿拉伯土地的再征服）支持，但没有正式的经验分析。更严格的检验将跨许多社会测量技术复杂程度，并在控制其他因素后检验其是否预测官僚制替代方案。</w:t>
      </w:r>
    </w:p>
    <w:p w14:paraId="7657A26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7）技术与政治形式之间的反向因果。第四章认为技术削弱了民主，但因果箭头可能指向另一个方向：也许民主社会抵制了会削弱其政治形式的技术的采用。欧洲人在再征服后未能采用阿拉伯农业创新的例子（第89-90页）可以被解读为恰恰是这种对技术变革的政治抵制，而不仅仅是落后。斯科特的</w:t>
      </w:r>
      <w:r>
        <w:rPr>
          <w:rFonts w:hint="default" w:ascii="Times New Roman Regular" w:hAnsi="Times New Roman Regular" w:cs="Times New Roman Regular"/>
          <w:lang w:val="en-US"/>
        </w:rPr>
        <w:t>“弱者的武器”</w:t>
      </w:r>
      <w:r>
        <w:rPr>
          <w:rFonts w:hint="default" w:ascii="Times New Roman Regular" w:hAnsi="Times New Roman Regular" w:cs="Times New Roman Regular" w:eastAsiaTheme="minorEastAsia"/>
        </w:rPr>
        <w:t>和</w:t>
      </w:r>
      <w:r>
        <w:rPr>
          <w:rFonts w:hint="default" w:ascii="Times New Roman Regular" w:hAnsi="Times New Roman Regular" w:cs="Times New Roman Regular"/>
          <w:lang w:val="en-US"/>
        </w:rPr>
        <w:t>“不被统治的艺术”</w:t>
      </w:r>
      <w:r>
        <w:rPr>
          <w:rFonts w:hint="default" w:ascii="Times New Roman Regular" w:hAnsi="Times New Roman Regular" w:cs="Times New Roman Regular" w:eastAsiaTheme="minorEastAsia"/>
        </w:rPr>
        <w:t>框架表明，人们刻意避免增强可读性的技术。</w:t>
      </w:r>
    </w:p>
    <w:p w14:paraId="720EDC3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8）对不平等和阶级结构关注有限。该框架聚焦于统治者-社会关系，但对社会内部分层着墨甚少。高度不平等的社会可能发展出仅代表精英的议会，而更平等的社会可能发展出真正参与式的大会。SCCS编码没有捕捉这一区分，理论也未涉及。</w:t>
      </w:r>
    </w:p>
    <w:p w14:paraId="7E39375E">
      <w:pPr>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pict>
          <v:rect id="_x0000_i1063" o:spt="1" style="height:1.5pt;width:432pt;" fillcolor="#A0A0A0" filled="t" stroked="f" coordsize="21600,21600" o:hr="t" o:hrstd="t" o:hralign="center">
            <v:path/>
            <v:fill on="t" focussize="0,0"/>
            <v:stroke on="f"/>
            <v:imagedata o:title=""/>
            <o:lock v:ext="edit"/>
            <w10:wrap type="none"/>
            <w10:anchorlock/>
          </v:rect>
        </w:pict>
      </w:r>
    </w:p>
    <w:p w14:paraId="3D970B46">
      <w:pPr>
        <w:pStyle w:val="3"/>
        <w:keepNext w:val="0"/>
        <w:keepLines w:val="0"/>
        <w:pageBreakBefore w:val="0"/>
        <w:widowControl/>
        <w:suppressLineNumbers w:val="0"/>
        <w:kinsoku/>
        <w:wordWrap/>
        <w:overflowPunct/>
        <w:topLinePunct w:val="0"/>
        <w:autoSpaceDE/>
        <w:autoSpaceDN/>
        <w:bidi w:val="0"/>
        <w:adjustRightInd/>
        <w:snapToGrid/>
        <w:spacing w:beforeAutospacing="0" w:afterAutospacing="0"/>
        <w:textAlignment w:val="auto"/>
        <w:rPr>
          <w:rFonts w:hint="default" w:ascii="Times New Roman Regular" w:hAnsi="Times New Roman Regular" w:cs="Times New Roman Regular" w:eastAsiaTheme="minorEastAsia"/>
        </w:rPr>
      </w:pPr>
      <w:r>
        <w:rPr>
          <w:rFonts w:hint="default" w:ascii="Times New Roman Regular" w:hAnsi="Times New Roman Regular" w:cs="Times New Roman Regular" w:eastAsiaTheme="minorEastAsia"/>
        </w:rPr>
        <w:t>Extensions: What are potential extensions? / 延伸：可能的研究延伸是什么？</w:t>
      </w:r>
    </w:p>
    <w:p w14:paraId="4BE12F2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rPr>
      </w:pPr>
      <w:r>
        <w:rPr>
          <w:rStyle w:val="8"/>
          <w:rFonts w:hint="default" w:ascii="Times New Roman Regular" w:hAnsi="Times New Roman Regular" w:cs="Times New Roman Regular" w:eastAsiaTheme="minorEastAsia"/>
        </w:rPr>
        <w:t>English:</w:t>
      </w:r>
      <w:r>
        <w:rPr>
          <w:rFonts w:hint="default" w:ascii="Times New Roman Regular" w:hAnsi="Times New Roman Regular" w:cs="Times New Roman Regular" w:eastAsiaTheme="minorEastAsia"/>
        </w:rPr>
        <w:t xml:space="preserve"> Several promising research extensions emerge from these chapters.</w:t>
      </w:r>
    </w:p>
    <w:p w14:paraId="79D6B8C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rPr>
        <w:t xml:space="preserve">(1) Formal modeling of the information–council bargain. Stasavage sketches the logic of why rulers with imperfect information about production would benefit from councils, but does not present a formal model. A game-theoretic model—building on the cheap talk or mechanism design literature—could specify the conditions under which council governance is a stable equilibrium, when it breaks down, and how it interacts with bureaucratic capacity. This would connect to the Dal Bó /dæl ˈboʊ/, Hernández-Lagos /ɛrˈnɑːndɛz ˈlɑːɡoʊs/, and Mazzuca /mɑːˈzuːkɑː/ approach of using formal theory to derive comparative statics about </w:t>
      </w:r>
      <w:r>
        <w:rPr>
          <w:rFonts w:hint="default" w:ascii="Times New Roman Regular" w:hAnsi="Times New Roman Regular" w:cs="Times New Roman Regular" w:eastAsiaTheme="minorEastAsia"/>
          <w:color w:val="auto"/>
        </w:rPr>
        <w:t>state formation.</w:t>
      </w:r>
    </w:p>
    <w:p w14:paraId="07664F9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(2) Testing the framework with more rigorous causal identification. One could exploit natural experiments—such as volcanic eruptions or climate shocks that exogenously increase agricultural variability—to test whether increased uncertainty leads to the adoption of council governance. Similarly, the introduction of new crops through the Columbian Exchange (which Stasavage uses qualitatively) could be formalized as a quasi-experiment using difference-in-differences methods.</w:t>
      </w:r>
    </w:p>
    <w:p w14:paraId="581787C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(3) The long-run consequences of early democracy. These chapters explain where early democracy came from but do not trace its long-run effects. Did societies with early democratic traditions develop different economic institutions, different levels of trust, or different norms of governance? This connects to Hariri /hæˈriːri/</w:t>
      </w:r>
      <w:r>
        <w:rPr>
          <w:rFonts w:hint="default" w:ascii="Times New Roman Regular" w:hAnsi="Times New Roman Regular" w:cs="Times New Roman Regular"/>
          <w:color w:val="auto"/>
          <w:lang w:val="en-US"/>
        </w:rPr>
        <w:t>’s</w:t>
      </w:r>
      <w:r>
        <w:rPr>
          <w:rFonts w:hint="default" w:ascii="Times New Roman Regular" w:hAnsi="Times New Roman Regular" w:cs="Times New Roman Regular" w:eastAsiaTheme="minorEastAsia"/>
          <w:color w:val="auto"/>
        </w:rPr>
        <w:t xml:space="preserve"> finding that early indigenous statehood is associated with modern autocracy—Stasavage</w:t>
      </w:r>
      <w:r>
        <w:rPr>
          <w:rFonts w:hint="default" w:ascii="Times New Roman Regular" w:hAnsi="Times New Roman Regular" w:cs="Times New Roman Regular"/>
          <w:color w:val="auto"/>
          <w:lang w:val="en-US"/>
        </w:rPr>
        <w:t>’s</w:t>
      </w:r>
      <w:r>
        <w:rPr>
          <w:rFonts w:hint="default" w:ascii="Times New Roman Regular" w:hAnsi="Times New Roman Regular" w:cs="Times New Roman Regular" w:eastAsiaTheme="minorEastAsia"/>
          <w:color w:val="auto"/>
        </w:rPr>
        <w:t xml:space="preserve"> framework implies a more nuanced prediction: early states with councils might have different long-run trajectories than early states without them.</w:t>
      </w:r>
    </w:p>
    <w:p w14:paraId="209F8BF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(4) Sequencing of bureaucracy and democracy. Stasavage briefly suggests that the sequence matters: if democracy develops first, the population develops collective action habits that allow it to constrain even a bureaucratized ruler; if bureaucracy comes first, democracy may never emerge (p. 76). This sequencing hypothesis is testable and connects to a large literature on whether state capacity and democratization are complements or substitutes (Besley /ˈbɛzli/ and Persson /ˈpɜːrsən/, Tilly). A systematic test across many societies would be valuable.</w:t>
      </w:r>
    </w:p>
    <w:p w14:paraId="336AE31C">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(5) The role of trade and commerce. Stasavage briefly mentions that caloric variability might encourage trade (p. 68) but dismisses this as an alternative explanation. Yet in our earlier readings on Abramson and Boix /bɔɪks/</w:t>
      </w:r>
      <w:r>
        <w:rPr>
          <w:rFonts w:hint="default" w:ascii="Times New Roman Regular" w:hAnsi="Times New Roman Regular" w:cs="Times New Roman Regular"/>
          <w:color w:val="auto"/>
          <w:lang w:val="en-US"/>
        </w:rPr>
        <w:t>’s</w:t>
      </w:r>
      <w:r>
        <w:rPr>
          <w:rFonts w:hint="default" w:ascii="Times New Roman Regular" w:hAnsi="Times New Roman Regular" w:cs="Times New Roman Regular" w:eastAsiaTheme="minorEastAsia"/>
          <w:color w:val="auto"/>
        </w:rPr>
        <w:t xml:space="preserve"> work on European political fragmentation, commercial classes played a central role in sustaining independent political units. Integrating the commercial mechanism with the information mechanism could yield a richer theory: perhaps trade both increases the information problem (more complex economies are harder to tax) and creates a new constituency (merchants) with both the desire for political voice and the capacity for exit.</w:t>
      </w:r>
    </w:p>
    <w:p w14:paraId="6947E38F">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(6) Technology adoption as a political choice. Chapter 4 treats European technological backwardness as a given, but scholars like Daron Acemoglu /ˈæsɪmoʊɡluː/ and James Robinson have argued that technology adoption is itself shaped by political institutions. Perhaps European rulers with democratic constraints deliberately avoided adopting technologies that would have strengthened their hand—or perhaps elites in non-European societies actively promoted technologies that undermined councils. Disentangling this co-evolution would be a significant contribution.</w:t>
      </w:r>
    </w:p>
    <w:p w14:paraId="525ED808">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 xml:space="preserve">(7) Application to modern contexts. Does the logic of </w:t>
      </w:r>
      <w:r>
        <w:rPr>
          <w:rFonts w:hint="default" w:ascii="Times New Roman Regular" w:hAnsi="Times New Roman Regular" w:cs="Times New Roman Regular"/>
          <w:color w:val="auto"/>
          <w:lang w:val="en-US"/>
        </w:rPr>
        <w:t>“weak states inherit democracy”</w:t>
      </w:r>
      <w:r>
        <w:rPr>
          <w:rFonts w:hint="default" w:ascii="Times New Roman Regular" w:hAnsi="Times New Roman Regular" w:cs="Times New Roman Regular" w:eastAsiaTheme="minorEastAsia"/>
          <w:color w:val="auto"/>
        </w:rPr>
        <w:t xml:space="preserve"> apply in modern contexts? Many developing countries have states that are </w:t>
      </w:r>
      <w:r>
        <w:rPr>
          <w:rFonts w:hint="default" w:ascii="Times New Roman Regular" w:hAnsi="Times New Roman Regular" w:cs="Times New Roman Regular"/>
          <w:color w:val="auto"/>
          <w:lang w:val="en-US"/>
        </w:rPr>
        <w:t>“weak”</w:t>
      </w:r>
      <w:r>
        <w:rPr>
          <w:rFonts w:hint="default" w:ascii="Times New Roman Regular" w:hAnsi="Times New Roman Regular" w:cs="Times New Roman Regular" w:eastAsiaTheme="minorEastAsia"/>
          <w:color w:val="auto"/>
        </w:rPr>
        <w:t xml:space="preserve"> in Stasavage</w:t>
      </w:r>
      <w:r>
        <w:rPr>
          <w:rFonts w:hint="default" w:ascii="Times New Roman Regular" w:hAnsi="Times New Roman Regular" w:cs="Times New Roman Regular"/>
          <w:color w:val="auto"/>
          <w:lang w:val="en-US"/>
        </w:rPr>
        <w:t>’s</w:t>
      </w:r>
      <w:r>
        <w:rPr>
          <w:rFonts w:hint="default" w:ascii="Times New Roman Regular" w:hAnsi="Times New Roman Regular" w:cs="Times New Roman Regular" w:eastAsiaTheme="minorEastAsia"/>
          <w:color w:val="auto"/>
        </w:rPr>
        <w:t xml:space="preserve"> sense—they cannot effectively monitor production or prevent exit. Do these countries tend to have more democratic institutions at the local level, even if national institutions are autocratic? This connects to work on decentralization, local governance, and </w:t>
      </w:r>
      <w:r>
        <w:rPr>
          <w:rFonts w:hint="default" w:ascii="Times New Roman Regular" w:hAnsi="Times New Roman Regular" w:cs="Times New Roman Regular"/>
          <w:color w:val="auto"/>
          <w:lang w:val="en-US"/>
        </w:rPr>
        <w:t>“everyday democracy”</w:t>
      </w:r>
      <w:r>
        <w:rPr>
          <w:rFonts w:hint="default" w:ascii="Times New Roman Regular" w:hAnsi="Times New Roman Regular" w:cs="Times New Roman Regular" w:eastAsiaTheme="minorEastAsia"/>
          <w:color w:val="auto"/>
        </w:rPr>
        <w:t xml:space="preserve"> in Africa and Asia.</w:t>
      </w:r>
    </w:p>
    <w:p w14:paraId="34D6021B">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Style w:val="8"/>
          <w:rFonts w:hint="default" w:ascii="Times New Roman Regular" w:hAnsi="Times New Roman Regular" w:cs="Times New Roman Regular" w:eastAsiaTheme="minorEastAsia"/>
          <w:color w:val="auto"/>
        </w:rPr>
        <w:t>中文：</w:t>
      </w:r>
      <w:r>
        <w:rPr>
          <w:rFonts w:hint="default" w:ascii="Times New Roman Regular" w:hAnsi="Times New Roman Regular" w:cs="Times New Roman Regular" w:eastAsiaTheme="minorEastAsia"/>
          <w:color w:val="auto"/>
        </w:rPr>
        <w:t xml:space="preserve"> 这些章节产生了几个有前景的研究延伸。</w:t>
      </w:r>
    </w:p>
    <w:p w14:paraId="09286BB7">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1）信息-议会讨价还价的正式建模。斯塔萨维奇勾勒了为什么拥有不完善生产信息的统治者会从议会中受益的逻辑，但没有提出正式模型。一个博弈论模型——建立在廉价交谈或机制设计文献之上——可以明确议会治理是稳定均衡的条件、何时崩溃，以及如何与官僚能力互动。这将连接到达尔·博 /dæl ˈboʊ/、埃尔南德斯-拉戈斯 /ɛrˈnɑːndɛz ˈlɑːɡoʊs/ 和马祖卡 /mɑːˈzuːkɑː/ 使用正式理论推导国家形成比较静态的方法。</w:t>
      </w:r>
    </w:p>
    <w:p w14:paraId="2634668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2）用更严格的因果识别检验框架。可以利用自然实验——如火山爆发或气候冲击导致农业变异性外生增加——来检验不确定性增加是否导致议会治理的采纳。类似地，哥伦布大交换引入新作物（斯塔萨维奇定性使用了这一点）可以用双重差分方法形式化为准实验。</w:t>
      </w:r>
    </w:p>
    <w:p w14:paraId="27F6F825">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（3）早期民主的长期后果。这些章节解释了早期民主从何而来，但没有追踪其长期效应。拥有早期民主传统的社会是否发展了不同的经济制度、不同水平的信任或不同的治理规范？这与哈里里 /hæˈriːri/ 的发现相连——早期本土国家与现代专制相关——斯塔萨维奇的框架暗示了更细致的预测：拥有议会的早期国家可能与没有议会的早期国家有不同的长期轨迹。</w:t>
      </w:r>
    </w:p>
    <w:p w14:paraId="504BD9F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4）官僚制与民主的顺序。斯塔萨维奇简要建议顺序很重要：如果民主先发展，人口养成集体行动习惯，使其即使在官僚化的统治者面前也能进行约束；如果官僚制先出现，民主可能永远不会产生（第76页）。这一顺序假设是可检验的，并连接到关于国家能力与民主化是互补还是替代的大量文献（贝斯利 /ˈbɛzli/ 和佩尔松 /ˈpɜːrsən/、蒂利）。跨多个社会的系统检验将是有价值的。</w:t>
      </w:r>
    </w:p>
    <w:p w14:paraId="31E61F2D">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（5）贸易和商业的作用。斯塔萨维奇简要提到热量变异性可能鼓励贸易（第68页），但将其作为替代解释予以排除。然而，在我们早前阅读的阿布拉姆森和博伊斯 /bɔɪks/ 关于欧洲政治碎片化的研究中，商业阶层在维持独立政治单元方面发挥了核心作用。将商业机制与信息机制整合可以产生更丰富的理论：也许贸易既增加了信息问题（更复杂的经济更难征税），又创造了一个新的利益群体（商人），他们既渴望政治发言权，又有退出的能力。</w:t>
      </w:r>
    </w:p>
    <w:p w14:paraId="227ECD79">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（6）技术采用作为政治选择。第四章将欧洲技术落后视为既定事实，但达龙·阿西莫格鲁 /ˈæsɪmoʊɡluː/ 和詹姆斯·罗宾逊等学者认为技术采用本身受政治制度塑造。也许受民主约束的欧洲统治者刻意避免采用会加强其权力的技术——或者非欧洲社会的精英积极推动了削弱议会的技术。理清这种共同演化将是一个重要贡献。</w:t>
      </w:r>
    </w:p>
    <w:p w14:paraId="5C950082">
      <w:pPr>
        <w:pStyle w:val="5"/>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ind w:left="0" w:right="0"/>
        <w:textAlignment w:val="auto"/>
        <w:rPr>
          <w:rFonts w:hint="default" w:ascii="Times New Roman Regular" w:hAnsi="Times New Roman Regular" w:cs="Times New Roman Regular" w:eastAsiaTheme="minorEastAsia"/>
          <w:color w:val="auto"/>
        </w:rPr>
      </w:pPr>
      <w:r>
        <w:rPr>
          <w:rFonts w:hint="default" w:ascii="Times New Roman Regular" w:hAnsi="Times New Roman Regular" w:cs="Times New Roman Regular" w:eastAsiaTheme="minorEastAsia"/>
          <w:color w:val="auto"/>
        </w:rPr>
        <w:t>（7）对现代背景的应用。</w:t>
      </w:r>
      <w:r>
        <w:rPr>
          <w:rFonts w:hint="default" w:ascii="Times New Roman Regular" w:hAnsi="Times New Roman Regular" w:cs="Times New Roman Regular"/>
          <w:color w:val="auto"/>
          <w:lang w:val="en-US"/>
        </w:rPr>
        <w:t>“弱国家继承民主”</w:t>
      </w:r>
      <w:r>
        <w:rPr>
          <w:rFonts w:hint="default" w:ascii="Times New Roman Regular" w:hAnsi="Times New Roman Regular" w:cs="Times New Roman Regular" w:eastAsiaTheme="minorEastAsia"/>
          <w:color w:val="auto"/>
        </w:rPr>
        <w:t>的逻辑是否适用于现代背景？许多发展中国家拥有斯塔萨维奇意义上</w:t>
      </w:r>
      <w:r>
        <w:rPr>
          <w:rFonts w:hint="default" w:ascii="Times New Roman Regular" w:hAnsi="Times New Roman Regular" w:cs="Times New Roman Regular"/>
          <w:color w:val="auto"/>
          <w:lang w:val="en-US"/>
        </w:rPr>
        <w:t>“弱”</w:t>
      </w:r>
      <w:r>
        <w:rPr>
          <w:rFonts w:hint="default" w:ascii="Times New Roman Regular" w:hAnsi="Times New Roman Regular" w:cs="Times New Roman Regular" w:eastAsiaTheme="minorEastAsia"/>
          <w:color w:val="auto"/>
        </w:rPr>
        <w:t>的国家——无法有效监控生产或防止退出。这些国家是否倾向于在地方层面拥有更多民主制度，即使国家制度是专制的？这与关于非洲和亚洲的分权化、地方治理和</w:t>
      </w:r>
      <w:r>
        <w:rPr>
          <w:rFonts w:hint="default" w:ascii="Times New Roman Regular" w:hAnsi="Times New Roman Regular" w:cs="Times New Roman Regular"/>
          <w:color w:val="auto"/>
          <w:lang w:val="en-US"/>
        </w:rPr>
        <w:t>“日常民主”</w:t>
      </w:r>
      <w:r>
        <w:rPr>
          <w:rFonts w:hint="default" w:ascii="Times New Roman Regular" w:hAnsi="Times New Roman Regular" w:cs="Times New Roman Regular" w:eastAsiaTheme="minorEastAsia"/>
          <w:color w:val="auto"/>
        </w:rPr>
        <w:t>的研究相连。</w:t>
      </w:r>
    </w:p>
    <w:p w14:paraId="45718EB0">
      <w:pPr>
        <w:rPr>
          <w:rFonts w:hint="default" w:ascii="Times New Roman Regular" w:hAnsi="Times New Roman Regular" w:cs="Times New Roman Regular"/>
          <w:color w:val="auto"/>
        </w:rPr>
      </w:pPr>
    </w:p>
    <w:p w14:paraId="56DB4178">
      <w:pPr>
        <w:keepNext w:val="0"/>
        <w:keepLines w:val="0"/>
        <w:pageBreakBefore w:val="0"/>
        <w:kinsoku/>
        <w:wordWrap/>
        <w:overflowPunct/>
        <w:topLinePunct w:val="0"/>
        <w:autoSpaceDE/>
        <w:autoSpaceDN/>
        <w:bidi w:val="0"/>
        <w:adjustRightInd/>
        <w:snapToGrid/>
        <w:spacing w:beforeAutospacing="0" w:afterAutospacing="0" w:line="240" w:lineRule="auto"/>
        <w:jc w:val="left"/>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40"/>
          <w:szCs w:val="40"/>
        </w:rPr>
        <w:t>Lecture Notes</w:t>
      </w:r>
      <w:r>
        <w:rPr>
          <w:rFonts w:hint="default" w:ascii="Times New Roman Regular" w:hAnsi="Times New Roman Regular" w:eastAsia="Arial" w:cs="Times New Roman Regular"/>
          <w:b/>
          <w:bCs/>
          <w:color w:val="auto"/>
          <w:sz w:val="40"/>
          <w:szCs w:val="40"/>
          <w:lang w:val="en-US"/>
        </w:rPr>
        <w:t xml:space="preserve">: </w:t>
      </w:r>
      <w:r>
        <w:rPr>
          <w:rFonts w:hint="default" w:ascii="Times New Roman Regular" w:hAnsi="Times New Roman Regular" w:eastAsia="Arial" w:cs="Times New Roman Regular"/>
          <w:b/>
          <w:bCs/>
          <w:color w:val="auto"/>
          <w:sz w:val="30"/>
          <w:szCs w:val="30"/>
        </w:rPr>
        <w:t>On the Origins of the State: Stationary Bandits and Taxation in Eastern Congo</w:t>
      </w:r>
    </w:p>
    <w:p w14:paraId="6D733EEF">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 Literature Name</w:t>
      </w:r>
    </w:p>
    <w:p w14:paraId="7E27364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lang w:val="en-US"/>
        </w:rPr>
        <w:t>“On the Origins of the State: Stationary Bandits and Taxation in Eastern Congo.”</w:t>
      </w:r>
      <w:r>
        <w:rPr>
          <w:rFonts w:hint="default" w:ascii="Times New Roman Regular" w:hAnsi="Times New Roman Regular" w:eastAsia="Arial" w:cs="Times New Roman Regular"/>
          <w:color w:val="auto"/>
          <w:sz w:val="22"/>
          <w:szCs w:val="22"/>
        </w:rPr>
        <w:t xml:space="preserve"> Published in the Journal of Political Economy, 2020, Volume 128, Number 1 (pp. 32–74). (p. 32)</w:t>
      </w:r>
    </w:p>
    <w:p w14:paraId="4A980741">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2. Author(s)</w:t>
      </w:r>
    </w:p>
    <w:p w14:paraId="0D511A90">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Raúl Sánchez de la Sierra /raˈul ˈsantʃeθ de la siˈera/, affiliated with the University of Chicago /juːnɪˈvɜːrsɪti əv ʃɪˈkɑːɡoʊ/ at the time of publication. (p. 32)</w:t>
      </w:r>
    </w:p>
    <w:p w14:paraId="42538B41">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3. Published Year</w:t>
      </w:r>
    </w:p>
    <w:p w14:paraId="4121DD4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Electronically published December 20, 2019; journal issue dated 2020. (p. 32)</w:t>
      </w:r>
    </w:p>
    <w:p w14:paraId="4D3A06D3">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4. Dependent Variable (DV)</w:t>
      </w:r>
    </w:p>
    <w:p w14:paraId="12688EC4">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The paper has multiple dependent variables organized along three dimensions. The first dimension is the </w:t>
      </w:r>
      <w:r>
        <w:rPr>
          <w:rFonts w:hint="default" w:ascii="Times New Roman Regular" w:hAnsi="Times New Roman Regular" w:eastAsia="Arial" w:cs="Times New Roman Regular"/>
          <w:color w:val="auto"/>
          <w:sz w:val="22"/>
          <w:szCs w:val="22"/>
          <w:lang w:val="en-US"/>
        </w:rPr>
        <w:t>“extensive margin”</w:t>
      </w:r>
      <w:r>
        <w:rPr>
          <w:rFonts w:hint="default" w:ascii="Times New Roman Regular" w:hAnsi="Times New Roman Regular" w:eastAsia="Arial" w:cs="Times New Roman Regular"/>
          <w:color w:val="auto"/>
          <w:sz w:val="22"/>
          <w:szCs w:val="22"/>
        </w:rPr>
        <w:t xml:space="preserve"> of the essential functions of a state, which captures whether armed actors establish state-like institutions at a given location in a given year. The specific extensive-margin DVs include: (a) whether the municipality was attacked by any armed actor; (b) whether an armed actor imposed customs taxation on mining output at the exit of a mine; (c) whether an armed actor imposed entry fees (working permits/visas) to work at the mine; (d) whether an armed actor established a monopoly of violence (i.e., became a </w:t>
      </w:r>
      <w:r>
        <w:rPr>
          <w:rFonts w:hint="default" w:ascii="Times New Roman Regular" w:hAnsi="Times New Roman Regular" w:eastAsia="Arial" w:cs="Times New Roman Regular"/>
          <w:color w:val="auto"/>
          <w:sz w:val="22"/>
          <w:szCs w:val="22"/>
          <w:lang w:val="en-US"/>
        </w:rPr>
        <w:t>“stationary bandit”</w:t>
      </w:r>
      <w:r>
        <w:rPr>
          <w:rFonts w:hint="default" w:ascii="Times New Roman Regular" w:hAnsi="Times New Roman Regular" w:eastAsia="Arial" w:cs="Times New Roman Regular"/>
          <w:color w:val="auto"/>
          <w:sz w:val="22"/>
          <w:szCs w:val="22"/>
        </w:rPr>
        <w:t>) at the mine or support village; (e) whether an armed actor provided a security service at the mine or support village; and (f) a normalized mean index combining these outcomes. All of these are coded as binary dummies (0 or 1) for each municipality–year observation. (pp. 48–52, Table 1)</w:t>
      </w:r>
    </w:p>
    <w:p w14:paraId="08D3CF6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second dimension is household welfare, measured at support villages. Welfare proxies include: (a) a savings/investment index constructed via principal component analysis of yearly cattle acquisitions; (b) the log of yearly weddings celebrated in the village (a costly, prestigious investment in a bride-price society); (c) the log of yearly immigration into the village (reflecting the relative desirability of living there); and (d) a composite welfare index combining the above via principal component analysis. (pp. 57–58)</w:t>
      </w:r>
    </w:p>
    <w:p w14:paraId="62C90CC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 xml:space="preserve">The third dimension is the </w:t>
      </w:r>
      <w:r>
        <w:rPr>
          <w:rFonts w:hint="default" w:ascii="Times New Roman Regular" w:hAnsi="Times New Roman Regular" w:eastAsia="Arial" w:cs="Times New Roman Regular"/>
          <w:color w:val="auto"/>
          <w:sz w:val="22"/>
          <w:szCs w:val="22"/>
          <w:lang w:val="en-US"/>
        </w:rPr>
        <w:t>“intensive margin”</w:t>
      </w:r>
      <w:r>
        <w:rPr>
          <w:rFonts w:hint="default" w:ascii="Times New Roman Regular" w:hAnsi="Times New Roman Regular" w:eastAsia="Arial" w:cs="Times New Roman Regular"/>
          <w:color w:val="auto"/>
          <w:sz w:val="22"/>
          <w:szCs w:val="22"/>
        </w:rPr>
        <w:t xml:space="preserve"> of the essential functions of a state, which captures the sophistication of taxation and administrative capacity. Specific intensive-margin DVs include: (a) whether a poll tax exists; (b) whether a market (food market) tax exists; (c) whether a toll booth exists at the village; (d) whether a mill tax exists; (e) a tax sophistication index (a weighted average of taxes, where the weight reflects how strongly each tax is associated with fiscal administration); (f) whether a fiscal administration exists at the village; (g) whether a judicial administration exists at the village; and (h) an overall intensive-margin index combining the above. (pp. 64–65, Table 5)</w:t>
      </w:r>
      <w:r>
        <w:rPr>
          <w:rFonts w:hint="default" w:ascii="Times New Roman Regular" w:hAnsi="Times New Roman Regular" w:eastAsia="Arial" w:cs="Times New Roman Regular"/>
          <w:color w:val="auto"/>
          <w:sz w:val="22"/>
          <w:szCs w:val="22"/>
        </w:rPr>
        <w:br w:type="textWrapping"/>
      </w:r>
      <w:r>
        <w:rPr>
          <w:rFonts w:hint="default" w:ascii="Times New Roman Regular" w:hAnsi="Times New Roman Regular" w:eastAsia="Arial" w:cs="Times New Roman Regular"/>
          <w:color w:val="auto"/>
          <w:sz w:val="22"/>
          <w:szCs w:val="22"/>
        </w:rPr>
        <w:t>本文有多个因变量，按三个维度组织。第一个维度是国家基本功能的"广延边际"(extensive margin)，即武装行为者是否在特定地点和特定年份建立了类国家制度。具体的广延边际因变量包括：(a) 该市镇是否遭到武装行为者攻击；(b) 武装行为者是否在矿区出口对矿产产出征收海关税（通过设立路障实施）；(c) 武装行为者是否在矿区征收入场费（工作许可/签证）；(d) 武装行为者是否在矿区或支持村庄建立了暴力垄断（即成为"固定匪帮"）；(e) 武装行为者是否在矿区或支持村庄提供安全服务；(f) 以上各项的标准化均值指数。所有变量均为二元虚拟变量（0或1），以市镇–年为观测单位。（第48–52页，表1）</w:t>
      </w:r>
    </w:p>
    <w:p w14:paraId="5A88FC1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第二个维度是家庭福利，在支持村庄层面衡量。福利代理变量包括：(a) 基于年度购牛情况通过主成分分析构建的储蓄/投资指数；(b) 村庄年度婚礼数量的对数（在聘礼社会中，婚礼是一项昂贵且有声望的投资）；(c) 年度迁入人口数量的对数（反映居住在该村庄的相对吸引力）；(d) 综合以上各项通过主成分分析构建的福利综合指数。（第57–58页）</w:t>
      </w:r>
    </w:p>
    <w:p w14:paraId="7D4FDCA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第三个维度是国家基本功能的"集约边际"(intensive margin)，即税收和行政能力的复杂化程度。具体的集约边际因变量包括：(a) 是否存在人头税；(b) 是否存在市场（食品市场）税；(c) 是否存在村庄收费站；(d) 是否存在磨坊税；(e) 税收复杂度指数（各种税的加权平均值，权重反映该种税与财政管理机构关联的强度）；(f) 村庄是否存在财政管理机构；(g) 村庄是否存在司法管理机构；(h) 综合以上各项的集约边际总指数。（第64–65页，表5）</w:t>
      </w:r>
    </w:p>
    <w:p w14:paraId="5FD1812E">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5. Independent Variable (IV)</w:t>
      </w:r>
    </w:p>
    <w:p w14:paraId="6D3F9A5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The main independent variables are exogenous shocks to the world prices of two minerals extracted in eastern Congo /ˈkɒŋɡoʊ/: coltan (columbite-tantalite) and gold. Specifically, the paper uses the interaction between the logarithm of the US price of coltan (or gold) in year t and a dummy indicating whether municipality j is endowed with coltan (or gold). The key variation is thus a difference-in-differences design: mineral-endowed locations are </w:t>
      </w:r>
      <w:r>
        <w:rPr>
          <w:rFonts w:hint="default" w:ascii="Times New Roman Regular" w:hAnsi="Times New Roman Regular" w:eastAsia="Arial" w:cs="Times New Roman Regular"/>
          <w:color w:val="auto"/>
          <w:sz w:val="22"/>
          <w:szCs w:val="22"/>
          <w:lang w:val="en-US"/>
        </w:rPr>
        <w:t>“treated”</w:t>
      </w:r>
      <w:r>
        <w:rPr>
          <w:rFonts w:hint="default" w:ascii="Times New Roman Regular" w:hAnsi="Times New Roman Regular" w:eastAsia="Arial" w:cs="Times New Roman Regular"/>
          <w:color w:val="auto"/>
          <w:sz w:val="22"/>
          <w:szCs w:val="22"/>
        </w:rPr>
        <w:t xml:space="preserve"> by the price shocks, while locations without those minerals serve as comparisons. (pp. 48–49)</w:t>
      </w:r>
    </w:p>
    <w:p w14:paraId="4A7D435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coltan price shock was triggered in early 2000 when Sony /ˈsoʊni/ announced the Playstation II /ˈpleɪsteɪʃən/, which used coltan as a key input. The US price surged from $90 to $590 per kilogram before collapsing during Christmas 2000 when the console underperformed. The gold price shock came later, driven by investors rushing to gold as a safe haven after the global recession, with the price rising sharply especially after 2006, reaching levels up to 6 times pre-shock levels by 2012. (pp. 34, 44, Figure 1)</w:t>
      </w:r>
    </w:p>
    <w:p w14:paraId="04C4411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For the welfare analysis, additional key IVs include the type of stationary bandit present (militia, external armed actor, or FARDC /ɛf eɪ ɑːr diː siː/ — the Congolese national army), and an instrumental variable based on the 2003 Sun City /sʌn ˈsɪti/ peace agreement. (pp. 58, 61–66)</w:t>
      </w:r>
    </w:p>
    <w:p w14:paraId="38F10753">
      <w:pPr>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主要自变量是刚果（金）/ˈkɒŋɡoʊ/东部开采的两种矿物——钶钽铁矿（coltan）和黄金——的世界价格的外生冲击。具体而言，论文使用的是t年美国钶钽铁矿（或黄金）价格的对数与市镇j是否蕴含钶钽铁矿（或黄金）的虚拟变量的交互项。关键的变异来自双重差分设计：拥有矿产的地点被价格冲击"处理"，而没有这些矿产的地点作为对照组。（第48–49页）</w:t>
      </w:r>
    </w:p>
    <w:p w14:paraId="3392580B">
      <w:pPr>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钶钽铁矿价格冲击发生在2000年初，当时Sony /ˈsoʊni/（索尼）宣布推出Playstation II /ˈpleɪsteɪʃən/（PlayStation 2游戏机），该产品以钶钽铁矿为关键输入品。美国价格从每公斤90美元飙升至590美元，随后在2000年圣诞节该游戏机表现不佳时崩溃。黄金价格冲击发生在较晚时期，由全球衰退后投资者涌向黄金作为避险资产驱动，价格在2006年后大幅上涨，到2012年达到冲击前水平的6倍。（第34、44页，图1）</w:t>
      </w:r>
    </w:p>
    <w:p w14:paraId="76D64B72">
      <w:pPr>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在福利分析中，额外的关键自变量包括固定匪帮的类型（民兵、外部武装行为者、或FARDC /ɛf eɪ ɑːr diː siː/——刚果国民军），以及基于2003年Sun City /sʌn ˈsɪti/（太阳城）和平协议的工具变量。（第58、61–66页）</w:t>
      </w:r>
    </w:p>
    <w:p w14:paraId="068D2DA9">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 xml:space="preserve">6. Stateness: How is the </w:t>
      </w:r>
      <w:r>
        <w:rPr>
          <w:rFonts w:hint="default" w:ascii="Times New Roman Regular" w:hAnsi="Times New Roman Regular" w:eastAsia="Arial" w:cs="Times New Roman Regular"/>
          <w:b/>
          <w:bCs/>
          <w:color w:val="auto"/>
          <w:sz w:val="28"/>
          <w:szCs w:val="28"/>
          <w:lang w:val="en-US"/>
        </w:rPr>
        <w:t>“s</w:t>
      </w:r>
      <w:r>
        <w:rPr>
          <w:rFonts w:hint="default" w:ascii="Times New Roman Regular" w:hAnsi="Times New Roman Regular" w:eastAsia="Arial" w:cs="Times New Roman Regular"/>
          <w:b/>
          <w:bCs/>
          <w:color w:val="auto"/>
          <w:sz w:val="28"/>
          <w:szCs w:val="28"/>
        </w:rPr>
        <w:t>tate</w:t>
      </w:r>
      <w:r>
        <w:rPr>
          <w:rFonts w:hint="default" w:ascii="Times New Roman Regular" w:hAnsi="Times New Roman Regular" w:eastAsia="Arial" w:cs="Times New Roman Regular"/>
          <w:b/>
          <w:bCs/>
          <w:color w:val="auto"/>
          <w:sz w:val="28"/>
          <w:szCs w:val="28"/>
          <w:lang w:val="en-US"/>
        </w:rPr>
        <w:t>”</w:t>
      </w:r>
      <w:r>
        <w:rPr>
          <w:rFonts w:hint="default" w:ascii="Times New Roman Regular" w:hAnsi="Times New Roman Regular" w:eastAsia="Arial" w:cs="Times New Roman Regular"/>
          <w:b/>
          <w:bCs/>
          <w:color w:val="auto"/>
          <w:sz w:val="28"/>
          <w:szCs w:val="28"/>
        </w:rPr>
        <w:t xml:space="preserve"> and </w:t>
      </w:r>
      <w:r>
        <w:rPr>
          <w:rFonts w:hint="default" w:ascii="Times New Roman Regular" w:hAnsi="Times New Roman Regular" w:eastAsia="Arial" w:cs="Times New Roman Regular"/>
          <w:b/>
          <w:bCs/>
          <w:color w:val="auto"/>
          <w:sz w:val="28"/>
          <w:szCs w:val="28"/>
          <w:lang w:val="en-US"/>
        </w:rPr>
        <w:t>“s</w:t>
      </w:r>
      <w:r>
        <w:rPr>
          <w:rFonts w:hint="default" w:ascii="Times New Roman Regular" w:hAnsi="Times New Roman Regular" w:eastAsia="Arial" w:cs="Times New Roman Regular"/>
          <w:b/>
          <w:bCs/>
          <w:color w:val="auto"/>
          <w:sz w:val="28"/>
          <w:szCs w:val="28"/>
        </w:rPr>
        <w:t>tate Building</w:t>
      </w:r>
      <w:r>
        <w:rPr>
          <w:rFonts w:hint="default" w:ascii="Times New Roman Regular" w:hAnsi="Times New Roman Regular" w:eastAsia="Arial" w:cs="Times New Roman Regular"/>
          <w:b/>
          <w:bCs/>
          <w:color w:val="auto"/>
          <w:sz w:val="28"/>
          <w:szCs w:val="28"/>
          <w:lang w:val="en-US"/>
        </w:rPr>
        <w:t>”</w:t>
      </w:r>
      <w:r>
        <w:rPr>
          <w:rFonts w:hint="default" w:ascii="Times New Roman Regular" w:hAnsi="Times New Roman Regular" w:eastAsia="Arial" w:cs="Times New Roman Regular"/>
          <w:b/>
          <w:bCs/>
          <w:color w:val="auto"/>
          <w:sz w:val="28"/>
          <w:szCs w:val="28"/>
        </w:rPr>
        <w:t xml:space="preserve"> Conceptualized and Measured?</w:t>
      </w:r>
    </w:p>
    <w:p w14:paraId="16C1BDC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The paper conceptualizes the state following the Weberian and Tillyan tradition. Following Weber /ˈveɪbər/ (1946), a state is defined by its </w:t>
      </w:r>
      <w:r>
        <w:rPr>
          <w:rFonts w:hint="default" w:ascii="Times New Roman Regular" w:hAnsi="Times New Roman Regular" w:eastAsia="Arial" w:cs="Times New Roman Regular"/>
          <w:color w:val="auto"/>
          <w:sz w:val="22"/>
          <w:szCs w:val="22"/>
          <w:lang w:val="en-US"/>
        </w:rPr>
        <w:t>“monopoly of violence.”</w:t>
      </w:r>
      <w:r>
        <w:rPr>
          <w:rFonts w:hint="default" w:ascii="Times New Roman Regular" w:hAnsi="Times New Roman Regular" w:eastAsia="Arial" w:cs="Times New Roman Regular"/>
          <w:color w:val="auto"/>
          <w:sz w:val="22"/>
          <w:szCs w:val="22"/>
        </w:rPr>
        <w:t xml:space="preserve"> Following Tilly /ˈtɪli/ (1985, 1990), the </w:t>
      </w:r>
      <w:r>
        <w:rPr>
          <w:rFonts w:hint="default" w:ascii="Times New Roman Regular" w:hAnsi="Times New Roman Regular" w:eastAsia="Arial" w:cs="Times New Roman Regular"/>
          <w:color w:val="auto"/>
          <w:sz w:val="22"/>
          <w:szCs w:val="22"/>
          <w:lang w:val="en-US"/>
        </w:rPr>
        <w:t>“essential functions of a state”</w:t>
      </w:r>
      <w:r>
        <w:rPr>
          <w:rFonts w:hint="default" w:ascii="Times New Roman Regular" w:hAnsi="Times New Roman Regular" w:eastAsia="Arial" w:cs="Times New Roman Regular"/>
          <w:color w:val="auto"/>
          <w:sz w:val="22"/>
          <w:szCs w:val="22"/>
        </w:rPr>
        <w:t xml:space="preserve"> are: (1) war making — eliminating or neutralizing rivals outside the claimed territory; (2) state making — eliminating or neutralizing rivals inside the territory; (3) protection — eliminating or neutralizing enemies of the ruler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clients (i.e., protecting the property of those taxed); and (4) extraction — acquiring the means to carry out the first three activities, i.e., taxation. (pp. 33, 38–39)</w:t>
      </w:r>
    </w:p>
    <w:p w14:paraId="6E0E856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Crucially, the paper does not treat the state as a binary concept or as a product of some grand social contract. Instead, it views state formation as a continuous, never-complete process that emerges from the activities of armed actors seeking to extract revenue. The paper draws on Olson</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/ˈɒlsən/ (1993) concept of the </w:t>
      </w:r>
      <w:r>
        <w:rPr>
          <w:rFonts w:hint="default" w:ascii="Times New Roman Regular" w:hAnsi="Times New Roman Regular" w:eastAsia="Arial" w:cs="Times New Roman Regular"/>
          <w:color w:val="auto"/>
          <w:sz w:val="22"/>
          <w:szCs w:val="22"/>
          <w:lang w:val="en-US"/>
        </w:rPr>
        <w:t>“stationary bandit”</w:t>
      </w:r>
      <w:r>
        <w:rPr>
          <w:rFonts w:hint="default" w:ascii="Times New Roman Regular" w:hAnsi="Times New Roman Regular" w:eastAsia="Arial" w:cs="Times New Roman Regular"/>
          <w:color w:val="auto"/>
          <w:sz w:val="22"/>
          <w:szCs w:val="22"/>
        </w:rPr>
        <w:t xml:space="preserve">: a roving bandit who, rather than looting and moving on, decides to settle in a territory, establish a monopoly of violence, tax the population in a predictable way, and — because the bandit is now a residual claimant on the local economy — provide protection. Thus, the emergence of the state is not separate from organized crime; rather, states are the most successful organized crime operations that acquired legitimacy over time. Tilly (1985) famously put it: </w:t>
      </w:r>
      <w:r>
        <w:rPr>
          <w:rFonts w:hint="default" w:ascii="Times New Roman Regular" w:hAnsi="Times New Roman Regular" w:eastAsia="Arial" w:cs="Times New Roman Regular"/>
          <w:color w:val="auto"/>
          <w:sz w:val="22"/>
          <w:szCs w:val="22"/>
          <w:lang w:val="en-US"/>
        </w:rPr>
        <w:t>“War makes states.”</w:t>
      </w:r>
      <w:r>
        <w:rPr>
          <w:rFonts w:hint="default" w:ascii="Times New Roman Regular" w:hAnsi="Times New Roman Regular" w:eastAsia="Arial" w:cs="Times New Roman Regular"/>
          <w:color w:val="auto"/>
          <w:sz w:val="22"/>
          <w:szCs w:val="22"/>
        </w:rPr>
        <w:t xml:space="preserve"> (pp. 33–34, 38–42)</w:t>
      </w:r>
    </w:p>
    <w:p w14:paraId="14EDA75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The paper further distinguishes between the </w:t>
      </w:r>
      <w:r>
        <w:rPr>
          <w:rFonts w:hint="default" w:ascii="Times New Roman Regular" w:hAnsi="Times New Roman Regular" w:eastAsia="Arial" w:cs="Times New Roman Regular"/>
          <w:color w:val="auto"/>
          <w:sz w:val="22"/>
          <w:szCs w:val="22"/>
          <w:lang w:val="en-US"/>
        </w:rPr>
        <w:t>“extensive margin”</w:t>
      </w:r>
      <w:r>
        <w:rPr>
          <w:rFonts w:hint="default" w:ascii="Times New Roman Regular" w:hAnsi="Times New Roman Regular" w:eastAsia="Arial" w:cs="Times New Roman Regular"/>
          <w:color w:val="auto"/>
          <w:sz w:val="22"/>
          <w:szCs w:val="22"/>
        </w:rPr>
        <w:t xml:space="preserve"> and the </w:t>
      </w:r>
      <w:r>
        <w:rPr>
          <w:rFonts w:hint="default" w:ascii="Times New Roman Regular" w:hAnsi="Times New Roman Regular" w:eastAsia="Arial" w:cs="Times New Roman Regular"/>
          <w:color w:val="auto"/>
          <w:sz w:val="22"/>
          <w:szCs w:val="22"/>
          <w:lang w:val="en-US"/>
        </w:rPr>
        <w:t>“intensive margin”</w:t>
      </w:r>
      <w:r>
        <w:rPr>
          <w:rFonts w:hint="default" w:ascii="Times New Roman Regular" w:hAnsi="Times New Roman Regular" w:eastAsia="Arial" w:cs="Times New Roman Regular"/>
          <w:color w:val="auto"/>
          <w:sz w:val="22"/>
          <w:szCs w:val="22"/>
        </w:rPr>
        <w:t xml:space="preserve"> of state formation. The extensive margin refers to whether state-like functions exist at all (i.e., whether a monopoly of violence, taxation, and protection emerge). The intensive margin refers to how sophisticated these functions become — whether the ruler develops more complex taxes (poll taxes, consumption taxes), creates fiscal and judicial administrations, and generally builds </w:t>
      </w:r>
      <w:r>
        <w:rPr>
          <w:rFonts w:hint="default" w:ascii="Times New Roman Regular" w:hAnsi="Times New Roman Regular" w:eastAsia="Arial" w:cs="Times New Roman Regular"/>
          <w:color w:val="auto"/>
          <w:sz w:val="22"/>
          <w:szCs w:val="22"/>
          <w:lang w:val="en-US"/>
        </w:rPr>
        <w:t>“fiscal capacity”</w:t>
      </w:r>
      <w:r>
        <w:rPr>
          <w:rFonts w:hint="default" w:ascii="Times New Roman Regular" w:hAnsi="Times New Roman Regular" w:eastAsia="Arial" w:cs="Times New Roman Regular"/>
          <w:color w:val="auto"/>
          <w:sz w:val="22"/>
          <w:szCs w:val="22"/>
        </w:rPr>
        <w:t xml:space="preserve"> in the sense of Besley and Persson /ˈbɛzli ænd ˈpɛrsən/ (2009). The historical parallel is drawn to the </w:t>
      </w:r>
      <w:r>
        <w:rPr>
          <w:rFonts w:hint="default" w:ascii="Times New Roman Regular" w:hAnsi="Times New Roman Regular" w:eastAsia="Arial" w:cs="Times New Roman Regular"/>
          <w:color w:val="auto"/>
          <w:sz w:val="22"/>
          <w:szCs w:val="22"/>
          <w:lang w:val="en-US"/>
        </w:rPr>
        <w:t>“maturing”</w:t>
      </w:r>
      <w:r>
        <w:rPr>
          <w:rFonts w:hint="default" w:ascii="Times New Roman Regular" w:hAnsi="Times New Roman Regular" w:eastAsia="Arial" w:cs="Times New Roman Regular"/>
          <w:color w:val="auto"/>
          <w:sz w:val="22"/>
          <w:szCs w:val="22"/>
        </w:rPr>
        <w:t xml:space="preserve"> of early states described by Ardant /arˈdɑ̃/ (1975) and Claessen and Skalnik /ˈklɑːsən ænd ˈskɑːlnɪk/ (1978). (pp. 40–42)</w:t>
      </w:r>
    </w:p>
    <w:p w14:paraId="1060008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 xml:space="preserve">Measurement is done through a yearly panel dataset covering 650 locations (239 support villages and 411 mining sites) in eastern DRC from 1995 to 2013, reconstructed via recall-based surveys. The </w:t>
      </w:r>
      <w:r>
        <w:rPr>
          <w:rFonts w:hint="default" w:ascii="Times New Roman Regular" w:hAnsi="Times New Roman Regular" w:eastAsia="Arial" w:cs="Times New Roman Regular"/>
          <w:color w:val="auto"/>
          <w:sz w:val="22"/>
          <w:szCs w:val="22"/>
          <w:lang w:val="en-US"/>
        </w:rPr>
        <w:t>“state”</w:t>
      </w:r>
      <w:r>
        <w:rPr>
          <w:rFonts w:hint="default" w:ascii="Times New Roman Regular" w:hAnsi="Times New Roman Regular" w:eastAsia="Arial" w:cs="Times New Roman Regular"/>
          <w:color w:val="auto"/>
          <w:sz w:val="22"/>
          <w:szCs w:val="22"/>
        </w:rPr>
        <w:t xml:space="preserve"> is measured by the binary indicators listed above in the DV section: whether a stationary bandit exists, whether customs or other taxes are collected, whether security is provided, and whether fiscal and judicial administrations operate. (pp. 34, 44–48)</w:t>
      </w:r>
    </w:p>
    <w:p w14:paraId="1C2D97A8">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本文遵循韦伯和蒂利传统来概念化国家。遵循Weber /ˈveɪbər/（韦伯，1946），国家由其"暴力垄断"来定义。遵循Tilly /ˈtɪli/（蒂利，1985, 1990），"国家的基本功能"包括：(1) 战争制造——消除或中和领土外的竞争对手；(2) 国家制造——消除或中和领土内的竞争对手；(3) 保护——消除或中和统治者客户的敌人（即保护被征税者的财产）；(4) 攫取——获得执行前三项活动的手段，即征税。（第33、38–39页）</w:t>
      </w:r>
    </w:p>
    <w:p w14:paraId="68FEF38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关键的是，本文不将国家视为二元概念或某种伟大社会契约的产物。相反，它将国家形成视为一个持续的、永远不会完成的过程，源于武装行为者寻求攫取收入的活动。论文借鉴了Olson /ˈɒlsən/（奥尔森，1993）的"固定匪帮"概念：一个流动匪帮决定不再掠夺后转移，而是定居在一个领地内，建立暴力垄断，以可预测的方式向人口征税，并且——因为匪帮现在是当地经济的剩余索取者——提供保护。因此，国家的出现并非独立于有组织犯罪；相反，国家就是那些最成功的、随时间获得了合法性的有组织犯罪行动。蒂利（1985）的名言是："战争制造国家。"（第33–34、38–42页）</w:t>
      </w:r>
    </w:p>
    <w:p w14:paraId="140A60C0">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论文进一步区分了国家形成的"广延边际"和"集约边际"。广延边际指的是类国家功能是否存在（即暴力垄断、税收和保护是否出现）。集约边际指的是这些功能变得多么复杂——统治者是否发展出更复杂的税收（人头税、消费税），是否创建财政和司法管理机构，以及是否总体上建立了Besley and Persson /ˈbɛzli ænd ˈpɛrsən/（贝斯利和佩尔松，2009）意义上的"财政能力"。历史类比来自Ardant /arˈdɑ̃/（阿尔当，1975）和Claessen and Skalnik /ˈklɑːsən ænd ˈskɑːlnɪk/（克莱森和斯卡尔尼克，1978）所描述的早期国家的"成熟化"。（第40–42页）</w:t>
      </w:r>
    </w:p>
    <w:p w14:paraId="4F5F71C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衡量方式是通过一个年度面板数据集，覆盖刚果（金）东部650个地点（239个支持村庄和411个矿场），时间跨度为1995年至2013年，基于回忆式调查重建。"国家"通过上述因变量部分列出的二元指标来衡量：是否存在固定匪帮，是否征收海关税或其他税，是否提供安全服务，以及是否运作财政和司法管理机构。（第34、44–48页）</w:t>
      </w:r>
    </w:p>
    <w:p w14:paraId="10297EA2">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7. Core Argument</w:t>
      </w:r>
    </w:p>
    <w:p w14:paraId="0AC35D9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core argument is that the essential functions of a state — monopoly of violence, taxation, and protection — can emerge endogenously from the revenue-maximizing behavior of armed actors, rather than from any social contract or deliberate state-building project. When the value of extractable output rises and that output can be observed, armed actors have stronger incentives to settle as stationary bandits, establish customs taxation, and provide protection at production sites. When the output is hard to observe (concealable), armed actors still have incentives to capture the surplus, but they must do so indirectly — by settling in the consumption economies (support villages) where miners spend their income, introducing more sophisticated taxes (working permits, poll taxes, market taxes), and building fiscal and judicial administrations to support collection. (pp. 34–35, 42–43)</w:t>
      </w:r>
    </w:p>
    <w:p w14:paraId="3AE72F8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paper further argues that the welfare effect of having a stationary bandit depends on the armed actor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objectives. When the stationary bandit</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mission encompasses the population</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well-being — as with popular militias or the FARDC (despite its corruption) — the net effect on household welfare is positive. This is because the protection these actors provide, and the order they establish, outweighs the costs of their taxation. In contrast, when the stationary bandit is an external armed actor with no ties to the local population, the welfare effect is negligible or negative. (pp. 35, 57–66)</w:t>
      </w:r>
    </w:p>
    <w:p w14:paraId="62D9902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 xml:space="preserve">Finally, the paper identifies a novel </w:t>
      </w:r>
      <w:r>
        <w:rPr>
          <w:rFonts w:hint="default" w:ascii="Times New Roman Regular" w:hAnsi="Times New Roman Regular" w:eastAsia="Arial" w:cs="Times New Roman Regular"/>
          <w:color w:val="auto"/>
          <w:sz w:val="22"/>
          <w:szCs w:val="22"/>
          <w:lang w:val="en-US"/>
        </w:rPr>
        <w:t>“administration resource curse”</w:t>
      </w:r>
      <w:r>
        <w:rPr>
          <w:rFonts w:hint="default" w:ascii="Times New Roman Regular" w:hAnsi="Times New Roman Regular" w:eastAsia="Arial" w:cs="Times New Roman Regular"/>
          <w:color w:val="auto"/>
          <w:sz w:val="22"/>
          <w:szCs w:val="22"/>
        </w:rPr>
        <w:t>: when output can be directly taxed (as with coltan), a resource boom leads stationary bandits to focus on easy-to-collect customs taxes and to dismantle their more sophisticated fiscal and judicial administrations in support villages. The opportunity cost of maintaining an administration rises when customs revenue is abundant. In contrast, when output is concealable (as with gold), a resource boom forces stationary bandits to invest in more sophisticated taxation and fiscal capacity. (pp. 35–36, 64–68)</w:t>
      </w:r>
    </w:p>
    <w:p w14:paraId="25BC6D8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核心论点是，国家的基本功能——暴力垄断、税收和保护——可以从武装行为者追求收入最大化的行为中内生地产生，而非来自任何社会契约或刻意的国家建设项目。当可提取产出的价值上升且该产出可以被观察到时，武装行为者有更强的激励定居为固定匪帮，建立海关税收，并在生产地点提供保护。当产出难以观察（可隐匿）时，武装行为者仍有激励攫取剩余，但必须间接地——通过定居在矿工花费收入的消费经济体（支持村庄），引入更复杂的税收（工作许可、人头税、市场税），并建设财政和司法管理机构来支持征收。（第34–35、42–43页）</w:t>
      </w:r>
    </w:p>
    <w:p w14:paraId="2C6E9F58">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论文进一步论证，固定匪帮对福利的影响取决于武装行为者的目标。当固定匪帮的使命涵盖人口福祉——如民众民兵或FARDC（尽管存在腐败）——对家庭福利的净效应是正面的。这是因为这些行为者提供的保护和建立的秩序超过了其税收的成本。相反，当固定匪帮是与当地人口无联系的外部武装行为者时，福利效应可以忽略或为负。（第35、57–66页）</w:t>
      </w:r>
    </w:p>
    <w:p w14:paraId="21108399">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最后，论文识别了一种新型的"行政资源诅咒"：当产出可以直接征税时（如钶钽铁矿），资源繁荣导致固定匪帮专注于易征收的海关税，并拆除其在支持村庄的更复杂的财政和司法管理机构。当海关收入充裕时，维持行政机构的机会成本上升。相反，当产出可隐匿时（如黄金），资源繁荣迫使固定匪帮投资于更复杂的税收和财政能力。（第35–36、64–68页）</w:t>
      </w:r>
    </w:p>
    <w:p w14:paraId="64AAF2EC">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8. Mechanisms</w:t>
      </w:r>
    </w:p>
    <w:p w14:paraId="4D8CAB79">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8.1 Observable vs. Concealable Output</w:t>
      </w:r>
    </w:p>
    <w:p w14:paraId="03B226C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The central mechanism hinges on the observability of mining output. Coltan is bulky — a miner can produce up to 50 kg per day, and it must be transported in 75 kg bags by foot from the mine to the support village. This makes coltan output highly observable and easy to tax through customs (roadblocks at the mine exit). Gold, by contrast, has an extremely high value-to-weight ratio — daily production per worker is between 0.1 and 10 grams. Miners routinely conceal gold by swallowing it. Gold is thus called the </w:t>
      </w:r>
      <w:r>
        <w:rPr>
          <w:rFonts w:hint="default" w:ascii="Times New Roman Regular" w:hAnsi="Times New Roman Regular" w:eastAsia="Arial" w:cs="Times New Roman Regular"/>
          <w:color w:val="auto"/>
          <w:sz w:val="22"/>
          <w:szCs w:val="22"/>
          <w:lang w:val="en-US"/>
        </w:rPr>
        <w:t>“immaterial mineral.”</w:t>
      </w:r>
      <w:r>
        <w:rPr>
          <w:rFonts w:hint="default" w:ascii="Times New Roman Regular" w:hAnsi="Times New Roman Regular" w:eastAsia="Arial" w:cs="Times New Roman Regular"/>
          <w:color w:val="auto"/>
          <w:sz w:val="22"/>
          <w:szCs w:val="22"/>
        </w:rPr>
        <w:t xml:space="preserve"> A customs tax on gold would face systematic evasion and is thus rarely observed. (pp. 44, 50)</w:t>
      </w:r>
    </w:p>
    <w:p w14:paraId="2C60D95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 xml:space="preserve">When the coltan price rises, the returns to establishing a roadblock and customs taxation at coltan mines increase. Armed actors thus create monopolies of violence and provide protection at coltan mines — the </w:t>
      </w:r>
      <w:r>
        <w:rPr>
          <w:rFonts w:hint="default" w:ascii="Times New Roman Regular" w:hAnsi="Times New Roman Regular" w:eastAsia="Arial" w:cs="Times New Roman Regular"/>
          <w:color w:val="auto"/>
          <w:sz w:val="22"/>
          <w:szCs w:val="22"/>
          <w:lang w:val="en-US"/>
        </w:rPr>
        <w:t>“essential functions of a state”</w:t>
      </w:r>
      <w:r>
        <w:rPr>
          <w:rFonts w:hint="default" w:ascii="Times New Roman Regular" w:hAnsi="Times New Roman Regular" w:eastAsia="Arial" w:cs="Times New Roman Regular"/>
          <w:color w:val="auto"/>
          <w:sz w:val="22"/>
          <w:szCs w:val="22"/>
        </w:rPr>
        <w:t xml:space="preserve"> emerge at the production site. When the gold price rises, armed actors cannot tax gold output directly. Instead, they settle in the support villages where miner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families live and where income from gold is spent. There, they introduce working permits (a tax on mining labor rather than output), poll taxes, and market taxes. Because these taxes are harder to collect, armed actors also invest in fiscal and judicial administrations. (pp. 34–35, 50–52)</w:t>
      </w:r>
    </w:p>
    <w:p w14:paraId="0EC21FE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可观察产出 vs. 可隐匿产出</w:t>
      </w:r>
    </w:p>
    <w:p w14:paraId="633629E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核心机制取决于矿产产出的可观察性。钶钽铁矿体积大——一个矿工每天可生产多达50公斤，必须以75公斤的袋装从矿区步行运到支持村庄。这使得钶钽铁矿产出高度可观察，容易通过海关（在矿区出口设路障）征税。相比之下，黄金的价值重量比极高——每个工人的日产量在0.1到10克之间。矿工常通过吞咽来隐藏黄金。因此黄金被称为"非物质矿物"。对黄金的海关税将面临系统性逃税，因此很少被观察到。（第44、50页）</w:t>
      </w:r>
    </w:p>
    <w:p w14:paraId="33D6EF3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当钶钽铁矿价格上升时，在钶钽铁矿矿区建立路障和海关税收的回报增加。武装行为者因此在钶钽铁矿矿区建立暴力垄断并提供保护——国家的"基本功能"在生产地点出现。当黄金价格上升时，武装行为者无法直接对黄金产出征税。相反，他们定居在矿工家庭居住和矿工花费收入的支持村庄。在那里，他们引入工作许可（对采矿劳动而非产出征税）、人头税和市场税。由于这些税更难征收，武装行为者还投资于财政和司法管理机构。（第34–35、50–52页）</w:t>
      </w:r>
    </w:p>
    <w:p w14:paraId="33C0B2E3">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8.2 Trade Infrastructure</w:t>
      </w:r>
    </w:p>
    <w:p w14:paraId="5868B23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The coltan effect is concentrated near airstrips</w:t>
      </w:r>
      <w:r>
        <w:rPr>
          <w:rFonts w:hint="default" w:ascii="Times New Roman Regular" w:hAnsi="Times New Roman Regular" w:eastAsia="Arial" w:cs="Times New Roman Regular"/>
          <w:color w:val="auto"/>
          <w:sz w:val="22"/>
          <w:szCs w:val="22"/>
          <w:lang w:val="en-US"/>
        </w:rPr>
        <w:t>,</w:t>
      </w:r>
      <w:r>
        <w:rPr>
          <w:rFonts w:hint="default" w:ascii="Times New Roman Regular" w:hAnsi="Times New Roman Regular" w:eastAsia="Arial" w:cs="Times New Roman Regular"/>
          <w:color w:val="auto"/>
          <w:sz w:val="22"/>
          <w:szCs w:val="22"/>
        </w:rPr>
        <w:t xml:space="preserve"> the infrastructure through which coltan is exported, given the DRC</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poor road network. This confirms that the mechanism operates through the ability to tax and ship observable output. The gold effect, by contrast, is equally strong whether or not the village is near an airstrip, consistent with gold</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concealability making physical trade infrastructure irrelevant for the armed actor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taxation strategy. (p. 54)</w:t>
      </w:r>
    </w:p>
    <w:p w14:paraId="330BC374">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贸易基础设施</w:t>
      </w:r>
    </w:p>
    <w:p w14:paraId="3232396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钶钽铁矿效应集中在靠近简易机场的地区</w:t>
      </w:r>
      <w:r>
        <w:rPr>
          <w:rFonts w:hint="eastAsia" w:ascii="Times New Roman Regular" w:hAnsi="Times New Roman Regular" w:eastAsia="宋体" w:cs="Times New Roman Regular"/>
          <w:color w:val="auto"/>
          <w:sz w:val="22"/>
          <w:szCs w:val="22"/>
          <w:lang w:eastAsia="zh-CN"/>
        </w:rPr>
        <w:t>，</w:t>
      </w:r>
      <w:r>
        <w:rPr>
          <w:rFonts w:hint="default" w:ascii="Times New Roman Regular" w:hAnsi="Times New Roman Regular" w:eastAsia="Arial" w:cs="Times New Roman Regular"/>
          <w:color w:val="auto"/>
          <w:sz w:val="22"/>
          <w:szCs w:val="22"/>
        </w:rPr>
        <w:t>鉴于刚果（金）糟糕的公路网络，这是钶钽铁矿出口的基础设施。这证实了该机制通过对可观察产出征税和运输的能力来运作。相比之下，黄金效应在靠近和远离机场的村庄同样强烈，这与黄金的可隐匿性使实体贸易基础设施对武装行为者的征税策略无关紧要的判断一致。（第54页）</w:t>
      </w:r>
    </w:p>
    <w:p w14:paraId="09602A7E">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8.3 Type of Armed Actor and Welfare</w:t>
      </w:r>
    </w:p>
    <w:p w14:paraId="77683AD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The paper identifies four types of armed actors: (1) village self-defense militias, formed by villagers themselves; (2) regional militias, which originated as village militias but expanded; (3) external armed actors, representing foreign ethnic groups; and (4) the FARDC, the Congolese national army, which is infiltrated by organized crime. Village militias and the FARDC are seen as more legitimate (29% and 70% of episodes, respectively) and are more coethnic with the local population. External armed actors are seen as least legitimate (17%) and commit the most violent attacks (72% of their attacks include pillage, 59% sexual violence, 61% death). (pp. 54–57, Table 2)</w:t>
      </w:r>
    </w:p>
    <w:p w14:paraId="721188C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The welfare mechanism works as follows: when the stationary bandit</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objective function places weight on the population</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welfare (as with militias and the FARDC), the protection they provide and the order they establish create a net positive effect. The value added through protection of property rights exceeds the value destroyed through tax distortions. When the stationary bandit cares only about extraction (external actors), the surplus is expropriated away and household welfare does not improve. (pp. 35, 42, 57–66)</w:t>
      </w:r>
    </w:p>
    <w:p w14:paraId="7DAA92D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武装行为者类型与福利</w:t>
      </w:r>
    </w:p>
    <w:p w14:paraId="56D0CDB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论文识别了四类武装行为者：(1) 村庄自卫民兵，由村民自己组建；(2) 地区民兵，源于村庄民兵但规模扩大；(3) 外部武装行为者，代表外国族群利益；(4) FARDC，即刚果国民军，被有组织犯罪渗透。村庄民兵和FARDC被认为更合法（分别在29%和70%的事件中），且与当地人口更多同族。外部武装行为者被认为最不合法（17%），并犯下最暴力的攻击（72%的攻击包括抢劫，59%包括性暴力，61%包括死亡）。（第54–57页，表2）</w:t>
      </w:r>
    </w:p>
    <w:p w14:paraId="7D73CC7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福利机制如下运作：当固定匪帮的目标函数赋予人口福祉以权重时（如民兵和FARDC），他们提供的保护和建立的秩序产生净正效应。通过保护产权创造的附加值超过了税收扭曲破坏的价值。当固定匪帮只关心攫取时（外部行为者），剩余被没收，家庭福利不会改善。（第35、42、57–66页）</w:t>
      </w:r>
    </w:p>
    <w:p w14:paraId="5440B419">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8.4 Administration Resource Curse</w:t>
      </w:r>
    </w:p>
    <w:p w14:paraId="0BD6A33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When coltan prices rise, stationary bandits at coltan support villages dismantle their fiscal and judicial administrations. The logic is one of opportunity costs: customs taxation of coltan output is easy and profitable, so armed actors reallocate their limited organizational resources toward customs at mines and away from more sophisticated taxation in villages. Conversely, when gold prices rise, stationary bandits cannot rely on customs taxation and must invest in fiscal capacity to capture the surplus — introducing poll taxes, market taxes, and building administrative capacity. This mechanism is confirmed even after controlling for changes in the composition of stationary bandits (organization fixed effects). (pp. 35–36, 64–68, Table 5)</w:t>
      </w:r>
    </w:p>
    <w:p w14:paraId="73ED9FB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行政资源诅咒</w:t>
      </w:r>
    </w:p>
    <w:p w14:paraId="662572D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当钶钽铁矿价格上升时，钶钽铁矿支持村庄的固定匪帮拆除其财政和司法管理机构。其逻辑在于机会成本：钶钽铁矿产出的海关税收既容易又有利可图，因此武装行为者将其有限的组织资源从村庄的复杂税收重新分配到矿区的海关。相反，当黄金价格上升时，固定匪帮不能依赖海关税收，必须投资于财政能力以攫取剩余——引入人头税、市场税，并建设行政能力。即使在控制了固定匪帮组成变化（组织固定效应）之后，这一机制仍得到证实。（第35–36、64–68页，表5）</w:t>
      </w:r>
    </w:p>
    <w:p w14:paraId="09C593DE">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9. Data</w:t>
      </w:r>
    </w:p>
    <w:p w14:paraId="4B77DB42">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9.1 Geographic Coverage and Unit of Analysis</w:t>
      </w:r>
    </w:p>
    <w:p w14:paraId="74C1BA8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The study covers the eastern Democratic Republic of the Congo /ˌdɛməˈkrætɪk rɪˈpʌblɪk əv ðə ˈkɒŋɡoʊ/ (DRC), specifically the provinces of Sud Kivu /suːd ˈkiːvuː/ and Nord Kivu /nɔːr ˈkiːvuː/. The sample consists of 239 support villages and their corresponding 411 mining sites, which together form 239 municipalities. The unit of analysis is the municipality–year (for mine-level and village-level analyses) and the household–year (for welfare analyses). (pp. 44–47, Figure 2)</w:t>
      </w:r>
    </w:p>
    <w:p w14:paraId="58BDC938">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地理覆盖范围和分析单位</w:t>
      </w:r>
    </w:p>
    <w:p w14:paraId="488A1D4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研究覆盖刚果民主共和国 /ˌdɛməˈkrætɪk rɪˈpʌblɪk əv ðə ˈkɒŋɡoʊ/（DRC）东部，具体为Sud Kivu /suːd ˈkiːvuː/（南基伍省）和Nord Kivu /nɔːr ˈkiːvuː/（北基伍省）。样本包含239个支持村庄及其对应的411个矿场，共同组成239个市镇。分析单位为市镇–年（矿区级和村庄级分析）和家庭–年（福利分析）。（第44–47页，图2）</w:t>
      </w:r>
    </w:p>
    <w:p w14:paraId="662CC488">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9.2 Time Period</w:t>
      </w:r>
    </w:p>
    <w:p w14:paraId="1EDBEDD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The panel covers 1995 to 2013. Data collection took place from July 2012 through June 2013 in Sud Kivu and from February through October 2015 in Nord Kivu. (p. 46)</w:t>
      </w:r>
    </w:p>
    <w:p w14:paraId="5DDEBCE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时间跨度</w:t>
      </w:r>
    </w:p>
    <w:p w14:paraId="38720CA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面板覆盖1995年至2013年。数据收集在南基伍省从2012年7月至2013年6月进行，在北基伍省从2015年2月至10月进行。（第46页）</w:t>
      </w:r>
    </w:p>
    <w:p w14:paraId="536EB60B">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9.3 Data Sources and Collection</w:t>
      </w:r>
    </w:p>
    <w:p w14:paraId="376A1A2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 xml:space="preserve">The dataset was reconstructed through recall-based surveys. In each support village, a team of 10 surveyors trained local </w:t>
      </w:r>
      <w:r>
        <w:rPr>
          <w:rFonts w:hint="default" w:ascii="Times New Roman Regular" w:hAnsi="Times New Roman Regular" w:eastAsia="Arial" w:cs="Times New Roman Regular"/>
          <w:color w:val="auto"/>
          <w:sz w:val="22"/>
          <w:szCs w:val="22"/>
          <w:lang w:val="en-US"/>
        </w:rPr>
        <w:t>“history specialists”</w:t>
      </w:r>
      <w:r>
        <w:rPr>
          <w:rFonts w:hint="default" w:ascii="Times New Roman Regular" w:hAnsi="Times New Roman Regular" w:eastAsia="Arial" w:cs="Times New Roman Regular"/>
          <w:color w:val="auto"/>
          <w:sz w:val="22"/>
          <w:szCs w:val="22"/>
        </w:rPr>
        <w:t xml:space="preserve"> — individuals with long involvement in mining or village elders — to consolidate a municipality history over one week. Simultaneously, surveyors administered private interviews in 6–8 randomly selected households per village. At the end of the week, surveyors held a day-long meeting with the history specialists to cross-check data. The data from this meeting constitute the main source. The author acknowledges three challenges of recall data: measurement error from imperfect recall of magnitudes, measurement error from imperfect recall of dates, and reporting bias for sensitive information. Three months of piloting were used to develop protocols tailored to the cultural context. (pp. 44–46)</w:t>
      </w:r>
    </w:p>
    <w:p w14:paraId="51809AD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数据来源和收集</w:t>
      </w:r>
    </w:p>
    <w:p w14:paraId="13C397F9">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数据集通过回忆式调查重建。在每个支持村庄，10名调查员的团队培训当地"历史专家"——在采矿业有长期参与的个人或村庄长者——在一周内整合市镇历史。同时，调查员在每个村庄随机抽取的6–8个家庭中进行私人访谈。在一周结束时，调查员与历史专家举行为期一天的会议以交叉核实数据。该会议的数据构成主要数据来源。作者承认回忆数据的三个挑战：对幅度的不完美回忆造成的测量误差、对日期的不完美回忆造成的测量误差、以及敏感信息的报告偏差。三个月的试点用于开发适合文化背景的协议。（第44–46页）</w:t>
      </w:r>
    </w:p>
    <w:p w14:paraId="1FFF46F6">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9.4 Measurement of Key Variables</w:t>
      </w:r>
    </w:p>
    <w:p w14:paraId="5646E09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Mineral prices: US prices of coltan and gold are taken from the US Geological Survey (2016). Local DRC prices are from the recall survey but are acknowledged to be </w:t>
      </w:r>
      <w:r>
        <w:rPr>
          <w:rFonts w:hint="default" w:ascii="Times New Roman Regular" w:hAnsi="Times New Roman Regular" w:eastAsia="Arial" w:cs="Times New Roman Regular"/>
          <w:color w:val="auto"/>
          <w:sz w:val="22"/>
          <w:szCs w:val="22"/>
          <w:lang w:val="en-US"/>
        </w:rPr>
        <w:t>“extremely unreliable”</w:t>
      </w:r>
      <w:r>
        <w:rPr>
          <w:rFonts w:hint="default" w:ascii="Times New Roman Regular" w:hAnsi="Times New Roman Regular" w:eastAsia="Arial" w:cs="Times New Roman Regular"/>
          <w:color w:val="auto"/>
          <w:sz w:val="22"/>
          <w:szCs w:val="22"/>
        </w:rPr>
        <w:t xml:space="preserve"> (which motivates the use of US prices in the reduced-form specification). Mineral endowment dummies are constructed from existing datasets (International Peace Information Service 2009; Référentiel Géographique Commun 2010) supplemented by the author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own prospections. The armed actor classification (village militia, regional militia, external, FARDC) is based on fieldwork conversations with active officers and combatants of numerous armed groups between 2010 and 2018. (pp. 44–49, Table 2)</w:t>
      </w:r>
    </w:p>
    <w:p w14:paraId="3D23967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For the welfare analysis, only households settled in the support village before 2000 are included to avoid compositional effects from migration. Household-year data are aggregated to support village–year means. An additional implicit association test (IAT) was administered to approximately 10 households in 106 Nord Kivu support villages to measure biases toward different armed groups. (pp. 57–58, 67)</w:t>
      </w:r>
    </w:p>
    <w:p w14:paraId="1A1912C4">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关键变量的衡量</w:t>
      </w:r>
    </w:p>
    <w:p w14:paraId="3E722E1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矿物价格：钶钽铁矿和黄金的美国价格取自美国地质调查局（US Geological Survey, 2016）。刚果（金）当地价格来自回忆调查，但被认为"极不可靠"（这促使在简约形式规范中使用美国价格）。矿物禀赋虚拟变量根据现有数据集（International Peace Information Service 2009; Référentiel Géographique Commun 2010）构建，并辅以作者自己的勘探。武装行为者分类（村庄民兵、地区民兵、外部、FARDC）基于2010年至2018年间与众多武装团体的现役军官和战斗人员的田野调查对话。（第44–49页，表2）</w:t>
      </w:r>
    </w:p>
    <w:p w14:paraId="3EA3896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对于福利分析，仅包括2000年之前定居在支持村庄的家庭，以避免因移民造成的组成效应。家庭–年数据聚合为支持村庄–年均值。此外，在106个北基伍支持村庄中约10户家庭还接受了内隐联想测试（IAT），以衡量对不同武装团体的偏见。（第57–58、67页）</w:t>
      </w:r>
    </w:p>
    <w:p w14:paraId="008448A0">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10. Methods</w:t>
      </w:r>
    </w:p>
    <w:p w14:paraId="02FBD851">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10.1 Main Specification: Reduced-Form Difference-in-Differences</w:t>
      </w:r>
    </w:p>
    <w:p w14:paraId="12AB96C4">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The primary empirical strategy is a reduced-form linear probability model estimated via OLS: Y_jt = β_t + α_j + γ_c · C_j · p^US_c,t + γ_g · G_j · p^US_g,t + ε_jt, where Y_jt is a binary outcome in municipality j in year t, α_j and β_t are municipality and year fixed effects, C_j (G_j) is a dummy for coltan (gold) endowment, and p^US_c,t (p^US_g,t) is the log of the US price of coltan (gold). The coefficients γ_c and γ_g indicate how a 1 percentage point increase in the US mineral price differentially affects outcomes in mineral-endowed locations relative to non-endowed locations. Standard errors are clustered at the municipality level. (pp. 48–49)</w:t>
      </w:r>
    </w:p>
    <w:p w14:paraId="18EA4AD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主要规范：简约形式双重差分</w:t>
      </w:r>
    </w:p>
    <w:p w14:paraId="36267ECA">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主要的经验策略是通过OLS估计的简约形式线性概率模型：Y_jt = β_t + α_j + γ_c · C_j · p^US_c,t + γ_g · G_j · p^US_g,t + ε_jt，其中Y_jt是市镇j在t年的二元结果变量，α_j和β_t分别是市镇和年份固定效应，C_j (G_j)是钶钽铁矿（黄金）禀赋虚拟变量，p^US_c,t (p^US_g,t)是钶钽铁矿（黄金）美国价格的对数。系数γ_c和γ_g表示美国矿物价格每增加1个百分点，对矿产蕴藏地相对于非蕴藏地的差异影响。标准误在市镇层面聚类。（第48–49页）</w:t>
      </w:r>
    </w:p>
    <w:p w14:paraId="10156403">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10.2 Key Identifying Assumptions</w:t>
      </w:r>
    </w:p>
    <w:p w14:paraId="131EA87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For this strategy to identify causal effects, several assumptions must hold. First, parallel trends: absent the price shocks, outcomes in mineral-endowed and non-endowed locations would have evolved similarly. The author provides evidence that pre-shock trends are parallel and that including leads does not affect the contemporaneous coefficient. Second, exogeneity of US prices: the US price of coltan and gold must be unaffected by the behavior of armed actors in the DRC. For gold, the DRC</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share of global output is negligible (0.08%), making this plausible. For coltan, the DRC</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share is larger (up to 20% by 2010), but the year-2000 price spike was driven by speculative demand for Playstation II and the failure of Australian supply, not by DRC conditions. The author also shows that restricting the coltan analysis to 1999–2001 (the only credibly exogenous interval) leaves results unchanged. Third, the price shocks must not be correlated with other unobserved shocks differentially affecting mineral vs. non-mineral locations. (pp. 48–49, 54)</w:t>
      </w:r>
    </w:p>
    <w:p w14:paraId="04FC7B9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关键识别假设</w:t>
      </w:r>
    </w:p>
    <w:p w14:paraId="4D8FC9C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要使该策略识别因果效应，必须满足几个假设。第一，平行趋势：在没有价格冲击的情况下，矿产蕴藏地和非蕴藏地的结果变量将以类似方式演变。作者提供了冲击前趋势平行的证据，并表明包含前导项不影响当期系数。第二，美国价格的外生性：钶钽铁矿和黄金的美国价格不受刚果（金）武装行为者行为的影响。对于黄金，刚果（金）的全球产出份额微不足道（0.08%），使这一假设合理。对于钶钽铁矿，刚果（金）的份额较大（到2010年高达20%），但2000年的价格飙升由PlayStation II的投机需求和澳大利亚供应失败驱动，而非刚果（金）条件。作者还表明，将钶钽铁矿分析限制在1999–2001年（唯一可信外生的区间）不改变结果。第三，价格冲击不得与差异性影响矿产与非矿产地区的其他不可观察冲击相关。（第48–49、54页）</w:t>
      </w:r>
    </w:p>
    <w:p w14:paraId="4989A13E">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10.3 Instrumental Variables for Welfare Analysis</w:t>
      </w:r>
    </w:p>
    <w:p w14:paraId="169D64A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To estimate the causal effect of different types of stationary bandits on household welfare, the author uses the 2003 Sun City peace agreement as an instrument. The agreement led the RCD /ɑːr siː diː/ (the main external armed actor) and some regional militias to voluntarily withdraw from their territories. The IV strategy is a 2SLS using POST_t × SB^2002_j as an instrument for whether a stationary bandit is present, where POST_t indicates years after 2003 and SB^2002_j indicates whether a location had a stationary bandit in 2002. The exclusion restriction requires that the peace agreement affected household welfare only through the withdrawal (or retention) of stationary bandits, not through other channels. The first-stage F-statistic is above 20. (pp. 61–66, Table 4)</w:t>
      </w:r>
    </w:p>
    <w:p w14:paraId="2A4D4D2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福利分析的工具变量</w:t>
      </w:r>
    </w:p>
    <w:p w14:paraId="20018D3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为估计不同类型固定匪帮对家庭福利的因果效应，作者使用2003年Sun City /sʌn ˈsɪti/（太阳城）和平协议作为工具变量。该协议导致RCD /ɑːr siː diː/（当时主要的外部武装行为者联盟）和一些地区民兵自愿撤出其领地。工具变量策略是2SLS，使用POST_t × SB^2002_j作为固定匪帮是否存在的工具，其中POST_t表示2003年之后的年份，SB^2002_j表示2002年某地点是否有固定匪帮。排除性限制要求和平协议仅通过固定匪帮的撤出（或保留）影响家庭福利，而非通过其他渠道。第一阶段F统计量高于20。（第61–66页，表4）</w:t>
      </w:r>
    </w:p>
    <w:p w14:paraId="74EA55A5">
      <w:pPr>
        <w:pStyle w:val="4"/>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4"/>
          <w:szCs w:val="24"/>
        </w:rPr>
        <w:t>10.4 Additional Methods</w:t>
      </w:r>
    </w:p>
    <w:p w14:paraId="046A40C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For the intensive-margin analysis, the author includes stationary-bandit organization fixed effects to separate changes in armed actor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behavior from changes in the composition of stationary bandits. The author also reports 13 robustness checks including 2SLS using local prices, Arellano-Bond estimation, alternative year intervals, leads and lags, controls for time-varying village characteristics, and exclusion/inclusion of the FARDC. (pp. 49, 64–68)</w:t>
      </w:r>
    </w:p>
    <w:p w14:paraId="089515F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其他方法</w:t>
      </w:r>
    </w:p>
    <w:p w14:paraId="2F77510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对于集约边际分析，作者包含固定匪帮组织固定效应，以将武装行为者行为的变化与固定匪帮组成的变化分离。作者还报告了13项稳健性检验，包括使用当地价格的2SLS、Arellano-Bond估计、替代年份区间、前导项和滞后项、时变村庄特征控制、以及排除/包含FARDC。（第49、64–68页）</w:t>
      </w:r>
    </w:p>
    <w:p w14:paraId="74CCAB9D">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11. Contribution</w:t>
      </w:r>
    </w:p>
    <w:p w14:paraId="4BD342C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First, the paper provides the first systematic, quantitative, causal evidence for a process that has been extensively theorized in historical sociology (Tilly 1985, 1990), anthropology (Claessen and Skalnik 1978), and political philosophy (Hobbes 1651), but never tested with disaggregated panel data. It shows that the essential functions of a state — monopoly of violence, taxation, and protection — emerge endogenously from armed actor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revenue-maximizing behavior in response to economic incentives. This bridges the gap between the </w:t>
      </w:r>
      <w:r>
        <w:rPr>
          <w:rFonts w:hint="default" w:ascii="Times New Roman Regular" w:hAnsi="Times New Roman Regular" w:eastAsia="Arial" w:cs="Times New Roman Regular"/>
          <w:color w:val="auto"/>
          <w:sz w:val="22"/>
          <w:szCs w:val="22"/>
          <w:lang w:val="en-US"/>
        </w:rPr>
        <w:t>“contractarian”</w:t>
      </w:r>
      <w:r>
        <w:rPr>
          <w:rFonts w:hint="default" w:ascii="Times New Roman Regular" w:hAnsi="Times New Roman Regular" w:eastAsia="Arial" w:cs="Times New Roman Regular"/>
          <w:color w:val="auto"/>
          <w:sz w:val="22"/>
          <w:szCs w:val="22"/>
        </w:rPr>
        <w:t xml:space="preserve"> view (states arise from popular will) and the </w:t>
      </w:r>
      <w:r>
        <w:rPr>
          <w:rFonts w:hint="default" w:ascii="Times New Roman Regular" w:hAnsi="Times New Roman Regular" w:eastAsia="Arial" w:cs="Times New Roman Regular"/>
          <w:color w:val="auto"/>
          <w:sz w:val="22"/>
          <w:szCs w:val="22"/>
          <w:lang w:val="en-US"/>
        </w:rPr>
        <w:t>“conflict”</w:t>
      </w:r>
      <w:r>
        <w:rPr>
          <w:rFonts w:hint="default" w:ascii="Times New Roman Regular" w:hAnsi="Times New Roman Regular" w:eastAsia="Arial" w:cs="Times New Roman Regular"/>
          <w:color w:val="auto"/>
          <w:sz w:val="22"/>
          <w:szCs w:val="22"/>
        </w:rPr>
        <w:t xml:space="preserve"> view (states are successful organized crime) by showing that both can coexist: popular militias that provide welfare-enhancing governance still originate from extractive motives. (pp. 35–36)</w:t>
      </w:r>
    </w:p>
    <w:p w14:paraId="2B0BC7D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Second, the paper assembles a remarkable original dataset — a yearly panel on 650 locations over nearly two decades in a conflict zone — through an innovative recall-based methodology. This addresses the fundamental data constraint that has hampered the study of early state formation: statistics were first created by states, so data on their origins did not previously exist. (pp. 33–34, 44–46)</w:t>
      </w:r>
    </w:p>
    <w:p w14:paraId="12181EB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Third, the paper introduces the concept of an </w:t>
      </w:r>
      <w:r>
        <w:rPr>
          <w:rFonts w:hint="default" w:ascii="Times New Roman Regular" w:hAnsi="Times New Roman Regular" w:eastAsia="Arial" w:cs="Times New Roman Regular"/>
          <w:color w:val="auto"/>
          <w:sz w:val="22"/>
          <w:szCs w:val="22"/>
          <w:lang w:val="en-US"/>
        </w:rPr>
        <w:t>“administration resource curse”</w:t>
      </w:r>
      <w:r>
        <w:rPr>
          <w:rFonts w:hint="default" w:ascii="Times New Roman Regular" w:hAnsi="Times New Roman Regular" w:eastAsia="Arial" w:cs="Times New Roman Regular"/>
          <w:color w:val="auto"/>
          <w:sz w:val="22"/>
          <w:szCs w:val="22"/>
        </w:rPr>
        <w:t xml:space="preserve">: resource booms can lead rulers to dismantle fiscal capacity when they can rely on easy-to-collect customs revenue. This complements the traditional resource curse literature (which focuses on conflict and the </w:t>
      </w:r>
      <w:r>
        <w:rPr>
          <w:rFonts w:hint="default" w:ascii="Times New Roman Regular" w:hAnsi="Times New Roman Regular" w:eastAsia="Arial" w:cs="Times New Roman Regular"/>
          <w:color w:val="auto"/>
          <w:sz w:val="22"/>
          <w:szCs w:val="22"/>
          <w:lang w:val="en-US"/>
        </w:rPr>
        <w:t>“rentier state”</w:t>
      </w:r>
      <w:r>
        <w:rPr>
          <w:rFonts w:hint="default" w:ascii="Times New Roman Regular" w:hAnsi="Times New Roman Regular" w:eastAsia="Arial" w:cs="Times New Roman Regular"/>
          <w:color w:val="auto"/>
          <w:sz w:val="22"/>
          <w:szCs w:val="22"/>
        </w:rPr>
        <w:t>) by showing that resource booms can endogenously affect administrative capacity, with potential long-run implications for state development. (pp. 36–37)</w:t>
      </w:r>
    </w:p>
    <w:p w14:paraId="5AE5DF78">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Fourth, the paper provides a nuanced complement to the civil war literature. Rather than simply showing that commodity price shocks increase violence (the </w:t>
      </w:r>
      <w:r>
        <w:rPr>
          <w:rFonts w:hint="default" w:ascii="Times New Roman Regular" w:hAnsi="Times New Roman Regular" w:eastAsia="Arial" w:cs="Times New Roman Regular"/>
          <w:color w:val="auto"/>
          <w:sz w:val="22"/>
          <w:szCs w:val="22"/>
          <w:lang w:val="en-US"/>
        </w:rPr>
        <w:t>“rapacity effect”</w:t>
      </w:r>
      <w:r>
        <w:rPr>
          <w:rFonts w:hint="default" w:ascii="Times New Roman Regular" w:hAnsi="Times New Roman Regular" w:eastAsia="Arial" w:cs="Times New Roman Regular"/>
          <w:color w:val="auto"/>
          <w:sz w:val="22"/>
          <w:szCs w:val="22"/>
        </w:rPr>
        <w:t xml:space="preserve"> of Dube and Vargas 2013), it shows that the same shocks can lead to subtler institutional changes — the emergence of taxation, protection, and governance structures — depending on the observability of output. (p. 36)</w:t>
      </w:r>
    </w:p>
    <w:p w14:paraId="2705E74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Fifth, the paper provides credible evidence that the welfare effect of stationary bandits depends on whose interests the armed actor represents. This finding has important policy implications for international peacebuilding and for understanding when armed governance can be welfare-improving in failed states. (pp. 57–66)</w:t>
      </w:r>
    </w:p>
    <w:p w14:paraId="232B054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第一，本文首次提供了系统的、定量的、因果性的证据，验证了在历史社会学（Tilly 1985, 1990）、人类学（Claessen and Skalnik 1978）和政治哲学（Hobbes 1651）中被广泛理论化、但从未用分解面板数据检验的过程。它表明国家的基本功能——暴力垄断、税收和保护——从武装行为者对经济激励作出反应的收入最大化行为中内生地产生。这弥合了"契约论"观点（国家源于民众意志）与"冲突"观点（国家是成功的有组织犯罪）之间的鸿沟，表明两者可以共存：提供福利增进治理的民众民兵仍然源于攫取动机。（第35–36页）</w:t>
      </w:r>
    </w:p>
    <w:p w14:paraId="671BB46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第二，论文组装了一个卓越的原创数据集——在冲突区覆盖650个地点近二十年的年度面板——通过创新的回忆式调查方法。这解决了阻碍早期国家形成研究的根本数据约束：统计数据最先由国家创造，因此关于其起源的数据此前并不存在。（第33–34、44–46页）</w:t>
      </w:r>
    </w:p>
    <w:p w14:paraId="16D1ACC1">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第三，论文引入了"行政资源诅咒"概念：当统治者可以依赖易征收的海关收入时，资源繁荣可能导致其拆除财政能力。这补充了传统的资源诅咒文献（侧重于冲突和"食利国家"），表明资源繁荣可以内生地影响行政能力，对国家发展具有潜在的长期影响。（第36–37页）</w:t>
      </w:r>
    </w:p>
    <w:p w14:paraId="583F630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第四，论文为内战文献提供了细致的补充。它不仅简单地表明大宗商品价格冲击增加暴力（Dube and Vargas 2013的"掠夺效应"），还表明同样的冲击可以导致更微妙的制度变化——税收、保护和治理结构的出现——这取决于产出的可观察性。（第36页）</w:t>
      </w:r>
    </w:p>
    <w:p w14:paraId="661B5D0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第五，论文提供了可信的证据表明固定匪帮对福利的效应取决于武装行为者代表谁的利益。这一发现对国际和平建设以及理解武装治理何时能在失败国家中改善福利具有重要的政策含义。（第57–66页）</w:t>
      </w:r>
    </w:p>
    <w:p w14:paraId="02D9272A">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12. Limitations and Suggestions</w:t>
      </w:r>
    </w:p>
    <w:p w14:paraId="07950715">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First, the recall-based data methodology, while innovative, introduces measurement error in three forms: imprecise recall of magnitudes, imprecise recall of dates, and reporting bias for sensitive information. The local mineral price data are acknowledged to be </w:t>
      </w:r>
      <w:r>
        <w:rPr>
          <w:rFonts w:hint="default" w:ascii="Times New Roman Regular" w:hAnsi="Times New Roman Regular" w:eastAsia="Arial" w:cs="Times New Roman Regular"/>
          <w:color w:val="auto"/>
          <w:sz w:val="22"/>
          <w:szCs w:val="22"/>
          <w:lang w:val="en-US"/>
        </w:rPr>
        <w:t>“extremely unreliable”</w:t>
      </w:r>
      <w:r>
        <w:rPr>
          <w:rFonts w:hint="default" w:ascii="Times New Roman Regular" w:hAnsi="Times New Roman Regular" w:eastAsia="Arial" w:cs="Times New Roman Regular"/>
          <w:color w:val="auto"/>
          <w:sz w:val="22"/>
          <w:szCs w:val="22"/>
        </w:rPr>
        <w:t xml:space="preserve"> (p. 49). While the author uses US prices to avoid this problem, the recall-based outcomes themselves may be subject to similar errors. Future work could triangulate with administrative data, satellite imagery (nightlights, deforestation), or real-time event-tracking data where available.</w:t>
      </w:r>
    </w:p>
    <w:p w14:paraId="3FB283B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Second, the coltan price shock is a single, sharp, short-lived event (1999–2001), while the gold price shock is a slow, prolonged trend (2006–2012). The asymmetry between these two shocks makes it difficult to cleanly attribute differences in armed actor behavior solely to the observability of output versus other differences between the coltan and gold economies (e.g., different time periods, different geopolitical contexts, different compositions of armed actors). The author partially addresses this through robustness checks restricting the coltan analysis to 1999–2001, but a cleaner design might exploit variation within a single mineral type.</w:t>
      </w:r>
    </w:p>
    <w:p w14:paraId="347F034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Third, the exclusion restriction for the IV strategy (the Sun City peace agreement) is debatable. The peace agreement may have affected household welfare through channels other than the withdrawal of stationary bandits — for example, through reduced conflict intensity, changes in trade patterns, or influxes of international aid. The author controls for some of these channels, but residual concerns remain.</w:t>
      </w:r>
    </w:p>
    <w:p w14:paraId="451761DD">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Fourth, the paper treats </w:t>
      </w:r>
      <w:r>
        <w:rPr>
          <w:rFonts w:hint="default" w:ascii="Times New Roman Regular" w:hAnsi="Times New Roman Regular" w:eastAsia="Arial" w:cs="Times New Roman Regular"/>
          <w:color w:val="auto"/>
          <w:sz w:val="22"/>
          <w:szCs w:val="22"/>
          <w:lang w:val="en-US"/>
        </w:rPr>
        <w:t>“stationary bandit”</w:t>
      </w:r>
      <w:r>
        <w:rPr>
          <w:rFonts w:hint="default" w:ascii="Times New Roman Regular" w:hAnsi="Times New Roman Regular" w:eastAsia="Arial" w:cs="Times New Roman Regular"/>
          <w:color w:val="auto"/>
          <w:sz w:val="22"/>
          <w:szCs w:val="22"/>
        </w:rPr>
        <w:t xml:space="preserve"> as a binary variable, but in reality there is enormous variation in the capacity, ideology, and behavior of different armed actors even within the same category. The four-type classification (village militia, regional militia, external, FARDC) is coarse. A more granular analysis of specific armed organizations might reveal important heterogeneity.</w:t>
      </w:r>
    </w:p>
    <w:p w14:paraId="2FAEE668">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Fifth, the paper does not directly observe tax rates, tax revenue, or the quality of public goods provided by stationary bandits. The outcomes are all binary indicators of institutional existence (does a tax exist? does an administration exist?). A richer dataset on the intensity and quality of governance would strengthen the claims about welfare effects.</w:t>
      </w:r>
    </w:p>
    <w:p w14:paraId="60D824A7">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Sixth, external validity is a concern. The eastern DRC is an extreme case of state failure, with near-total absence of central government authority. Whether the same mechanisms operate in contexts with stronger (but still weak) state presence, or in earlier historical periods, remains an open question.</w:t>
      </w:r>
    </w:p>
    <w:p w14:paraId="2E7C8057">
      <w:pPr>
        <w:keepNext w:val="0"/>
        <w:keepLines w:val="0"/>
        <w:widowControl w:val="0"/>
        <w:suppressLineNumbers w:val="0"/>
        <w:autoSpaceDE w:val="0"/>
        <w:autoSpaceDN/>
        <w:spacing w:before="0" w:beforeAutospacing="0" w:after="0" w:afterAutospacing="0"/>
        <w:ind w:left="0" w:right="0"/>
        <w:jc w:val="both"/>
        <w:rPr>
          <w:rFonts w:hint="default" w:ascii="Times New Roman Regular" w:hAnsi="Times New Roman Regular" w:eastAsia="Arial" w:cs="Times New Roman Regular"/>
          <w:kern w:val="2"/>
          <w:sz w:val="22"/>
          <w:szCs w:val="22"/>
        </w:rPr>
      </w:pPr>
      <w:r>
        <w:rPr>
          <w:rFonts w:hint="default" w:ascii="Arial" w:hAnsi="Arial" w:eastAsia="Arial" w:cs="Arial"/>
          <w:kern w:val="2"/>
          <w:sz w:val="22"/>
          <w:szCs w:val="22"/>
          <w:lang w:val="en-US" w:eastAsia="zh-CN" w:bidi="ar"/>
        </w:rPr>
        <w:t>第一，回忆式数据方法虽然创新，但引入了三种形式的测量误差：对幅度的不精确回忆、对日期的不精确回忆、以及敏感信息的报告偏差。当地矿物价格数据被承认</w:t>
      </w:r>
      <w:r>
        <w:rPr>
          <w:rFonts w:hint="default" w:ascii="Times New Roman Regular" w:hAnsi="Times New Roman Regular" w:eastAsia="Arial" w:cs="Times New Roman Regular"/>
          <w:kern w:val="2"/>
          <w:sz w:val="22"/>
          <w:szCs w:val="22"/>
          <w:lang w:val="en-US" w:eastAsia="zh-CN" w:bidi="ar"/>
        </w:rPr>
        <w:t>"</w:t>
      </w:r>
      <w:r>
        <w:rPr>
          <w:rFonts w:hint="default" w:ascii="Arial" w:hAnsi="Arial" w:eastAsia="Arial" w:cs="Arial"/>
          <w:kern w:val="2"/>
          <w:sz w:val="22"/>
          <w:szCs w:val="22"/>
          <w:lang w:val="en-US" w:eastAsia="zh-CN" w:bidi="ar"/>
        </w:rPr>
        <w:t>极不可靠</w:t>
      </w:r>
      <w:r>
        <w:rPr>
          <w:rFonts w:hint="default" w:ascii="Times New Roman Regular" w:hAnsi="Times New Roman Regular" w:eastAsia="Times New Roman Regular" w:cs="Times New Roman Regular"/>
          <w:kern w:val="2"/>
          <w:sz w:val="22"/>
          <w:szCs w:val="22"/>
          <w:lang w:val="en-US" w:eastAsia="zh-CN" w:bidi="ar"/>
        </w:rPr>
        <w:t>"</w:t>
      </w:r>
      <w:r>
        <w:rPr>
          <w:rFonts w:hint="default" w:ascii="Arial" w:hAnsi="Arial" w:eastAsia="Arial" w:cs="Arial"/>
          <w:kern w:val="2"/>
          <w:sz w:val="22"/>
          <w:szCs w:val="22"/>
          <w:lang w:val="en-US" w:eastAsia="zh-CN" w:bidi="ar"/>
        </w:rPr>
        <w:t>（第</w:t>
      </w:r>
      <w:r>
        <w:rPr>
          <w:rFonts w:hint="default" w:ascii="Times New Roman Regular" w:hAnsi="Times New Roman Regular" w:eastAsia="Times New Roman Regular" w:cs="Times New Roman Regular"/>
          <w:kern w:val="2"/>
          <w:sz w:val="22"/>
          <w:szCs w:val="22"/>
          <w:lang w:val="en-US" w:eastAsia="zh-CN" w:bidi="ar"/>
        </w:rPr>
        <w:t>49</w:t>
      </w:r>
      <w:r>
        <w:rPr>
          <w:rFonts w:hint="default" w:ascii="Arial" w:hAnsi="Arial" w:eastAsia="Arial" w:cs="Arial"/>
          <w:kern w:val="2"/>
          <w:sz w:val="22"/>
          <w:szCs w:val="22"/>
          <w:lang w:val="en-US" w:eastAsia="zh-CN" w:bidi="ar"/>
        </w:rPr>
        <w:t>页）。虽然作者使用美国价格来避免这一问题，但基于回忆的结果变量本身可能存在类似误差。未来的工作可以与行政数据、卫星图像（夜间灯光、森林砍伐）或可用的实时事件追踪数据进行三角验证。</w:t>
      </w:r>
    </w:p>
    <w:p w14:paraId="48CEDEC9">
      <w:pPr>
        <w:keepNext w:val="0"/>
        <w:keepLines w:val="0"/>
        <w:widowControl w:val="0"/>
        <w:suppressLineNumbers w:val="0"/>
        <w:autoSpaceDE w:val="0"/>
        <w:autoSpaceDN/>
        <w:spacing w:before="0" w:beforeAutospacing="0" w:after="0" w:afterAutospacing="0"/>
        <w:ind w:left="0" w:right="0"/>
        <w:jc w:val="both"/>
        <w:rPr>
          <w:rFonts w:hint="default" w:ascii="Times New Roman Regular" w:hAnsi="Times New Roman Regular" w:eastAsia="Arial" w:cs="Times New Roman Regular"/>
          <w:kern w:val="2"/>
          <w:sz w:val="22"/>
          <w:szCs w:val="22"/>
        </w:rPr>
      </w:pPr>
      <w:r>
        <w:rPr>
          <w:rFonts w:hint="default" w:ascii="Arial" w:hAnsi="Arial" w:eastAsia="Arial" w:cs="Arial"/>
          <w:kern w:val="2"/>
          <w:sz w:val="22"/>
          <w:szCs w:val="22"/>
          <w:lang w:val="en-US" w:eastAsia="zh-CN" w:bidi="ar"/>
        </w:rPr>
        <w:t>第二，钶钽铁矿价格冲击是一次单一的、剧烈的、短暂的事件（</w:t>
      </w:r>
      <w:r>
        <w:rPr>
          <w:rFonts w:hint="default" w:ascii="Times New Roman Regular" w:hAnsi="Times New Roman Regular" w:eastAsia="Arial" w:cs="Times New Roman Regular"/>
          <w:kern w:val="2"/>
          <w:sz w:val="22"/>
          <w:szCs w:val="22"/>
          <w:lang w:val="en-US" w:eastAsia="zh-CN" w:bidi="ar"/>
        </w:rPr>
        <w:t>1999–2001</w:t>
      </w:r>
      <w:r>
        <w:rPr>
          <w:rFonts w:hint="default" w:ascii="Arial" w:hAnsi="Arial" w:eastAsia="Arial" w:cs="Arial"/>
          <w:kern w:val="2"/>
          <w:sz w:val="22"/>
          <w:szCs w:val="22"/>
          <w:lang w:val="en-US" w:eastAsia="zh-CN" w:bidi="ar"/>
        </w:rPr>
        <w:t>），而黄金价格冲击是一个缓慢的、持续的趋势（</w:t>
      </w:r>
      <w:r>
        <w:rPr>
          <w:rFonts w:hint="default" w:ascii="Times New Roman Regular" w:hAnsi="Times New Roman Regular" w:eastAsia="Times New Roman Regular" w:cs="Times New Roman Regular"/>
          <w:kern w:val="2"/>
          <w:sz w:val="22"/>
          <w:szCs w:val="22"/>
          <w:lang w:val="en-US" w:eastAsia="zh-CN" w:bidi="ar"/>
        </w:rPr>
        <w:t>2006–2012</w:t>
      </w:r>
      <w:r>
        <w:rPr>
          <w:rFonts w:hint="default" w:ascii="Arial" w:hAnsi="Arial" w:eastAsia="Arial" w:cs="Arial"/>
          <w:kern w:val="2"/>
          <w:sz w:val="22"/>
          <w:szCs w:val="22"/>
          <w:lang w:val="en-US" w:eastAsia="zh-CN" w:bidi="ar"/>
        </w:rPr>
        <w:t>）。这两个冲击之间的不对称性使得难以将武装行为者行为的差异完全归因于产出的可观察性，而非钶钽铁矿和黄金经济之间的其他差异（例如不同的时间段、不同的地缘政治背景、不同的武装行为者组成）。作者通过将钶钽铁矿分析限制在</w:t>
      </w:r>
      <w:r>
        <w:rPr>
          <w:rFonts w:hint="default" w:ascii="Times New Roman Regular" w:hAnsi="Times New Roman Regular" w:eastAsia="Times New Roman Regular" w:cs="Times New Roman Regular"/>
          <w:kern w:val="2"/>
          <w:sz w:val="22"/>
          <w:szCs w:val="22"/>
          <w:lang w:val="en-US" w:eastAsia="zh-CN" w:bidi="ar"/>
        </w:rPr>
        <w:t>1999–2001</w:t>
      </w:r>
      <w:r>
        <w:rPr>
          <w:rFonts w:hint="default" w:ascii="Arial" w:hAnsi="Arial" w:eastAsia="Arial" w:cs="Arial"/>
          <w:kern w:val="2"/>
          <w:sz w:val="22"/>
          <w:szCs w:val="22"/>
          <w:lang w:val="en-US" w:eastAsia="zh-CN" w:bidi="ar"/>
        </w:rPr>
        <w:t>年的稳健性检验部分地解决了这一问题，但更干净的设计可能利用单一矿物类型内的变异。</w:t>
      </w:r>
    </w:p>
    <w:p w14:paraId="7D343B0A">
      <w:pPr>
        <w:keepNext w:val="0"/>
        <w:keepLines w:val="0"/>
        <w:widowControl w:val="0"/>
        <w:suppressLineNumbers w:val="0"/>
        <w:autoSpaceDE w:val="0"/>
        <w:autoSpaceDN/>
        <w:spacing w:before="0" w:beforeAutospacing="0" w:after="0" w:afterAutospacing="0"/>
        <w:ind w:left="0" w:right="0"/>
        <w:jc w:val="both"/>
        <w:rPr>
          <w:rFonts w:hint="default" w:ascii="Times New Roman Regular" w:hAnsi="Times New Roman Regular" w:eastAsia="Arial" w:cs="Times New Roman Regular"/>
          <w:kern w:val="2"/>
          <w:sz w:val="22"/>
          <w:szCs w:val="22"/>
        </w:rPr>
      </w:pPr>
      <w:r>
        <w:rPr>
          <w:rFonts w:hint="default" w:ascii="Arial" w:hAnsi="Arial" w:eastAsia="Arial" w:cs="Arial"/>
          <w:kern w:val="2"/>
          <w:sz w:val="22"/>
          <w:szCs w:val="22"/>
          <w:lang w:val="en-US" w:eastAsia="zh-CN" w:bidi="ar"/>
        </w:rPr>
        <w:t>第三，工具变量策略（</w:t>
      </w:r>
      <w:r>
        <w:rPr>
          <w:rFonts w:hint="default" w:ascii="Times New Roman Regular" w:hAnsi="Times New Roman Regular" w:eastAsia="Arial" w:cs="Times New Roman Regular"/>
          <w:kern w:val="2"/>
          <w:sz w:val="22"/>
          <w:szCs w:val="22"/>
          <w:lang w:val="en-US" w:eastAsia="zh-CN" w:bidi="ar"/>
        </w:rPr>
        <w:t>Sun City</w:t>
      </w:r>
      <w:r>
        <w:rPr>
          <w:rFonts w:hint="default" w:ascii="Arial" w:hAnsi="Arial" w:eastAsia="Arial" w:cs="Arial"/>
          <w:kern w:val="2"/>
          <w:sz w:val="22"/>
          <w:szCs w:val="22"/>
          <w:lang w:val="en-US" w:eastAsia="zh-CN" w:bidi="ar"/>
        </w:rPr>
        <w:t>和平协议）的排除性限制是有争议的。和平协议可能通过固定匪帮撤出之外的渠道影响家庭福利</w:t>
      </w:r>
      <w:r>
        <w:rPr>
          <w:rFonts w:hint="default" w:ascii="Times New Roman Regular" w:hAnsi="Times New Roman Regular" w:eastAsia="Times New Roman Regular" w:cs="Times New Roman Regular"/>
          <w:kern w:val="2"/>
          <w:sz w:val="22"/>
          <w:szCs w:val="22"/>
          <w:lang w:val="en-US" w:eastAsia="zh-CN" w:bidi="ar"/>
        </w:rPr>
        <w:t>——</w:t>
      </w:r>
      <w:r>
        <w:rPr>
          <w:rFonts w:hint="default" w:ascii="Arial" w:hAnsi="Arial" w:eastAsia="Arial" w:cs="Arial"/>
          <w:kern w:val="2"/>
          <w:sz w:val="22"/>
          <w:szCs w:val="22"/>
          <w:lang w:val="en-US" w:eastAsia="zh-CN" w:bidi="ar"/>
        </w:rPr>
        <w:t>例如通过冲突强度降低、贸易模式变化、或国际援助涌入。作者控制了其中一些渠道，但仍存在残余担忧。</w:t>
      </w:r>
    </w:p>
    <w:p w14:paraId="0E1EBEF9">
      <w:pPr>
        <w:keepNext w:val="0"/>
        <w:keepLines w:val="0"/>
        <w:widowControl w:val="0"/>
        <w:suppressLineNumbers w:val="0"/>
        <w:autoSpaceDE w:val="0"/>
        <w:autoSpaceDN/>
        <w:spacing w:before="0" w:beforeAutospacing="0" w:after="0" w:afterAutospacing="0"/>
        <w:ind w:left="0" w:right="0"/>
        <w:jc w:val="both"/>
        <w:rPr>
          <w:rFonts w:hint="default" w:ascii="Times New Roman Regular" w:hAnsi="Times New Roman Regular" w:eastAsia="Arial" w:cs="Times New Roman Regular"/>
          <w:kern w:val="2"/>
          <w:sz w:val="22"/>
          <w:szCs w:val="22"/>
        </w:rPr>
      </w:pPr>
      <w:r>
        <w:rPr>
          <w:rFonts w:hint="default" w:ascii="Arial" w:hAnsi="Arial" w:eastAsia="Arial" w:cs="Arial"/>
          <w:kern w:val="2"/>
          <w:sz w:val="22"/>
          <w:szCs w:val="22"/>
          <w:lang w:val="en-US" w:eastAsia="zh-CN" w:bidi="ar"/>
        </w:rPr>
        <w:t>第四，论文将</w:t>
      </w:r>
      <w:r>
        <w:rPr>
          <w:rFonts w:hint="default" w:ascii="Times New Roman Regular" w:hAnsi="Times New Roman Regular" w:eastAsia="Arial" w:cs="Times New Roman Regular"/>
          <w:kern w:val="2"/>
          <w:sz w:val="22"/>
          <w:szCs w:val="22"/>
          <w:lang w:val="en-US" w:eastAsia="zh-CN" w:bidi="ar"/>
        </w:rPr>
        <w:t>"</w:t>
      </w:r>
      <w:r>
        <w:rPr>
          <w:rFonts w:hint="default" w:ascii="Arial" w:hAnsi="Arial" w:eastAsia="Arial" w:cs="Arial"/>
          <w:kern w:val="2"/>
          <w:sz w:val="22"/>
          <w:szCs w:val="22"/>
          <w:lang w:val="en-US" w:eastAsia="zh-CN" w:bidi="ar"/>
        </w:rPr>
        <w:t>固定匪帮</w:t>
      </w:r>
      <w:r>
        <w:rPr>
          <w:rFonts w:hint="default" w:ascii="Times New Roman Regular" w:hAnsi="Times New Roman Regular" w:eastAsia="Times New Roman Regular" w:cs="Times New Roman Regular"/>
          <w:kern w:val="2"/>
          <w:sz w:val="22"/>
          <w:szCs w:val="22"/>
          <w:lang w:val="en-US" w:eastAsia="zh-CN" w:bidi="ar"/>
        </w:rPr>
        <w:t>"</w:t>
      </w:r>
      <w:r>
        <w:rPr>
          <w:rFonts w:hint="default" w:ascii="Arial" w:hAnsi="Arial" w:eastAsia="Arial" w:cs="Arial"/>
          <w:kern w:val="2"/>
          <w:sz w:val="22"/>
          <w:szCs w:val="22"/>
          <w:lang w:val="en-US" w:eastAsia="zh-CN" w:bidi="ar"/>
        </w:rPr>
        <w:t>视为二元变量，但实际上即使在同一类别内，不同武装行为者的能力、意识形态和行为也存在巨大差异。四类分类（村庄民兵、地区民兵、外部、</w:t>
      </w:r>
      <w:r>
        <w:rPr>
          <w:rFonts w:hint="default" w:ascii="Times New Roman Regular" w:hAnsi="Times New Roman Regular" w:eastAsia="Times New Roman Regular" w:cs="Times New Roman Regular"/>
          <w:kern w:val="2"/>
          <w:sz w:val="22"/>
          <w:szCs w:val="22"/>
          <w:lang w:val="en-US" w:eastAsia="zh-CN" w:bidi="ar"/>
        </w:rPr>
        <w:t>FARDC</w:t>
      </w:r>
      <w:r>
        <w:rPr>
          <w:rFonts w:hint="default" w:ascii="Arial" w:hAnsi="Arial" w:eastAsia="Arial" w:cs="Arial"/>
          <w:kern w:val="2"/>
          <w:sz w:val="22"/>
          <w:szCs w:val="22"/>
          <w:lang w:val="en-US" w:eastAsia="zh-CN" w:bidi="ar"/>
        </w:rPr>
        <w:t>）较为粗糙。对特定武装组织更细粒度的分析可能揭示重要的异质性。</w:t>
      </w:r>
    </w:p>
    <w:p w14:paraId="1312CF12">
      <w:pPr>
        <w:keepNext w:val="0"/>
        <w:keepLines w:val="0"/>
        <w:widowControl w:val="0"/>
        <w:suppressLineNumbers w:val="0"/>
        <w:autoSpaceDE w:val="0"/>
        <w:autoSpaceDN/>
        <w:spacing w:before="0" w:beforeAutospacing="0" w:after="0" w:afterAutospacing="0"/>
        <w:ind w:left="0" w:right="0"/>
        <w:jc w:val="both"/>
        <w:rPr>
          <w:rFonts w:hint="default" w:ascii="Times New Roman Regular" w:hAnsi="Times New Roman Regular" w:eastAsia="Arial" w:cs="Times New Roman Regular"/>
          <w:kern w:val="2"/>
          <w:sz w:val="22"/>
          <w:szCs w:val="22"/>
        </w:rPr>
      </w:pPr>
      <w:r>
        <w:rPr>
          <w:rFonts w:hint="default" w:ascii="Arial" w:hAnsi="Arial" w:eastAsia="Arial" w:cs="Arial"/>
          <w:kern w:val="2"/>
          <w:sz w:val="22"/>
          <w:szCs w:val="22"/>
          <w:lang w:val="en-US" w:eastAsia="zh-CN" w:bidi="ar"/>
        </w:rPr>
        <w:t>第五，论文没有直接观察税率、税收收入或固定匪帮提供的公共物品质量。结果变量都是制度存在的二元指标（某种税是否存在？某种管理机构是否存在？）。更丰富的关于治理强度和质量的数据集将加强关于福利效应的主张。</w:t>
      </w:r>
    </w:p>
    <w:p w14:paraId="1F7B8CCE">
      <w:pPr>
        <w:keepNext w:val="0"/>
        <w:keepLines w:val="0"/>
        <w:widowControl w:val="0"/>
        <w:suppressLineNumbers w:val="0"/>
        <w:autoSpaceDE w:val="0"/>
        <w:autoSpaceDN/>
        <w:spacing w:before="0" w:beforeAutospacing="0" w:after="0" w:afterAutospacing="0"/>
        <w:ind w:left="0" w:right="0"/>
        <w:jc w:val="both"/>
        <w:rPr>
          <w:rFonts w:hint="default" w:ascii="Times New Roman Regular" w:hAnsi="Times New Roman Regular" w:eastAsia="Arial" w:cs="Times New Roman Regular"/>
          <w:color w:val="auto"/>
          <w:sz w:val="22"/>
          <w:szCs w:val="22"/>
        </w:rPr>
      </w:pPr>
      <w:r>
        <w:rPr>
          <w:rFonts w:hint="default" w:ascii="Arial" w:hAnsi="Arial" w:eastAsia="Arial" w:cs="Arial"/>
          <w:kern w:val="2"/>
          <w:sz w:val="22"/>
          <w:szCs w:val="22"/>
          <w:lang w:val="en-US" w:eastAsia="zh-CN" w:bidi="ar"/>
        </w:rPr>
        <w:t>第六，外部有效性是一个问题。刚果（金）东部是国家失败的极端案例，中央政府权力几乎完全缺失。同样的机制是否在国家存在感更强（但仍然薄弱）的背景下或在更早的历史时期运作，仍然是一个开放的问题。</w:t>
      </w:r>
    </w:p>
    <w:p w14:paraId="48AD99CB">
      <w:pPr>
        <w:pStyle w:val="3"/>
        <w:keepNext w:val="0"/>
        <w:keepLines w:val="0"/>
        <w:pageBreakBefore w:val="0"/>
        <w:kinsoku/>
        <w:wordWrap/>
        <w:overflowPunct/>
        <w:topLinePunct w:val="0"/>
        <w:autoSpaceDE/>
        <w:autoSpaceDN/>
        <w:bidi w:val="0"/>
        <w:adjustRightInd/>
        <w:snapToGrid/>
        <w:spacing w:before="0" w:beforeAutospacing="0" w:after="0" w:afterAutospacing="0" w:line="240" w:lineRule="auto"/>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b/>
          <w:bCs/>
          <w:color w:val="auto"/>
          <w:sz w:val="28"/>
          <w:szCs w:val="28"/>
        </w:rPr>
        <w:t>13. Extensions</w:t>
      </w:r>
    </w:p>
    <w:p w14:paraId="3D694B19">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First, a natural extension would investigate the dynamics of legitimacy acquisition by armed actors. The paper documents that some stationary bandits conduct propaganda campaigns, initiation rituals, and witch hunts, but does not analyze these systematically. A follow-up study could examine how armed actors transition from pure extraction to legitimate governance — the process by which </w:t>
      </w:r>
      <w:r>
        <w:rPr>
          <w:rFonts w:hint="default" w:ascii="Times New Roman Regular" w:hAnsi="Times New Roman Regular" w:eastAsia="Arial" w:cs="Times New Roman Regular"/>
          <w:color w:val="auto"/>
          <w:sz w:val="22"/>
          <w:szCs w:val="22"/>
          <w:lang w:val="en-US"/>
        </w:rPr>
        <w:t>“bandits become kings.”</w:t>
      </w:r>
      <w:r>
        <w:rPr>
          <w:rFonts w:hint="default" w:ascii="Times New Roman Regular" w:hAnsi="Times New Roman Regular" w:eastAsia="Arial" w:cs="Times New Roman Regular"/>
          <w:color w:val="auto"/>
          <w:sz w:val="22"/>
          <w:szCs w:val="22"/>
        </w:rPr>
        <w:t xml:space="preserve"> The author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own subsequent work (Henn, Marchais, and Sánchez de la Sierra 2018) moves in this direction by studying the interaction between armed groups and traditional chiefs. (pp. 68, 70)</w:t>
      </w:r>
    </w:p>
    <w:p w14:paraId="6A65859E">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Second, one could study the long-run persistence of these institutions. Do the fiscal administrations and judicial systems created by stationary bandits persist after the armed actors leave? Do they become the foundations of more permanent governance structures? This would connect to the broader literature on institutional persistence and path dependence.</w:t>
      </w:r>
    </w:p>
    <w:p w14:paraId="0D84D9BC">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 xml:space="preserve">Third, the </w:t>
      </w:r>
      <w:r>
        <w:rPr>
          <w:rFonts w:hint="default" w:ascii="Times New Roman Regular" w:hAnsi="Times New Roman Regular" w:eastAsia="Arial" w:cs="Times New Roman Regular"/>
          <w:color w:val="auto"/>
          <w:sz w:val="22"/>
          <w:szCs w:val="22"/>
          <w:lang w:val="en-US"/>
        </w:rPr>
        <w:t>“administration resource curse”</w:t>
      </w:r>
      <w:r>
        <w:rPr>
          <w:rFonts w:hint="default" w:ascii="Times New Roman Regular" w:hAnsi="Times New Roman Regular" w:eastAsia="Arial" w:cs="Times New Roman Regular"/>
          <w:color w:val="auto"/>
          <w:sz w:val="22"/>
          <w:szCs w:val="22"/>
        </w:rPr>
        <w:t xml:space="preserve"> mechanism could be tested in other settings — for exa</w:t>
      </w:r>
      <w:bookmarkStart w:id="0" w:name="_GoBack"/>
      <w:bookmarkEnd w:id="0"/>
      <w:r>
        <w:rPr>
          <w:rFonts w:hint="default" w:ascii="Times New Roman Regular" w:hAnsi="Times New Roman Regular" w:eastAsia="Arial" w:cs="Times New Roman Regular"/>
          <w:color w:val="auto"/>
          <w:sz w:val="22"/>
          <w:szCs w:val="22"/>
        </w:rPr>
        <w:t>mple, in countries where oil or gas revenues reduce government</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incentives to build tax administrations. The DRC setting provides a micro-level analogue of the macro-level </w:t>
      </w:r>
      <w:r>
        <w:rPr>
          <w:rFonts w:hint="default" w:ascii="Times New Roman Regular" w:hAnsi="Times New Roman Regular" w:eastAsia="Arial" w:cs="Times New Roman Regular"/>
          <w:color w:val="auto"/>
          <w:sz w:val="22"/>
          <w:szCs w:val="22"/>
          <w:lang w:val="en-US"/>
        </w:rPr>
        <w:t>“rentier state”</w:t>
      </w:r>
      <w:r>
        <w:rPr>
          <w:rFonts w:hint="default" w:ascii="Times New Roman Regular" w:hAnsi="Times New Roman Regular" w:eastAsia="Arial" w:cs="Times New Roman Regular"/>
          <w:color w:val="auto"/>
          <w:sz w:val="22"/>
          <w:szCs w:val="22"/>
        </w:rPr>
        <w:t xml:space="preserve"> hypothesis, and cross-country evidence could validate the generalizability of this mechanism.</w:t>
      </w:r>
    </w:p>
    <w:p w14:paraId="22D529C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lang w:val="en-US"/>
        </w:rPr>
      </w:pPr>
      <w:r>
        <w:rPr>
          <w:rFonts w:hint="default" w:ascii="Times New Roman Regular" w:hAnsi="Times New Roman Regular" w:eastAsia="Arial" w:cs="Times New Roman Regular"/>
          <w:color w:val="auto"/>
          <w:sz w:val="22"/>
          <w:szCs w:val="22"/>
        </w:rPr>
        <w:t>Fourth, the paper</w:t>
      </w:r>
      <w:r>
        <w:rPr>
          <w:rFonts w:hint="default" w:ascii="Times New Roman Regular" w:hAnsi="Times New Roman Regular" w:eastAsia="Arial" w:cs="Times New Roman Regular"/>
          <w:color w:val="auto"/>
          <w:sz w:val="22"/>
          <w:szCs w:val="22"/>
          <w:lang w:val="en-US"/>
        </w:rPr>
        <w:t>’s</w:t>
      </w:r>
      <w:r>
        <w:rPr>
          <w:rFonts w:hint="default" w:ascii="Times New Roman Regular" w:hAnsi="Times New Roman Regular" w:eastAsia="Arial" w:cs="Times New Roman Regular"/>
          <w:color w:val="auto"/>
          <w:sz w:val="22"/>
          <w:szCs w:val="22"/>
        </w:rPr>
        <w:t xml:space="preserve"> framework could be extended to study competition between armed actors. When multiple armed groups compete for control, does this lead to better or worse governance for civilians? The paper notes that the strongest armed actors sort into the most profitable locations, but does not systematically analyze the effects of competition versus monopoly in the </w:t>
      </w:r>
      <w:r>
        <w:rPr>
          <w:rFonts w:hint="default" w:ascii="Times New Roman Regular" w:hAnsi="Times New Roman Regular" w:eastAsia="Arial" w:cs="Times New Roman Regular"/>
          <w:color w:val="auto"/>
          <w:sz w:val="22"/>
          <w:szCs w:val="22"/>
          <w:lang w:val="en-US"/>
        </w:rPr>
        <w:t>“market for protection.”</w:t>
      </w:r>
    </w:p>
    <w:p w14:paraId="2DB4316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cs="Times New Roman Regular"/>
          <w:color w:val="auto"/>
        </w:rPr>
      </w:pPr>
      <w:r>
        <w:rPr>
          <w:rFonts w:hint="default" w:ascii="Times New Roman Regular" w:hAnsi="Times New Roman Regular" w:eastAsia="Arial" w:cs="Times New Roman Regular"/>
          <w:color w:val="auto"/>
          <w:sz w:val="22"/>
          <w:szCs w:val="22"/>
        </w:rPr>
        <w:t>Fifth, one could study the demand side of state formation: do civilians actively seek out or invite stationary bandits in response to security threats? The paper finds that people migrate toward locations with militia-affiliated stationary bandits, suggesting revealed preference for such governance. A deeper investigation of civilian agency in state formation — through surveys, behavioral experiments, or historical case studies — would complement the supply-side analysis in this paper.</w:t>
      </w:r>
    </w:p>
    <w:p w14:paraId="75FC4A2A">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rPr>
      </w:pPr>
      <w:r>
        <w:rPr>
          <w:rFonts w:hint="default" w:ascii="Times New Roman Regular" w:hAnsi="Times New Roman Regular" w:eastAsia="Arial" w:cs="Times New Roman Regular"/>
          <w:color w:val="auto"/>
          <w:sz w:val="22"/>
          <w:szCs w:val="22"/>
        </w:rPr>
        <w:t>Sixth, the framework could be applied to study modern state fragility. Many contemporary states contain regions where non-state armed actors provide governance functions (e.g., Taliban in Afghanistan, cartels in Mexico, gangs in Central American cities). The analytical tools developed in this paper — particularly the distinction between observable and concealable economic activity as a determinant of governance structures — could be productively applied to these contexts.</w:t>
      </w:r>
    </w:p>
    <w:p w14:paraId="34CAABFB">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lang w:val="en-US"/>
        </w:rPr>
      </w:pPr>
      <w:r>
        <w:rPr>
          <w:rFonts w:hint="default" w:ascii="Times New Roman Regular" w:hAnsi="Times New Roman Regular" w:eastAsia="Arial" w:cs="Times New Roman Regular"/>
          <w:color w:val="auto"/>
          <w:sz w:val="22"/>
          <w:szCs w:val="22"/>
          <w:lang w:val="en-US"/>
        </w:rPr>
        <w:t>第一，一个自然的延伸是调查武装行为者的合法性获取动态。论文记录了一些固定匪帮开展宣传运动、举行入会仪式和猎巫行动，但没有对这些进行系统分析。后续研究可以考察武装行为者如何从纯粹的攫取过渡到合法治理——即"匪帮成为国王"的过程。作者自己的后续工作（Henn, Marchais, and Sánchez de la Sierra 2018）通过研究武装团体与传统酋长之间的互动朝这个方向发展。（第68、70页）</w:t>
      </w:r>
    </w:p>
    <w:p w14:paraId="76466402">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lang w:val="en-US"/>
        </w:rPr>
      </w:pPr>
      <w:r>
        <w:rPr>
          <w:rFonts w:hint="default" w:ascii="Times New Roman Regular" w:hAnsi="Times New Roman Regular" w:eastAsia="Arial" w:cs="Times New Roman Regular"/>
          <w:color w:val="auto"/>
          <w:sz w:val="22"/>
          <w:szCs w:val="22"/>
          <w:lang w:val="en-US"/>
        </w:rPr>
        <w:t>第二，可以研究这些制度的长期持续性。固定匪帮创建的财政管理机构和司法系统在武装行为者离开后是否持续存在？它们是否成为更持久治理结构的基础？这将与关于制度持续性和路径依赖的更广泛文献联系起来。</w:t>
      </w:r>
    </w:p>
    <w:p w14:paraId="6FAD82C6">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lang w:val="en-US"/>
        </w:rPr>
      </w:pPr>
      <w:r>
        <w:rPr>
          <w:rFonts w:hint="default" w:ascii="Times New Roman Regular" w:hAnsi="Times New Roman Regular" w:eastAsia="Arial" w:cs="Times New Roman Regular"/>
          <w:color w:val="auto"/>
          <w:sz w:val="22"/>
          <w:szCs w:val="22"/>
          <w:lang w:val="en-US"/>
        </w:rPr>
        <w:t>第三，"行政资源诅咒"机制可以在其他环境中检验——例如在石油或天然气收入减少政府建设税务行政管理激励的国家。刚果（金）的设定提供了宏观层面"食利国家"假说的微观类比，跨国证据可以验证这一机制的可推广性。</w:t>
      </w:r>
    </w:p>
    <w:p w14:paraId="2AA67D9F">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lang w:val="en-US"/>
        </w:rPr>
      </w:pPr>
      <w:r>
        <w:rPr>
          <w:rFonts w:hint="default" w:ascii="Times New Roman Regular" w:hAnsi="Times New Roman Regular" w:eastAsia="Arial" w:cs="Times New Roman Regular"/>
          <w:color w:val="auto"/>
          <w:sz w:val="22"/>
          <w:szCs w:val="22"/>
          <w:lang w:val="en-US"/>
        </w:rPr>
        <w:t>第四，论文的框架可以扩展到研究武装行为者之间的竞争。当多个武装团体争夺控制权时，这是否导致对平民更好或更差的治理？论文指出最强大的武装行为者进入最有利可图的地点，但没有系统分析"保护市场"中竞争与垄断的效应。</w:t>
      </w:r>
    </w:p>
    <w:p w14:paraId="0C10DCE3">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lang w:val="en-US"/>
        </w:rPr>
      </w:pPr>
      <w:r>
        <w:rPr>
          <w:rFonts w:hint="default" w:ascii="Times New Roman Regular" w:hAnsi="Times New Roman Regular" w:eastAsia="Arial" w:cs="Times New Roman Regular"/>
          <w:color w:val="auto"/>
          <w:sz w:val="22"/>
          <w:szCs w:val="22"/>
          <w:lang w:val="en-US"/>
        </w:rPr>
        <w:t>第五，可以研究国家形成的需求侧：平民是否在安全威胁面前积极寻求或邀请固定匪帮？论文发现人们向有民兵附属固定匪帮的地点移民，暗示对这种治理的显示偏好。对国家形成中平民能动性的更深入调查——通过调查、行为实验或历史案例研究——将补充本文的供给侧分析。</w:t>
      </w:r>
    </w:p>
    <w:p w14:paraId="207615E0">
      <w:pPr>
        <w:keepNext w:val="0"/>
        <w:keepLines w:val="0"/>
        <w:pageBreakBefore w:val="0"/>
        <w:kinsoku/>
        <w:wordWrap/>
        <w:overflowPunct/>
        <w:topLinePunct w:val="0"/>
        <w:autoSpaceDE/>
        <w:autoSpaceDN/>
        <w:bidi w:val="0"/>
        <w:adjustRightInd/>
        <w:snapToGrid/>
        <w:spacing w:beforeAutospacing="0" w:afterAutospacing="0" w:line="240" w:lineRule="auto"/>
        <w:jc w:val="both"/>
        <w:textAlignment w:val="auto"/>
        <w:rPr>
          <w:rFonts w:hint="default" w:ascii="Times New Roman Regular" w:hAnsi="Times New Roman Regular" w:eastAsia="Arial" w:cs="Times New Roman Regular"/>
          <w:color w:val="auto"/>
          <w:sz w:val="22"/>
          <w:szCs w:val="22"/>
          <w:lang w:val="en-US"/>
        </w:rPr>
      </w:pPr>
      <w:r>
        <w:rPr>
          <w:rFonts w:hint="default" w:ascii="Times New Roman Regular" w:hAnsi="Times New Roman Regular" w:eastAsia="Arial" w:cs="Times New Roman Regular"/>
          <w:color w:val="auto"/>
          <w:sz w:val="22"/>
          <w:szCs w:val="22"/>
          <w:lang w:val="en-US"/>
        </w:rPr>
        <w:t>第六，该框架可以应用于研究现代国家脆弱性。许多当代国家包含非国家武装行为者提供治理功能的地区（例如阿富汗/æfˈɡænɪstæn/的塔利班/ˈtælɪbæn/、墨西哥/ˈmɛksɪkoʊ/的贩毒集团、中美洲/ˌsɛntrəl əˈmɛrɪkə/城市的帮派）。本文开发的分析工具——特别是可观察和可隐匿经济活动作为治理结构决定因素的区分——可以有效地应用于这些情境。</w:t>
      </w:r>
    </w:p>
    <w:p w14:paraId="4E2A5350">
      <w:pPr>
        <w:keepNext w:val="0"/>
        <w:keepLines w:val="0"/>
        <w:pageBreakBefore w:val="0"/>
        <w:kinsoku/>
        <w:wordWrap/>
        <w:overflowPunct/>
        <w:topLinePunct w:val="0"/>
        <w:autoSpaceDE/>
        <w:autoSpaceDN/>
        <w:bidi w:val="0"/>
        <w:adjustRightInd/>
        <w:snapToGrid/>
        <w:spacing w:beforeAutospacing="0" w:afterAutospacing="0" w:line="240" w:lineRule="auto"/>
        <w:textAlignment w:val="auto"/>
      </w:pPr>
    </w:p>
    <w:sectPr>
      <w:pgSz w:w="11906" w:h="16838"/>
      <w:pgMar w:top="1440" w:right="1440" w:bottom="1440" w:left="144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Times New Roman Regular">
    <w:panose1 w:val="02020503050405090304"/>
    <w:charset w:val="00"/>
    <w:family w:val="auto"/>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宋体-简">
    <w:panose1 w:val="02010800040101010101"/>
    <w:charset w:val="86"/>
    <w:family w:val="auto"/>
    <w:pitch w:val="default"/>
    <w:sig w:usb0="00000001" w:usb1="080F0000" w:usb2="00000000" w:usb3="00000000" w:csb0="00040000" w:csb1="00000000"/>
  </w:font>
  <w:font w:name="Arial">
    <w:panose1 w:val="020B0604020202090204"/>
    <w:charset w:val="00"/>
    <w:family w:val="auto"/>
    <w:pitch w:val="default"/>
    <w:sig w:usb0="E0000AFF" w:usb1="00007843" w:usb2="00000001" w:usb3="00000000" w:csb0="400001BF" w:csb1="DFF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embedSystemFonts/>
  <w:bordersDoNotSurroundHeader w:val="0"/>
  <w:bordersDoNotSurroundFooter w:val="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WUxMDgxMGVlMTkwNDEwNzkxODk2NGRmN2QyZTkyMjkifQ=="/>
  </w:docVars>
  <w:rsids>
    <w:rsidRoot w:val="B8F45A9C"/>
    <w:rsid w:val="65BCFF64"/>
    <w:rsid w:val="67F71F33"/>
    <w:rsid w:val="9FEDD1B4"/>
    <w:rsid w:val="B8F45A9C"/>
    <w:rsid w:val="BF67637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nhideWhenUsed="0"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next w:val="1"/>
    <w:qFormat/>
    <w:uiPriority w:val="0"/>
    <w:pPr>
      <w:spacing w:before="200" w:after="120"/>
      <w:outlineLvl w:val="2"/>
    </w:pPr>
    <w:rPr>
      <w:rFonts w:ascii="Arial" w:hAnsi="Arial" w:eastAsia="Arial" w:cs="Arial"/>
      <w:b/>
      <w:bCs/>
      <w:sz w:val="24"/>
      <w:szCs w:val="24"/>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rPr>
      <w:sz w:val="24"/>
    </w:rPr>
  </w:style>
  <w:style w:type="character" w:styleId="8">
    <w:name w:val="Strong"/>
    <w:basedOn w:val="7"/>
    <w:qFormat/>
    <w:uiPriority w:val="0"/>
    <w:rPr>
      <w:b/>
    </w:rPr>
  </w:style>
  <w:style w:type="character" w:styleId="9">
    <w:name w:val="Emphasis"/>
    <w:basedOn w:val="7"/>
    <w:qFormat/>
    <w:uiPriority w:val="0"/>
    <w:rPr>
      <w:i/>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57</Pages>
  <Words>0</Words>
  <Characters>0</Characters>
  <Lines>1</Lines>
  <Paragraphs>1</Paragraphs>
  <TotalTime>224</TotalTime>
  <ScaleCrop>false</ScaleCrop>
  <LinksUpToDate>false</LinksUpToDate>
  <CharactersWithSpaces>0</CharactersWithSpaces>
  <Application>WPS Office_6.10.1.8873_F1E327BC-269C-435d-A152-05C5408002CA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2026-02-23T05:02:00Z</dcterms:created>
  <dc:creator>夏一丹</dc:creator>
  <cp:lastModifiedBy>夏一丹</cp:lastModifiedBy>
  <dcterms:modified xsi:type="dcterms:W3CDTF">2026-02-25T13:06:32Z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2052-6.10.1.8873</vt:lpwstr>
  </property>
  <property fmtid="{D5CDD505-2E9C-101B-9397-08002B2CF9AE}" pid="3" name="ICV">
    <vt:lpwstr>E12B2159D6FCF158076C9C693EE62796_41</vt:lpwstr>
  </property>
</Properties>
</file>