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8BD40">
      <w:pPr>
        <w:spacing w:before="0" w:after="40" w:line="240" w:lineRule="auto"/>
        <w:jc w:val="cente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POLSCI 719 State Formation - Week 2 Literature Notes</w:t>
      </w:r>
    </w:p>
    <w:p w14:paraId="242B259A">
      <w:pPr>
        <w:spacing w:before="80" w:after="120" w:line="240" w:lineRule="auto"/>
        <w:rPr>
          <w:rFonts w:hint="default" w:ascii="Times New Roman Regular" w:hAnsi="Times New Roman Regular" w:cs="Times New Roman Regular" w:eastAsiaTheme="minorEastAsia"/>
          <w:b/>
          <w:color w:val="auto"/>
          <w:sz w:val="24"/>
          <w:szCs w:val="24"/>
        </w:rPr>
      </w:pPr>
    </w:p>
    <w:p w14:paraId="57CA6ED1">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One</w:t>
      </w:r>
    </w:p>
    <w:p w14:paraId="1026C93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09364F1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 Theory of the Origin of the State</w:t>
      </w:r>
    </w:p>
    <w:p w14:paraId="6DAE95B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Another article I think may help: Mayshar, Joram, Omer Moav, and Luigi Pascali: The origin of the state: Land productivity or appropriability?</w:t>
      </w:r>
    </w:p>
    <w:p w14:paraId="2A20A05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0744FE3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Robert L. Carneiro</w:t>
      </w:r>
    </w:p>
    <w:p w14:paraId="70B98BB3">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1970</w:t>
      </w:r>
    </w:p>
    <w:p w14:paraId="5B74517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26D6C24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origin and formation of the state. Carneiro /karˈnejru/ seeks to explain why pristine states emerged in certain geographic locations instead of others, and what conditions were necessary for autonomous political units to transform into centralized states with coercive authority. The dependent variable is essentially the transition from autonomous villages to integrated political units with centralized government capable of taxation, conscription, and law enforcement (p. 2).</w:t>
      </w:r>
    </w:p>
    <w:p w14:paraId="311A56C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主要因变量：国家的起源和形成。具体而言，Carneiro 试图解释为何pristine states出现在特定的地理位置而非其他地方，以及通过什么条件使自治的政治单位转变为具有强制性权力的中央集权国家。因变量本质上是从自治村落向拥有征税、征兵和执法能力的中央集权政府的一体化政治单位的过渡 。</w:t>
      </w:r>
    </w:p>
    <w:p w14:paraId="40256F5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2D1CBA0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primary independent variable is environmental circumscription, which is defined as the geographic constraint of arable /'ærəbəl/ agricultural land by natural barriers such as mountains, deserts, or seas. Secondary independent variables: (1) population pressure that creates competition for limited resources; (2) resource concentration, namely “social circumscription,” namely the clustering of valuable resources that creates similar constraining effects; (3) warfare as the proximate mechanism through which political integration occurs (pp. 3-4).</w:t>
      </w:r>
    </w:p>
    <w:p w14:paraId="013A8BA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主要自变量是Environmental circumscription，定义为由山脉、沙漠或海洋等自然屏障对可耕种农业用地的地理限制。次要自变量包括：(1) 人口压力/增长，导致对有限资源的竞争 ；(2) 资源集中，Carneiro 称之为social circumscription，指宝贵资源的聚集产生类似的限制效应 ；(3) 战争，这是政治整合发生的直接机制 。</w:t>
      </w:r>
    </w:p>
    <w:p w14:paraId="7A5C5D28">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5E90046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Carneiro/karˈnejru/ conceptualizes the state as “an autonomous political unit, encompassing many communities within its territory and having a centralized government with the power to collect taxes, draft men for work or war, and decree and enforce laws” (p. 2). This definition emphasizes three core elements: territorial scope (multiple communities), centralized authority, and coercive capacity (taxation, conscription, legal enforcement). The state is measured qualitatively through archaeological and historical evidence of political integration, tribute systems, and administrative hierarchies. Carneiro/karˈnejru/ explicitly distinguishes the state from chiefdoms and villages, and the former had formal coercive institutions, not merely consensual authority (pp. 2, 5).</w:t>
      </w:r>
    </w:p>
    <w:p w14:paraId="45BD553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将国家概念化为“一个自治的政治单位，在其领土内包含许多社区，并拥有一个有权征税、征召人员劳动或作战、以及颁布和执行法律的中央政府” 。 该定义强调了三个核心要素：领土范围（多个社区）、中央集权和强制能力（税收、征兵、执法）。 国家通过考古和历史证据（政治整合、贡赋系统和行政等级制度）进行定性测量 。明确区分了国家与酋邦和村落，区别在于是否存在正式的强制性制度，而不仅仅是协商性权威 。</w:t>
      </w:r>
    </w:p>
    <w:p w14:paraId="36284DB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059617C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Carneiro’s /karˈnejru/ core argument is that states arise through warfare in environmentally circumscribed areas. When agricultural land is bounded by geographic barriers (mountains, deserts, seas), population growth creates pressure on limited resources. Unlike in uncircumscribed environments, defeated groups can flee to new territories; in circumscribed areas, defeated populations cannot escape and have to surrender. This initially takes the form of tribute payment (proto-taxation), and through successive rounds of warfare and conquest, small villages aggregate into chiefdoms, chiefdoms aggregate into kingdoms, and kingdoms aggregate into empires. Carneiro /karˈnejru/ rejects voluntaristic explanations (social contract, automatic agricultural surplus) since they're historically unfounded. Instead, coercion through warfare is the universal mechanism of state formation (pp. 2-5).</w:t>
      </w:r>
    </w:p>
    <w:p w14:paraId="7BB0A23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国家是在环境受限的地区通过战争产生的 。 当农业用地受到地理屏障（山脉、沙漠、海洋）的限制时，人口增长会对有限的资源造成压力 。 在非受限环境中，战败群体可以逃往新领土；而在受限地区，战败人口无法逃脱，必须服从政治从属 。 这种从属最初表现为缴纳贡赋（原始税收），通过连续的战争和征服，小村落聚合成酋邦，酋邦聚合成王国，王国聚合成帝国 。 该理论明确拒绝自愿论解释（社会契约、农业剩余自动论），认为它们缺乏历史依据，并主张通过战争的强制是国家形成的普遍机制 。</w:t>
      </w:r>
    </w:p>
    <w:p w14:paraId="66FBA2EB">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2369368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Environmental circumscription creates fixed boundaries for agricultural land, preventing territorial expansion; (2) Population growth increases human density and resource competition; (3) Warfare is made for scarce agricultural land, intensifying in frequency and severity; (4) Defeated populations, unable to flee due to geographic barriers, must surrender;(5) Surrender manifests as tribute/taxation rather than displacement; (6) Winners absorb defeated villages, and become larger political units; (7) Repeated cycles of warfare and incorporation progressively make villages aggregate into chiefdoms, chiefdoms into kingdoms, and kingdoms into multi-valley empires; (8) Administrative complexity increases as territorial units expand, requiring bureaucratic institutions. A supplementary mechanism involves “resource concentration” or “social circumscription”: even without strict environmental barriers, the concentration of valuable resources (like várzea/vaːrzɛa/ land along the Amazon) creates similar situation by making certain areas disproportionately attractive, thus intensifying competition and warfare in those zones (pp. 3-6).</w:t>
      </w:r>
    </w:p>
    <w:p w14:paraId="033258EE">
      <w:pPr>
        <w:keepNext w:val="0"/>
        <w:keepLines w:val="0"/>
        <w:widowControl/>
        <w:suppressLineNumbers w:val="0"/>
        <w:spacing w:before="0" w:beforeAutospacing="1" w:after="200" w:afterAutospacing="0" w:line="273" w:lineRule="auto"/>
        <w:ind w:left="0" w:right="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环境限制为农业用地划定了固定边界，阻止了领土扩张；人口增长增加了人口密度和资源竞争；针对稀缺农地的战争爆发，且频率和烈度加剧；战败人口因地理屏障无法逃离，必须屈服于胜利者；</w:t>
      </w:r>
      <w:r>
        <w:rPr>
          <w:rFonts w:hint="eastAsia" w:asciiTheme="minorEastAsia" w:hAnsiTheme="minorEastAsia" w:eastAsiaTheme="minorEastAsia" w:cstheme="minorEastAsia"/>
          <w:color w:val="auto"/>
          <w:sz w:val="24"/>
          <w:szCs w:val="24"/>
        </w:rPr>
        <w:t>政治从属表现为贡赋/税收而非驱逐；</w:t>
      </w:r>
      <w:r>
        <w:rPr>
          <w:rFonts w:hint="eastAsia" w:asciiTheme="minorEastAsia" w:hAnsiTheme="minorEastAsia" w:eastAsiaTheme="minorEastAsia" w:cstheme="minorEastAsia"/>
          <w:kern w:val="0"/>
          <w:sz w:val="24"/>
          <w:szCs w:val="24"/>
          <w:lang w:val="en-US" w:eastAsia="zh-CN" w:bidi="ar"/>
        </w:rPr>
        <w:t>成功的征服将战败村落纳入更大的政治单位；</w:t>
      </w:r>
      <w:r>
        <w:rPr>
          <w:rFonts w:hint="eastAsia" w:asciiTheme="minorEastAsia" w:hAnsiTheme="minorEastAsia" w:eastAsiaTheme="minorEastAsia" w:cstheme="minorEastAsia"/>
          <w:color w:val="auto"/>
          <w:sz w:val="24"/>
          <w:szCs w:val="24"/>
        </w:rPr>
        <w:t>反复的战争和合并循环逐步将村落聚合成酋邦，酋邦聚合成流域王国，王国聚合成跨流域帝国；</w:t>
      </w:r>
      <w:r>
        <w:rPr>
          <w:rFonts w:hint="eastAsia" w:asciiTheme="minorEastAsia" w:hAnsiTheme="minorEastAsia" w:eastAsiaTheme="minorEastAsia" w:cstheme="minorEastAsia"/>
          <w:kern w:val="0"/>
          <w:sz w:val="24"/>
          <w:szCs w:val="24"/>
          <w:lang w:val="en-US" w:eastAsia="zh-CN" w:bidi="ar"/>
        </w:rPr>
        <w:t>随着领土单位扩张，行政复杂性增加，需要官僚机构。</w:t>
      </w:r>
    </w:p>
    <w:p w14:paraId="761EC976">
      <w:pPr>
        <w:spacing w:before="0" w:after="100" w:line="259"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一个补充机制涉及“资源集中”或“社会限制”：即使没有严格的环境屏障，宝贵资源的集中（如亚马逊沿岸的肥沃冲积土）也会产生类似的动力，使某些区域格外具有吸引力，从而加剧这些区域的竞争和战争 。</w:t>
      </w:r>
    </w:p>
    <w:p w14:paraId="4E952F0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7CCD048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Carneiro /karˈnejru/ compared archaeological and historical evidence from multiple world regions. Primary cases: (1) Coastal Peru /pəˈruː/: 78 short, narrow valleys circumscribed by mountains, desert, and sea, providing the most detailed reconstruction of state formation through warfare and political incorporation (pp. 4-5);(2) Amazonia /əˌmæˈzoʊniə/: a contrasting case of uncircumscribed environment where villages remained autonomous, showing that warfare alone is insufficient without circumscription (pp. 4); (3) The Nile /naɪ/ Valley, Tigris/ˈtaɪɡrɪs/-Euphrates/ˈjuːfreɪtiːz/ (Mesopotamia/ˌmes.ə.pəˈteɪ.mi.ə/), Indus Valley, Yellow River valley, and Mesoamerica/"mesəʊəˈmerɪkə"/: parallel cases where circumscription and warfare produced pristine states (pp. 3-4). Ethnographic data from the Yanomamö of Venezuela /ˌven.əˈzweɪ.lə/ illustrates the social circumscription mechanism through resource concentration effects (pp. 6-7).</w:t>
      </w:r>
      <w:r>
        <w:rPr>
          <w:rFonts w:hint="eastAsia" w:ascii="Times New Roman Regular" w:hAnsi="Times New Roman Regular" w:eastAsia="宋体" w:cs="Times New Roman Regular"/>
          <w:color w:val="auto"/>
          <w:sz w:val="24"/>
          <w:szCs w:val="24"/>
          <w:lang w:val="en-US" w:eastAsia="zh-CN"/>
        </w:rPr>
        <w:t xml:space="preserve"> </w:t>
      </w:r>
      <w:r>
        <w:rPr>
          <w:rFonts w:hint="default" w:ascii="Times New Roman Regular" w:hAnsi="Times New Roman Regular" w:cs="Times New Roman Regular" w:eastAsiaTheme="minorEastAsia"/>
          <w:color w:val="auto"/>
          <w:sz w:val="24"/>
          <w:szCs w:val="24"/>
        </w:rPr>
        <w:t>Evidence includes archaeological remains (earthworks, fortifications, settlement patterns), Spanish colonial accounts, and early anthropological observations. Variables are measured qualitatively through presence/absence of geographic barriers, evidence of warfare (weapons, defensive structures, skeletal trauma), and indicators of political hierarchy (differential burial practices, monumental architecture, administrative records) (pp. 3-7).</w:t>
      </w:r>
    </w:p>
    <w:p w14:paraId="1EB594E5">
      <w:pPr>
        <w:spacing w:before="0" w:after="100" w:line="259"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kern w:val="0"/>
          <w:sz w:val="24"/>
          <w:szCs w:val="24"/>
          <w:lang w:val="en-US" w:eastAsia="zh-CN" w:bidi="ar"/>
        </w:rPr>
        <w:t>采用了来自多个世界区域的比较考古学和历史证据。主要案例包括：（1）秘鲁沿海：78个短而窄的山谷，受山脉、沙漠和海洋限制，提供了通过战争和政治合并形成国家的最详细重建；(2)亚马逊地区：作为非受限环境的对比案例，尽管有战争，村落仍保持自治，证明仅有战争而无限制是不够的；(3)尼罗河流域、底格里斯-幼发拉底河（美索不达米亚）、印度河流域、黄河流域和中美洲：被引用为限制和战争产生原生国家的平行案例。来自委内瑞拉Yanomamö人的民族志数据说明了通过资源集中效应产生的社会限制机制。</w:t>
      </w:r>
      <w:r>
        <w:rPr>
          <w:rFonts w:hint="eastAsia" w:asciiTheme="minorEastAsia" w:hAnsiTheme="minorEastAsia" w:eastAsiaTheme="minorEastAsia" w:cstheme="minorEastAsia"/>
          <w:color w:val="auto"/>
          <w:sz w:val="24"/>
          <w:szCs w:val="24"/>
        </w:rPr>
        <w:t>证据包括考古遗存（土方工程、防御工事、聚落形态）、西班牙殖民记录和早期人类学观察 。 变量通过地理屏障的存在/缺失、战争证据（武器、防御结构、骨骼创伤）以及政治等级指标（差异化墓葬、纪念性建筑、行政记录）进行定性测量 。</w:t>
      </w:r>
    </w:p>
    <w:p w14:paraId="0AAAAEBE">
      <w:pPr>
        <w:spacing w:before="0" w:after="100" w:line="259" w:lineRule="auto"/>
        <w:rPr>
          <w:rFonts w:hint="default" w:ascii="Times New Roman Regular" w:hAnsi="Times New Roman Regular" w:cs="Times New Roman Regular" w:eastAsiaTheme="minorEastAsia"/>
          <w:color w:val="auto"/>
          <w:sz w:val="24"/>
          <w:szCs w:val="24"/>
        </w:rPr>
      </w:pPr>
    </w:p>
    <w:p w14:paraId="764C240B">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3B790AE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Carneiro /karˈnejru/ employs comparative historical analysis. He compares circumscribed environments (coastal Peru, Nile Valley, Mesopotamia) where states emerged, with uncircumscribed environments (Amazonia, eastern North American woodlands) where states did not emerge, despite similar agricultural practices and warfare. This quasi-experimental design isolates environmental circumscription as the key differentiating factor. The theory is also tested against “deviant cases”: areas with characteristics of civilization but do not obey the circumscription rule (Classic Maya, Hwang Valley of China, Petén/peˈten/ region), which he explains through the supplementary mechanism of social circumscription.</w:t>
      </w:r>
    </w:p>
    <w:p w14:paraId="790189F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Key assumptions include</w:t>
      </w:r>
      <w:r>
        <w:rPr>
          <w:rFonts w:hint="default" w:ascii="Times New Roman Regular" w:hAnsi="Times New Roman Regular" w:cs="Times New Roman Regular" w:eastAsiaTheme="minorEastAsia"/>
          <w:color w:val="auto"/>
          <w:sz w:val="24"/>
          <w:szCs w:val="24"/>
          <w:lang w:val="en-US"/>
        </w:rPr>
        <w:t xml:space="preserve">: </w:t>
      </w:r>
      <w:r>
        <w:rPr>
          <w:rFonts w:hint="default" w:ascii="Times New Roman Regular" w:hAnsi="Times New Roman Regular" w:cs="Times New Roman Regular" w:eastAsiaTheme="minorEastAsia"/>
          <w:color w:val="auto"/>
          <w:sz w:val="24"/>
          <w:szCs w:val="24"/>
        </w:rPr>
        <w:t>(1) warfare is universal among agricultural societies; (2) population naturally tends to grow; (3) humans prefer to remain in productive areas rather than migrate to marginal lands; (4) defeated groups prefer political subordination rather than extinction. This article is primarily deductive, deriving predictions from ecological constraints and testing them against the historical record (pp. 3-7).</w:t>
      </w:r>
    </w:p>
    <w:p w14:paraId="0C20577D">
      <w:pPr>
        <w:keepNext w:val="0"/>
        <w:keepLines w:val="0"/>
        <w:widowControl/>
        <w:suppressLineNumbers w:val="0"/>
        <w:spacing w:before="0" w:beforeAutospacing="1" w:after="200" w:afterAutospacing="0" w:line="273" w:lineRule="auto"/>
        <w:ind w:left="0" w:right="0"/>
        <w:jc w:val="left"/>
        <w:rPr>
          <w:rFonts w:hint="eastAsia" w:ascii="ＭＳ 明朝" w:hAnsi="ＭＳ 明朝" w:eastAsia="ＭＳ 明朝" w:cs="ＭＳ 明朝"/>
          <w:kern w:val="0"/>
          <w:sz w:val="24"/>
          <w:szCs w:val="24"/>
          <w:lang w:val="en-US" w:eastAsia="zh-CN" w:bidi="ar"/>
        </w:rPr>
      </w:pPr>
      <w:r>
        <w:rPr>
          <w:rFonts w:hint="eastAsia" w:ascii="ＭＳ 明朝" w:hAnsi="ＭＳ 明朝" w:eastAsia="ＭＳ 明朝" w:cs="ＭＳ 明朝"/>
          <w:kern w:val="0"/>
          <w:sz w:val="24"/>
          <w:szCs w:val="24"/>
          <w:lang w:val="en-US" w:eastAsia="zh-CN" w:bidi="ar"/>
        </w:rPr>
        <w:t>采用比较历史分析，使用差异法 。分析策略比较了产生国家的受限环境（秘鲁沿海、尼罗河流域、美索不达米亚）与未产生国家的非受限环境（亚马逊、北美东部林地），尽管它们有类似的农业实践和战争 。 这种准实验设计将环境限制分离为关键的区分因素 。 该理论也针对</w:t>
      </w:r>
      <w:r>
        <w:rPr>
          <w:rFonts w:hint="default" w:ascii="Times New Roman Regular" w:hAnsi="Times New Roman Regular" w:eastAsia="Times New Roman Regular" w:cs="Times New Roman Regular"/>
          <w:kern w:val="0"/>
          <w:sz w:val="24"/>
          <w:szCs w:val="24"/>
          <w:lang w:val="en-US" w:eastAsia="zh-CN" w:bidi="ar"/>
        </w:rPr>
        <w:t>“</w:t>
      </w:r>
      <w:r>
        <w:rPr>
          <w:rFonts w:hint="eastAsia" w:ascii="ＭＳ 明朝" w:hAnsi="ＭＳ 明朝" w:eastAsia="ＭＳ 明朝" w:cs="ＭＳ 明朝"/>
          <w:kern w:val="0"/>
          <w:sz w:val="24"/>
          <w:szCs w:val="24"/>
          <w:lang w:val="en-US" w:eastAsia="zh-CN" w:bidi="ar"/>
        </w:rPr>
        <w:t>偏差案例</w:t>
      </w:r>
      <w:r>
        <w:rPr>
          <w:rFonts w:hint="default" w:ascii="Times New Roman Regular" w:hAnsi="Times New Roman Regular" w:eastAsia="Times New Roman Regular" w:cs="Times New Roman Regular"/>
          <w:kern w:val="0"/>
          <w:sz w:val="24"/>
          <w:szCs w:val="24"/>
          <w:lang w:val="en-US" w:eastAsia="zh-CN" w:bidi="ar"/>
        </w:rPr>
        <w:t>”</w:t>
      </w:r>
      <w:r>
        <w:rPr>
          <w:rFonts w:hint="eastAsia" w:ascii="ＭＳ 明朝" w:hAnsi="ＭＳ 明朝" w:eastAsia="ＭＳ 明朝" w:cs="ＭＳ 明朝"/>
          <w:kern w:val="0"/>
          <w:sz w:val="24"/>
          <w:szCs w:val="24"/>
          <w:lang w:val="en-US" w:eastAsia="zh-CN" w:bidi="ar"/>
        </w:rPr>
        <w:t>进行了检验：即具有文明特征但明显不符合限制规则的地区（古典玛雅、中国黄河流域、佩滕地区），</w:t>
      </w:r>
      <w:r>
        <w:rPr>
          <w:rFonts w:hint="default" w:ascii="Times New Roman Regular" w:hAnsi="Times New Roman Regular" w:eastAsia="Times New Roman Regular" w:cs="Times New Roman Regular"/>
          <w:kern w:val="0"/>
          <w:sz w:val="24"/>
          <w:szCs w:val="24"/>
          <w:lang w:val="en-US" w:eastAsia="zh-CN" w:bidi="ar"/>
        </w:rPr>
        <w:t xml:space="preserve">Carneiro </w:t>
      </w:r>
      <w:r>
        <w:rPr>
          <w:rFonts w:hint="eastAsia" w:ascii="ＭＳ 明朝" w:hAnsi="ＭＳ 明朝" w:eastAsia="ＭＳ 明朝" w:cs="ＭＳ 明朝"/>
          <w:kern w:val="0"/>
          <w:sz w:val="24"/>
          <w:szCs w:val="24"/>
          <w:lang w:val="en-US" w:eastAsia="zh-CN" w:bidi="ar"/>
        </w:rPr>
        <w:t>通过社会限制这一补充机制来解释 。</w:t>
      </w:r>
    </w:p>
    <w:p w14:paraId="5BCB2FC8">
      <w:pPr>
        <w:keepNext w:val="0"/>
        <w:keepLines w:val="0"/>
        <w:widowControl/>
        <w:suppressLineNumbers w:val="0"/>
        <w:spacing w:before="0" w:beforeAutospacing="1" w:after="200" w:afterAutospacing="0" w:line="273" w:lineRule="auto"/>
        <w:ind w:left="0" w:right="0"/>
        <w:jc w:val="left"/>
      </w:pPr>
      <w:r>
        <w:rPr>
          <w:rFonts w:hint="eastAsia" w:ascii="ＭＳ 明朝" w:hAnsi="ＭＳ 明朝" w:eastAsia="ＭＳ 明朝" w:cs="ＭＳ 明朝"/>
          <w:kern w:val="0"/>
          <w:sz w:val="24"/>
          <w:szCs w:val="24"/>
          <w:lang w:val="en-US" w:eastAsia="zh-CN" w:bidi="ar"/>
        </w:rPr>
        <w:t>关键假设</w:t>
      </w:r>
      <w:r>
        <w:rPr>
          <w:rFonts w:hint="default" w:ascii="Times New Roman Regular" w:hAnsi="Times New Roman Regular" w:eastAsia="Times New Roman Regular" w:cs="Times New Roman Regular"/>
          <w:kern w:val="0"/>
          <w:sz w:val="24"/>
          <w:szCs w:val="24"/>
          <w:lang w:val="en-US" w:eastAsia="zh-CN" w:bidi="ar"/>
        </w:rPr>
        <w:t xml:space="preserve">: (1) </w:t>
      </w:r>
      <w:r>
        <w:rPr>
          <w:rFonts w:hint="eastAsia" w:ascii="ＭＳ 明朝" w:hAnsi="ＭＳ 明朝" w:eastAsia="ＭＳ 明朝" w:cs="ＭＳ 明朝"/>
          <w:kern w:val="0"/>
          <w:sz w:val="24"/>
          <w:szCs w:val="24"/>
          <w:lang w:val="en-US" w:eastAsia="zh-CN" w:bidi="ar"/>
        </w:rPr>
        <w:t>战争在农业社会中是普遍的；</w:t>
      </w:r>
      <w:r>
        <w:rPr>
          <w:rFonts w:hint="default" w:ascii="Times New Roman Regular" w:hAnsi="Times New Roman Regular" w:eastAsia="Times New Roman Regular" w:cs="Times New Roman Regular"/>
          <w:kern w:val="0"/>
          <w:sz w:val="24"/>
          <w:szCs w:val="24"/>
          <w:lang w:val="en-US" w:eastAsia="zh-CN" w:bidi="ar"/>
        </w:rPr>
        <w:t xml:space="preserve">(2) </w:t>
      </w:r>
      <w:r>
        <w:rPr>
          <w:rFonts w:hint="eastAsia" w:ascii="ＭＳ 明朝" w:hAnsi="ＭＳ 明朝" w:eastAsia="ＭＳ 明朝" w:cs="ＭＳ 明朝"/>
          <w:kern w:val="0"/>
          <w:sz w:val="24"/>
          <w:szCs w:val="24"/>
          <w:lang w:val="en-US" w:eastAsia="zh-CN" w:bidi="ar"/>
        </w:rPr>
        <w:t>人口有自然增长的趋势；</w:t>
      </w:r>
      <w:r>
        <w:rPr>
          <w:rFonts w:hint="default" w:ascii="Times New Roman Regular" w:hAnsi="Times New Roman Regular" w:eastAsia="Times New Roman Regular" w:cs="Times New Roman Regular"/>
          <w:kern w:val="0"/>
          <w:sz w:val="24"/>
          <w:szCs w:val="24"/>
          <w:lang w:val="en-US" w:eastAsia="zh-CN" w:bidi="ar"/>
        </w:rPr>
        <w:t xml:space="preserve">(3) </w:t>
      </w:r>
      <w:r>
        <w:rPr>
          <w:rFonts w:hint="eastAsia" w:ascii="ＭＳ 明朝" w:hAnsi="ＭＳ 明朝" w:eastAsia="ＭＳ 明朝" w:cs="ＭＳ 明朝"/>
          <w:kern w:val="0"/>
          <w:sz w:val="24"/>
          <w:szCs w:val="24"/>
          <w:lang w:val="en-US" w:eastAsia="zh-CN" w:bidi="ar"/>
        </w:rPr>
        <w:t>人类倾向于留在生产力高的地区，而非迁移到边缘土地 ；</w:t>
      </w:r>
      <w:r>
        <w:rPr>
          <w:rFonts w:hint="default" w:ascii="Times New Roman Regular" w:hAnsi="Times New Roman Regular" w:eastAsia="Times New Roman Regular" w:cs="Times New Roman Regular"/>
          <w:kern w:val="0"/>
          <w:sz w:val="24"/>
          <w:szCs w:val="24"/>
          <w:lang w:val="en-US" w:eastAsia="zh-CN" w:bidi="ar"/>
        </w:rPr>
        <w:t xml:space="preserve">(4) </w:t>
      </w:r>
      <w:r>
        <w:rPr>
          <w:rFonts w:hint="eastAsia" w:ascii="ＭＳ 明朝" w:hAnsi="ＭＳ 明朝" w:eastAsia="ＭＳ 明朝" w:cs="ＭＳ 明朝"/>
          <w:kern w:val="0"/>
          <w:sz w:val="24"/>
          <w:szCs w:val="24"/>
          <w:lang w:val="en-US" w:eastAsia="zh-CN" w:bidi="ar"/>
        </w:rPr>
        <w:t>对于战败群体而言，政治从属优于灭绝 。</w:t>
      </w:r>
      <w:bookmarkStart w:id="0" w:name="_GoBack"/>
      <w:bookmarkEnd w:id="0"/>
      <w:r>
        <w:rPr>
          <w:rFonts w:hint="eastAsia" w:ascii="ＭＳ 明朝" w:hAnsi="ＭＳ 明朝" w:eastAsia="ＭＳ 明朝" w:cs="ＭＳ 明朝"/>
          <w:kern w:val="0"/>
          <w:sz w:val="24"/>
          <w:szCs w:val="24"/>
          <w:lang w:val="en-US" w:eastAsia="zh-CN" w:bidi="ar"/>
        </w:rPr>
        <w:t>该方法主要是演绎的，从生态约束中推导出预测，并根据历史记录进行检验 。</w:t>
      </w:r>
    </w:p>
    <w:p w14:paraId="4F8C9FCF">
      <w:pPr>
        <w:spacing w:before="0" w:after="100" w:line="259" w:lineRule="auto"/>
        <w:rPr>
          <w:rFonts w:hint="default" w:ascii="Times New Roman Regular" w:hAnsi="Times New Roman Regular" w:cs="Times New Roman Regular" w:eastAsiaTheme="minorEastAsia"/>
          <w:color w:val="auto"/>
          <w:sz w:val="24"/>
          <w:szCs w:val="24"/>
        </w:rPr>
      </w:pPr>
    </w:p>
    <w:p w14:paraId="0D03EF4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7846D58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When I leared this aticle in previous course, it was classified as a political anthropology work and I thought it was important to anthropology, and meantime it contributes a lot to state formation theory. (1) It provides systematic ecological/materialist framework of state origins, moving forward from voluntaristic explanations (social contract theory, the “automatic” theory of agricultural surplus), which lacked empirical support.第一，它提供了第一个系统的国家起源生态/唯物主义理论，使该领域摆脱了缺乏实证支持的自愿论解释（社会契约论、“自动”农业剩余论）。  (2) It establishes warfare as a central mechanism in political evolution, different from earlier assumptions that states arose peacefully through functional necessity, so it provides an alternative explanation.第二，它确立了战争作为政治演进的核心机制，反驳了早期关于国家通过功能性需求和平产生的假设 。 (3) It introduces and highlights the concept of “circumscription”. It makes a general, applicable theoretical principle across diverse geographic and cultural contexts, explaining why pristine states emerged in only a few world regions. 第三，它引入了“限制（circumscription）”概念作为适用于不同地理和文化背景的一般理论原则，为为何原生国家仅在少数几个世界区域独立出现提供了简洁的解释 。 What impresses me is: this theory generates testable predictions that can be evaluated against archaeological evidence, which is good in methodology. The author synthesizes anthropological, archaeological, and historical evidence into a unified theoretical framework that has great influence even till now. I remember that Tilly’s famous warfare-state-making theory is also under his influence. 第四，该理论生成了可对照考古证据进行评估的可测试预测，推动国家形成研究向科学方法论发展 。 第五，它将人类学、考古学和历史证据综合成一个统一的理论框架，影响了随后的学术研究，包括 Tilly 的战争制造国家论点以及最近关于地理和政治发展的研究 。</w:t>
      </w:r>
    </w:p>
    <w:p w14:paraId="6619E84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355A365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Measurement challenges: “circumscription” and “population pressure” are difficult to operationalize and measure precisely. The theory relies heavily on qualitative assessment of geographic constraints. 测量挑战：“限制”和“人口压力”难以精确操作化和测量，使得严格的实证检验存在问题 ；该理论严重依赖对地理约束的定性评估 。(2) Endogeneity: population growth and warfare intensity may themselves be consequences rather than causes of political centralization, creating potential reverse causality. 内生性问题：人口增长和战争强度本身可能是政治集权化的后果而非原因，存在潜在的反向因果关系 。 (3) The theory explains why states emerged in circumscribed areas, but has not explained why some circumscribed areas developed states earlier or more extensively than others. It can not account for different state forms or trajectories. 变异解释不完整：该理论解释了为什么国家在受限地区出现，但没有解释为什么某些受限地区比其他地区更早或更广泛地发展出国家 ；它无法解释不同的国家形式或轨迹。(4) It may overemphasizes external factors. It put most of the focus on environmental factors, and may neglect internal social dynamics, ideological factors, and agency in state formation. 过度强调外部因素：专注于环境决定论忽视了国家形成中的内部社会动力、意识形态因素和能动性 。Overall, the theory describes conditions for state emergence instead of the dynamics of state consolidation, fragmentation, or transformation over time.其实还有：（5）对反证的反驳有限：一些学者质疑古典玛雅是否真的缺乏环境限制，社会限制机制可能过于弹性，可能事后解释任何案例 。(6) 静态：该理论描述了国家出现的条件，但没有描述国家随时间巩固、分裂或转型的动态过程。</w:t>
      </w:r>
    </w:p>
    <w:p w14:paraId="4D3175B1">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565A4CA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Use geographic information systems (GIS) to measure circumscription indices and correlate with archaeological evidence of state formation timing and intensity. 使用地理信息系统 (GIS) 进行定量测试，测量限制指数并与世界各地国家形成的时间和强度的考古证据相关联 。(2) Examine whether the theory can be applied to afterwards state formation, where states emerge through contact with or conquest by existing states. 考察该理论对次生国家形成的适用性，即国家是通过与现有国家的接触或征服而非原生出现的 。(3) Investigate the interaction between circumscription and other variables like technological change, trade networks, ideological innovation to expalain variation among circumscribed environments. 调查限制与其他变量（技术变革、贸易网络、意识形态创新）之间的相互作用，以解释受限环境中的差异 。(4) Extende the framework to explain state collapse and fragmentation. Maybe the reverse conditions (population decline, reduced circumscription) predict political decentralization? 扩展框架以解释国家崩溃和分裂：反向条件（人口下降、技术变革导致的限制减少）是否预测政治去中心化？(5)Integrate this external warfare mechanism with theories of internal hierarchy and class formation, like how do elites emerge and consolidate power after military conquest.将 Carneiro 的外部战争机制与内部等级制度和阶级形成的理论整合（例如，军事征服后精英如何出现并巩固权力？）。 (6) Compare circumscription effects across different agricultural systems (Mayshar, Joram, Omer Moav, and Luigi Pascali. "The origin of the state: Land productivity or appropriability?), and test whether circumscription predicts not just state emergence but also state durability and institutional form.比较不同农业系统（依赖灌溉与雨养）的限制效应及其对国家结构的影响 。(8) 测试限制是否不仅预测国家的出现，还预测国家的持久性和制度形式 。</w:t>
      </w:r>
    </w:p>
    <w:p w14:paraId="6244C624">
      <w:pP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br w:type="page"/>
      </w:r>
    </w:p>
    <w:p w14:paraId="126A74F6">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Two</w:t>
      </w:r>
    </w:p>
    <w:p w14:paraId="0D4FE8F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6AC3290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Dictatorship, Democracy, and Development</w:t>
      </w:r>
    </w:p>
    <w:p w14:paraId="3685057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79C7772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Mancur Olson</w:t>
      </w:r>
    </w:p>
    <w:p w14:paraId="1CA78B51">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1993</w:t>
      </w:r>
    </w:p>
    <w:p w14:paraId="09B2153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1F41DA9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The emergence and provision of public goods, particularly peaceful order, in large populations (why do societies have government rather than anarchy); (2) Economic development outcomes, including investment rates, capital accumulation, property rights security, and contract enforcement (what explains variation in economic performance across regime types); (3) The transition from autocracy to democracy (under what conditions does democratic government emerge). The unifying theme is explaining how different political arrangements (anarchy, autocracy, democracy) affect the provision of public goods and conditions for economic prosperity.</w:t>
      </w:r>
    </w:p>
    <w:p w14:paraId="737B969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涉及多个关于经济和政治发展的相关因变量：(1) 大规模人口中公共产品（特别是和平秩序）的出现和提供（为什么社会有政府而非无政府状态）；(2) 经济发展结果，包括投资率、资本积累、产权安全和合同执行（什么解释了不同政体间经济表现的差异）；(3) 从专制向民主的过渡（民主政府在什么条件下出现）。 统一的主题是解释不同的政治安排（无政府状态、专制、民主）如何影响公共产品的提供和经济繁荣的条件 。Olson特别关注解释为何民主国家往往比专制国家实现更高水平的持续经济发展 。</w:t>
      </w:r>
    </w:p>
    <w:p w14:paraId="07D53E96">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2E32DE9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primary independent variable is the type of ruler or ruling arrangement, varying along a spectrum: (1) Roving bandit: predatory actors who plunder without territorial attachment, providing no public goods and destroying incentives for production; (2) Stationary bandit/autocrat: a ruler with monopoly power over a fixed territory who extracts through taxation but has an “encompassing interest” in the territory’s productivity; (3) Democracy: government accountable to a majority (or coalition) that both controls taxation and earns market income from the economy. A critical secondary independent variable is the time horizon of rulers, whether they take a longterm or shortterm view of their tenure, which affects their incentives regarding property rights and confiscation. The theory predicts that as rulers’ stakes in society become more “encompassing” (larger share of total social output), they have stronger incentives to provide public goods and limit predation (pp. 2-5).</w:t>
      </w:r>
    </w:p>
    <w:p w14:paraId="7867EEF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主要自变量是统治者或统治安排的类型，概念化为一个谱系：(1) 流寇（Roving bandit）：掠夺性行为者，无领土依附，四处掠夺，不提供公共产品并破坏生产激励 ；(2) 坐寇/独裁者（Stationary bandit/autocrat）：对固定领土拥有垄断权力的统治者，通过税收榨取，但对领土的生产力有“共容利益（encompassing interest）” ；(3) 民主：对多数人（或联盟）负责的政府，既控制税收又从经济中获得市场收入 。 一个关键的次要自变量是统治者的时间视野（time horizon），即他们对任期持长期还是短期看法，这影响他们对产权和没收的激励 。 理论预测，随着统治者在社会中的利益变得更加“共容”（占社会总产出的份额更大），他们有更强的动力提供公共产品并限制掠夺 。</w:t>
      </w:r>
    </w:p>
    <w:p w14:paraId="271B7A0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4DB4056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Olson conceptualizes the state as emerging from the rational self-interest of violent actors rather than from social contracts or voluntary agreements. The critical transition is from “roving banditry” (uncoordinated competitive theft) to “stationary banditry” (monopolized, rationalized theft through taxation). A roving bandit becomes a stationary bandit, and thus creates a state when he “seizes a given domain, makes himself the ruler of that domain, and provides a peaceful order and other public goods for its inhabitants” (p. 3). This transformation occurs because stationary banditry is more profitable than roving banditry. By monopolizing theft and protecting subjects from other predators, the autocrat increases total production and thus his own tax revenue. The state is defined functionally by: (1) territorial monopoly on organized violence/extraction; (2) provision of domestic order and other public goods; (3) regular taxation rather than sporadic plunder. Measurement is qualitative through historical examples, distinguishing regime types by the “encompassing interest” of rulers, the share of social output they receive through all channels. Autocrats receive their share solely through taxation, and democratic majorities receive shares through both taxation and market income, giving them more encompassing interests (pp. 2-5).</w:t>
      </w:r>
    </w:p>
    <w:p w14:paraId="0A8D40B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Olson将国家概念化为源于暴力行为者的理性自利，而非社会契约或自愿协议 。 关键的转变是从“流寇行为”（无协调的竞争性盗窃）到“坐寇行为”（通过税收进行的垄断化、理性化盗窃）。 当流寇“占领一个特定的领域，使自己成为该领域的统治者，并为其居民提供和平秩序和其他公共产品”时，他就变成了坐寇，从而创建了国家 。 这种转变发生是因为坐寇比流寇更有利可图：通过垄断盗窃并保护臣民免受其他掠夺者的侵害，独裁者增加了总产量，从而增加了自己的税收收入 。 因此，国家在功能上定义为：(1) 对有组织暴力/榨取的领土垄断 ；(2) 提供国内秩序和其他公共产品；(3) 定期税收而非零星掠夺 。 通过历史示例进行定性测量，根据统治者的“共容利益”（他们通过所有渠道获得的社会产出份额）来区分政体类型 。 独裁者仅通过税收获得份额；民主多数派通过税收和市场收入获得份额，这赋予了他们更广泛的共容利益 。</w:t>
      </w:r>
    </w:p>
    <w:p w14:paraId="3052B53B">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25DB9DEB">
      <w:pPr>
        <w:numPr>
          <w:ilvl w:val="0"/>
          <w:numId w:val="7"/>
        </w:num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States arise not from social contracts but from the rational self-interest of violent entrepreneurs. A roving bandit leader is “led, as though by an invisible hand, to settle down, wear a crown, and replace anarchy with government” because stationary banditry yields higher returns than migratory plunder. (2) While autocrats provide order and public goods due to their encompassing interest, they extract the maximum possible surplus through revenue-maximizing taxation. More critically, autocrats cannot credibly commit to respecting property rights over the long run because there is no independent power to constrain them. Short time horizons (due to succession uncertainty or insecure tenure) lead autocrats to confiscate assets, repudiate debts, and debase currency, destroying incentives for investment. (3) Democracies with encompassing majorities set lower optimal tax rates than autocrats because majorities also earn market income and thus bear more of the deadweight loss from taxation. Moreover, the institutions necessary for lasting democracy (independent judiciary, rule of law, secure succession) are precisely those required for secure property rights. Only in stable democracies can individuals confidently make long-term investments and contracts, explaining why the richest countries are all stable democracies. </w:t>
      </w:r>
    </w:p>
    <w:p w14:paraId="7EA2B5FF">
      <w:pPr>
        <w:numPr>
          <w:ilvl w:val="0"/>
          <w:numId w:val="7"/>
        </w:num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Olson提出了三个相互关联的论点：(1) 国家出现：国家不是源于社会契约，而是源于暴力企业家的理性自利。流寇首领“被一只看不见的手引导着安定下来，戴上皇冠，用政府取代无政府状态”，因为坐寇的回报高于流动掠夺。通过垄断盗窃并提供公共产品，独裁者增加了可供榨取的剩余（“看不见的手的第一重祝福”）。(2) 专制的局限：虽然独裁者因其共容利益而提供秩序和公共产品，但他们通过收入最大化的税收榨取最大可能的剩余。更关键的是，独裁者无法可信地承诺长期尊重产权，因为没有独立的力量来约束他们。短视的时间视野（由于继承不确定或任期不稳）导致独裁者没收资产、废除债务和贬值货币，破坏投资激励。(3) 民主优势：拥有共容利益的民主多数派设定的最佳税率低于独裁者，因为多数派也赚取市场收入，因此承担了更多的税收无谓损失。此外，持久民主所需的制度（独立司法、法治、安全继承）正是产权安全所需的制度。只有在稳定的民主国家，个人才能自信地进行长期投资和签订合同，这解释了为什么最富有的国家都是稳定的民主国家。</w:t>
      </w:r>
    </w:p>
    <w:p w14:paraId="3E8AADC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75C5A28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Encompassing interest rulers who receive a larger share of social output have stronger incentives to provide productivity-enhancing public goods and to limit distortionary extraction. (2) The rational autocrat raises taxes to the revenue-maximizing rate where marginal tax revenue equals zero (further increases reduce output so much that collections fall). This rate is higher than socially optimal. (3) Democratic majorities receive income from both taxation and market earnings, so at the autocrat’s revenue-maximizing rate they would be hurting themselves; their optimal tax rate is necessarily lower. (4) Investment returns and contract enforcement gains more over the long run, but autocrats with short time horizons rationally confiscate rather than wait for future tax revenues. (5) Autocrats cannot credibly commit to respecting property rights because no independent power can enforce such commitments against them; by definition, autocratic power cannot be constrained. (6) The independent judiciary and rule of law required for lasting democracy are identical to the institutions required for secure property rights, creating positive feedback between political and economic development. (7) Democracy emerges when no single group can dominate all others, creating a “balance of power” or stalemate that makes power-sharing the best available option for all (pp. 3-9).</w:t>
      </w:r>
    </w:p>
    <w:p w14:paraId="12EC306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将政体类型与经济结果联系起来的几个机制：(1) 共容利益：获得更大社会产出份额的统治者有更强的动力提供提高生产力的公共产品并限制扭曲性榨取。拥有税收份额 t 的独裁者将提供公共产品，直到花费的最后一美元使国民收入增加 1/t 美元（其份额的倒数）。(2) 收入（最大化税收）：理性的独裁者将税收提高到边际税收收入为零的收入最大化率（进一步增加会减少产出导致征收额下降）。该税率高于社会最优水平。(3) 多数派收入效应：民主多数派从税收和市场收入中获得收入，因此在独裁者的收入最大化税率下，他们会伤害自己 ；他们的最佳税率必然较低。(4) 时间视野：投资回报和合同执行收益在长期内累积；时间视野短的独裁者理理性地选择没收而不是等待未来的税收收入。(5) 承诺问题：独裁者无法可信地承诺尊重产权，因为没有独立权力可以对其强制执行此类承诺 ；根据定义，独裁权力不受约束。(6) 制度互补性：持久民主所需的独立司法和法治与安全产权所需的制度相同，在政治和经济发展之间创造了正反馈。(7) 民主转型机制：当没有任何单一群体可以支配所有其他群体时，民主就会出现，形成“均势”或僵局，使得权力分享成为所有人的最佳选择。</w:t>
      </w:r>
    </w:p>
    <w:p w14:paraId="28C21244">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38C298A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Olson employs historical examples, but they are more like illustrative evidence rather than systematic empirical testing. Cases include: (1) Chinese warlord Feng Yu-hsiang (1920s) (exemplifying stationary banditry), demonstrating that even illegitimate rulers who provide order are preferred to roving bandits (Sheridan 1966) (p. 3). (2) Bourbon France (especially pre-Revolution), Hapsburg Spain, and the Roman Empire, cited as examples of autocrats pushing taxation to revenue-maximizing levels (p. 5). (3) England’s Glorious Revolution (1689): the English civil wars produced no lasting winner; competing Protestant factions and economic interests reached stalemate; the best option for each group was power-sharing through Parliament, independent judiciary, and Bill of Rights (pp. 8-9). This is example of democratic emergence. (5) United States formation: the 13 colonies were different on major issues (slavery, religion), none could dominate others, and internal diversity within colonies reinforced pluralism (p. 9). (6) Economic performance observations that “countries that have reached the highest level of economic development and have enjoyed good economic performance across generations are all stable democracies” and that capital flows from dictatorships to democracies despite higher capital abundance in the latter (p. 7). </w:t>
      </w:r>
    </w:p>
    <w:p w14:paraId="74B3888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Olson使用历史示例作为说明性证据，而非系统的实证检验。 案例包括：(1) 中国军阀冯玉祥（1920年代）：作为坐寇的例证，表明即使是提供秩序的非法统治者也优于流寇 (Sheridan 1966)。(2) 收入最大化专制：波旁王朝时期的法国（特别是大革命前）、哈布斯堡王朝时期的西班牙和罗马帝国被引用为将税收推至收入最大化水平的独裁者。(3) 短期时间视野效应：“历史上君主和独裁者没收财产、废除贷款、伪造铸币和通货膨胀的例子不计其数”。(4) 民主的出现：英国的光荣革命（1689）作为范例：英国内战没有产生持久的赢家；相互竞争的新教派别和经济利益达成僵局；每个群体的最佳选择是通过议会、独立司法和权利法案进行权力分享。(5) 美国的形成：13个殖民地在重大问题（奴隶制、宗教）上存在分歧，没有一个能支配其他，殖民地内部的多样性加强了多元主义。(6) 经济表现：观察到“达到最高经济发展水平并享有跨代良好经济表现的国家都是稳定的民主国家”，以及资本从独裁国家流向民主国家，尽管后者资本更充裕。没有提供正式的数据分析、定量测量或统计检验。No formal data analysis, quantitative measures, or statistical tests are presented.</w:t>
      </w:r>
    </w:p>
    <w:p w14:paraId="79B61A0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5EBA63A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Olson employs deductive theoretical reasoning and historical illustration. The methodology: (1) Deduction from rational choice premises, assuming self-interested actors, roving bandits, stationary bandits, and democratic majorities are all self-interested. (2) Economic research methods, like comparative statics, analyzing how changes in regime type and time horizons affect equilibrium outcomes (public goods provision, tax rates, property rights security). (3) Using Historical cases to illustrate theoretical predictions. Key assumptions include: (1) Rational self-interest: all actors intend to maximize their own welfare; (2) Actors care about social outcomes in proportion to their stake in society; (3) Collective action problems: large groups cannot voluntarily provide public goods, necessitating coercive institutions. </w:t>
      </w:r>
    </w:p>
    <w:p w14:paraId="11FC493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从理性选择前提进行分析推演：假设自利的行动者，推导出流寇、坐寇和民主多数派的行为含义。(2) 比较静态分析：分析政体类型和时间视野的变化如何影响均衡结果（公共产品提供、税率、产权安全）。(3) 历史模式匹配：使用案例来说明理论预测，而不是正式检验假设。 关键假设包括：(1) 理性自利：所有行为者（强盗、独裁者、民主多数派）都最大化自身福利 ；(2) 共容利益逻辑：行为者关注社会结果的程度与其在社会中的利益成正比 ；(3) 垄断暴力的可行性：某些行为者可以成功建立领土控制 ；(4) 集体行动问题：大群体无法自愿提供公共产品，需要强制性制度。Olson明确在不同政体类型中维持相同的动机假设以确保分析的公正性，指出这引入了“一种公正因素：所有政体都假设了相同的动机”。演绎方法生成了可检验的含义（例如，控制公共产品提供后，民主国家的税率应低于专制国家），但论文中未对此进行正式检验。</w:t>
      </w:r>
    </w:p>
    <w:p w14:paraId="4F5D630D">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5D94B38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I learned this article before. It seems that Olson pays particular attention to explaining why democracies tend to achieve higher levels of sustained economic development than authoritarian states. His article is also important since it proposes: (1) A single analytical framework explaining the emergence of government from anarchy (roving to stationary banditry), the logic of autocratic rule (encompassing interest and its limits), and the advantages of democracy (more encompassing interests, credible commitment to property rights). (2) The “stationary bandit” analogy: this influential metaphor conceptualizes the state’s origins in rational predation rather than social contract. The concept has become standard vocabulary in political economy. (3) Connection between regime type and economic development. By analyzing how different political arrangements affect property rights security and investment incentives, Olson provides theoretical explanation for the empirical correlation between democracy and prosperity. (4) Time horizon. The emphasis on rulers’ time horizons and commitment problems influences work on credible commitment and political survival. (5) Explanations for democratic emergence, which helps build a broader framework connecting political competition to economic institutions.</w:t>
      </w:r>
    </w:p>
    <w:p w14:paraId="64CD387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政治发展的统一理论：该论文提供了一个单一的分析框架，解释了政府从无政府状态中的出现（流寇到坐寇）、专制统治的逻辑（共容利益及其限制）以及民主的优势（更广泛的共容利益、对产权的可信承诺）。(2) “坐寇”概念：这一有影响力的隐喻将国家的起源重新概念化为理性掠夺而非社会契约，为国家出现提供了简洁的微观基础。该概念已成为政治经济学中的标准词汇。(3) 将政体类型与经济发展联系起来：通过分析不同政治安排如何影响产权安全和投资激励，Olson 为民主与繁荣之间的实证相关性提供了理论基础。(4) 时间视野分析：对统治者时间视野和承诺问题的强调预示了随后关于可信承诺和政治生存的研究。(5) 解释民主的出现：向民主过渡的“均势”解释虽然不是原创，但被整合到一个连接政治竞争与经济制度的更广泛框架中。(6) 分析的简洁性：通过从单一动机假设（理性自利）推导出多种结果，该理论展示了应用于政治现象的经济推理的解释力。</w:t>
      </w:r>
    </w:p>
    <w:p w14:paraId="1F79E732">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1349C02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(1) The theory assumes unitary actors (single autocrat, homogeneous majority), risks ignoring intra-elite competition, bureaucratic politics, and distributional conflicts that shape actual governance. (2) The model predicts similar behavior from all autocrats, yet autocratic performance varies enormously (developmental states V.S. kleptocracies). The theory cannot explain which autocrats adopt long time horizons or why. (3) The theory does not explain why stalemates sometimes produce democracy and sometimes prolonged conflict or new autocracy. (4) Empirical materials are illustrative, instead of systematic testing. The historical examples are selectively chosen, and there is no comprehensive testing against data. (5) The correlation between democracy and development may reflect reverse causation (development causes democracy). </w:t>
      </w:r>
    </w:p>
    <w:p w14:paraId="2809E1E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该理论假设单一行动者（单一独裁者、同质多数派），忽略了塑造实际治理的精英内部竞争、官僚政治和分配冲突。(2) 该模型预测所有独裁者都有类似行为，但专制表现差异巨大（发展型国家与盗贼统治）；理论无法解释哪些独裁者采取长期视野或原因。(3) 民主转型机制未具体说明：虽然提到了“均势”，但该理论并未解释为什么僵局有时产生民主，有时产生长期冲突或新的专制。(4) 实证支持是说明性的，而非系统的：历史例子是选择性的；没有尝试针对现有数据进行全面测试。(5) 内生性问题：民主与发展之间的相关性可能反映了反向因果关系（发展导致民主）或共同原因，而不是 Olson 提出的机制。(6) 狭隘的民主概念：仅仅将民主视为共容多数派的统治，忽略了可能影响结果的制度差异（总统制与议会制、联邦制与单一制）。(7) 静态分析：该模型比较了不同政体类型的均衡结果，但很少谈及转型动态、制度演变或路径依赖。 改进可能包括：正式建模独裁时间视野的变异；更精确地指定民主转型的条件 ；在大样本国家中进行系统的实证检验；纳入精英内部和分配考量。</w:t>
      </w:r>
    </w:p>
    <w:p w14:paraId="462EDA6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35FDB6E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(1) Explain autocratic variation: what determines whether autocrats adopt long or short time horizons? How might succession rules, external threats, and elite constraints affect autocratic incentives? (2) Do systematic testing. (3) Explain democratic backsliding: if democracies advantage development, what explains democratic erosion? Can narrow groups capture democratic institutions and reduce their encompassing character? </w:t>
      </w:r>
    </w:p>
    <w:p w14:paraId="1C7CBF5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解释专制变异：什么决定了独裁者采取长期还是短期视野？继承规则、外部威胁和精英约束如何影响独裁激励？ (2) 针对世界各地区和时期的国家形成、政体转型和经济发展事件系统地测试该理论。(3) 民主倒退：如果民主有利于发展，什么解释了民主的侵蚀？狭隘群体能否捕获民主制度并降低其共容特征？</w:t>
      </w:r>
    </w:p>
    <w:p w14:paraId="573C3DE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随后的学术研究已经追求了其中许多扩展，比如关于产权、可信承诺和政治制度的工作。</w:t>
      </w:r>
    </w:p>
    <w:p w14:paraId="0A964F86">
      <w:pP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br w:type="page"/>
      </w:r>
    </w:p>
    <w:p w14:paraId="443FED9D">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Three</w:t>
      </w:r>
    </w:p>
    <w:p w14:paraId="26A0E6D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7BF0127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 Deep History of the Earliest States, Chapters 4-5 (“Agro-ecology of the Early State” and “Population Control: Bondage and War”)</w:t>
      </w:r>
    </w:p>
    <w:p w14:paraId="6891AF6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2CB3560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James C. Scott</w:t>
      </w:r>
    </w:p>
    <w:p w14:paraId="65579AB9">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2017</w:t>
      </w:r>
    </w:p>
    <w:p w14:paraId="6BB16C3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1E01DD9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The main dependent variable in these chapters is the formation, maintenance, and expansion of early states, particularly in Mesopotamia/ˌmes.ə.pəˈteɪ.mi.ə/ (explaining how pristine states emerged and what conditions were necessary for their persistence). The dependent variable encompasses several interrelated phenomena: the emergence of territorial political units with tax-collecting apparatuses, the concentration of population and grain production under state control, and the development of coercive institutions that enabled surplus extraction. </w:t>
      </w:r>
    </w:p>
    <w:p w14:paraId="429BA64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主要因变量是早期国家的形成、维持和扩张，特别是美索不达米亚地区。 Scott根本上感兴趣的是解释原生国家是如何出现的，以及它们持久存在需要什么条件。更具体地说，因变量包含几个相互关联的结果：拥有税收机构的领土政治单位的出现、人口和谷物生产在国家控制下的集中、以及使得剩余提取成为可能的强制性制度的发展。 Scott试图解释为什么国家在特定的时间和地点出现，以及为什么它们采取了依赖谷物农业和强迫劳动的“谷物国家”的特定形式。</w:t>
      </w:r>
    </w:p>
    <w:p w14:paraId="64A749A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53C4834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Scott proposes multiple independent variables operating at different levels, but the core factors can be grouped into three main categories: (1) The availability of a grain-and-manpower module, a pre-existing concentration of sedentary cultivators who growed domesticated cereal grains on fertile alluvial or loess soils. Scott argues this module was the “only possible scaffolding available for the design of a state” (p. 1). The ecological conditions of rich, well-watered alluvium were necessary prerequisites. (2) Climate change and environmental aridity during the period from 3500 to 2500 BCE, forcing populations to concentrate around remaining watercourses and reduced alternative subsistence options like foraging and hunting (p. 5-6). (3) The availability and deployment of coerced labor (including slavery, debt bondage, corvée /kɔːˈveɪ/ labor, and forced resettlement). Scott argues that it was essential for extracting surplus from populations that otherwise had no incentive to produce beyond subsistence (p. 36-38).</w:t>
      </w:r>
    </w:p>
    <w:p w14:paraId="7FD09DE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Scott 提出了在不同层面上运作的多个自变量，但核心因果因素可归为三大类：(1) “谷物与人力模块（grain-and-manpower module）”的可用性，即在肥沃的冲积土或黄土上种植驯化谷物的定居耕作者的预先集中。Scott 认为该模块是“国家设计唯一可能的脚手架”。肥沃、水源充足的冲积土的生态条件是必要的先决条件。(2) 公元前 3500 年至 2500 年期间的气候变化和环境干旱，迫使人口集中在剩余的水道周围，并减少了觅食和狩猎等替代生存选择。(3) 强迫劳动（包括奴隶制、债务奴役、徭役和强迫重新安置）的可用性和部署，Scott 认为这对于从原本没有动力生产超过维持生计所需的剩余的人口中提取剩余至关重要。</w:t>
      </w:r>
    </w:p>
    <w:p w14:paraId="66A424D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24A2007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Scott conceptualizes “stateness” as a continuous rather than binary phenomenon, describing it as “a more-or-less proposition rather than strictly either/or” (p. 2-3). He identifies multiple phenomena that, when present together, indicate the existence of a state. These include: a territorial political unit that monopolizes coercive force; strata of officials specialized in tax assessment and collection; executive power over a stratified, hierarchical society with appreciable division of labor (weavers, artisans, priests, metalworkers, clerks, soldiers, cultivators); and potentially an army, defensive walls, a monumental ritual center or palace, and a king or queen (p. 3).</w:t>
      </w:r>
    </w:p>
    <w:p w14:paraId="54C9EAD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Among these, Scott highlights three as most indicative of stateness: territoriality (marked by walls), a specialized tax apparatus (officials engaged in collection), and the capacity for record-keeping (p. 3). He uses the state of Uruk/'uːrʊk/ (firmly established by 3200 BCE) as a paradigmatic case, noting its walls built between 3300 and 3000 BCE, its specialist scribal class, soldiers with armor, standardized weights and measures, and evidence of work gangs mobilized by temples (p. 3-5).</w:t>
      </w:r>
    </w:p>
    <w:p w14:paraId="0BC2591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Scott 将“国家”概念化为一种连续而非二元的现象，将其描述为“一个程度命题，而非严格的非此即彼”。 他确定了多种属性，当这些属性同时存在时，表明国家的存在。 这些包括：垄断强制力量的领土政治单位；专门从事税收评估和征收的官员阶层 ； 对分层、等级社会拥有行政权力，并具有明显的劳动分工（织工、工匠、祭司、金属工人、办事员、士兵、耕作者）； 以及可能拥有的军队、防御墙、纪念性仪式中心或宫殿，以及国王或王后。 在这些特征中，Scott 认为三个最能体现国家性：领土性（以城墙为标志）、专门的税收机构（从事征收的官员）和记录保存能力。 他以公元前 3200 年已稳固建立的乌鲁克（Uruk）为范例，指出其建于公元前 3300 年至 3000 年之间的城墙、其专业的书吏阶层、配备盔甲的士兵、标准化的度量衡以及寺庙动员工作队的证据。 Scott 通过考古证据实证测量国家性：城墙的存在、记录税收和口粮的楔形文字泥板、用于分发谷物口粮的斜边碗，以及描绘戴颈镣战俘的浮雕。Scott measures stateness empirically through archaeological evidence: the presence of city walls, cuneiform tablets recording taxes and rations, beveled-rim bowls used for distributing grain rations, and bas reliefs depicting prisoners of war in neck shackles (p. 4-5, p. 17).</w:t>
      </w:r>
    </w:p>
    <w:p w14:paraId="7E9B4CBB">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35746F0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Only cereal grains (wheat, barley, millet, rice, maize) could serve as the basis for state formation because they alone possess the combination of characteristics required for effective taxation: they are “visible, divisible, assessable, storable, transportable, and rationable” (p. 14). Unlike tubers that can be left underground, legumes/'leɡjuːm/ that ripen continuously, or mobile pastoralist wealth, cereal grains ripen simultaneously above ground at a predictable time, making them uniquely susceptible to state appropriation (p. 14-18). This explains why there have been no “lentil states,” “potato states,” or “cassava/kəˈsɑːvə/ states” in history despite the nutritional adequacy of these crops (p. 14).</w:t>
      </w:r>
    </w:p>
    <w:p w14:paraId="17AAE53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Scott 认为只有谷物（小麦、大麦、小米、稻米、玉米）能够作为国家形成的基础，因为只有它们具备有效征税所需的特征组合：它们是“可见的、可分割的、可评估的、可储存的、可运输的和可定量的”。 与可以留在地下的块茎、连续成熟的豆类或流动的游牧财富不同，谷物在可预测的时间在地上同时成熟，使其独特地易于被国家占有。 这解释了为什么尽管扁豆、土豆或木薯在营养上足够，历史上却没有出现“扁豆国家”、“土豆国家”或“木薯国家”。 </w:t>
      </w:r>
    </w:p>
    <w:p w14:paraId="509DA52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(2) The spatial concentration of population on alluvial /əˈluːviəl/ soils was essential because “archaic states, in the crudest material terms, were all agrarian and required an appropriable surplus of agro-pastoral products to feed nonproducers” (p. 9). Given ancient transport logistics, this meant concentrating cultivators and arable land within the smallest possible radius. “No alluvium, no state” captures this geographic determinism (p. 9). </w:t>
      </w:r>
    </w:p>
    <w:p w14:paraId="1B475D5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Scott 认为人口在冲积土壤上的空间集中是必不可少的，因为“粗略地从物质角度看，古代国家都是农业国家，需要农牧产品的可占用剩余来养活非生产者”。 考虑到古代的运输物流，这意味着将耕作者和可耕地集中在尽可能小的半径内。 “无冲积土，无国家”捕捉了这种地理决定论。</w:t>
      </w:r>
    </w:p>
    <w:p w14:paraId="141F1D5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(3) Coerced labor in various forms was indispensable to early state formation. Without compulsion, peasants with direct access to means of subsistence would not voluntarily produce surplus beyond their needs. This was the logic of what Sahlins /sɑːlɪnz/ called the “domestic mode of production” (p. 37). Only through “corvée labor, forced delivery of grain or other products, debt bondage, serfdom, communal bondage and tribute, and various forms of slavery” could surplus be extracted (p. 37-38). “One is tempted to assert: ‘No slavery, no state’” (p. 41). </w:t>
      </w:r>
    </w:p>
    <w:p w14:paraId="7C9BCC8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Scott 主张各种形式的强迫劳动对于早期国家的形成是不可或缺的。 没有强制，能够直接获得生存手段的农民不会自愿生产超过其需求的剩余——这是萨林斯（Sahlins）所说的“家庭生产模式”的逻辑。 只有通过“徭役、强迫通过谷物或其他产品交付、债务奴役、农奴制、集体奴役和贡赋，以及各种形式的奴隶制”，剩余才能被提取。 Scott 甚至提出“人们不禁要断言：‘无奴隶制，无国家’”。</w:t>
      </w:r>
    </w:p>
    <w:p w14:paraId="5212FFC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6BF0775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Climate-induced concentration: The period from 3500 to 2500 BCE was marked by steep declines in sea level and reduced water volume in the Euphrates/juːˈfreɪtiːz/. This increasing aridity caused rivers to shrink to main channels, forced populations to huddle around remaining watercourses, and caused soil salinization that sharply reduced arable land. The result was that “90 percent of the population lived in settlements of thirty hectares or more”, a concentration that “intensified the grain-and-manpower modules that were ideal for state formation” (p. 6). Climate change thus “delivered, as it were, an assembled population and concentrated cereal grains in an embryonic state space that could not, at that epoch, have been assembled by any other means” (p. 6-7).</w:t>
      </w:r>
    </w:p>
    <w:p w14:paraId="4F842B9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气候诱导的集中：公元前 3500 年至 2500 年期间，海平面急剧下降，幼发拉底河水量减少。日益干旱导致河流缩减为主河道，迫使人口聚集在剩余水道周围，土壤盐碱化急剧减少了可耕地。结果是“90% 的人口生活在 30 公顷或更大的定居点中”，这种集中“强化了适合国家形成的谷物与人力模块”。气候变化因此“可以说，交付了一个聚集的人口和集中的谷物到一个胚胎状态的空间，这是那个时代任何其他手段都无法聚集的”。</w:t>
      </w:r>
    </w:p>
    <w:p w14:paraId="3E935FF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The legibility: Cereal grains create a “legible” population amenable to taxation. Because grains ripen simultaneously above ground, tax collectors can arrive at harvest time and “cut, thresh, and confiscate the entire harvest in one operation” (p. 15). The small grain format allows for precise measurement by weight and volume, enabling standardized accounting. This legibility extends to population through census-taking, which provided “the basis for assigning the head tax and corvée labor, and for conscription” (p. 27-28). Writing emerged primarily as “bookkeeping” for state administration. For more than half a millennium before it was used for literature, mythology, or religious texts (p. 26).Legibility</w:t>
      </w:r>
    </w:p>
    <w:p w14:paraId="5B9FD2F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机制：谷物创造了易于征税的legible人口。由于谷物在地上同时成熟，税收官可以在收获时到达，“一次性切割、脱粒并没收整个收成”。小颗粒形式允许通过重量和体积进行精确测量，从而实现标准化核算。这种易读性延伸到人口普查，提供了“分配人头税和徭役以及征兵的基础”。文字的出现主要是作为国家行政的“簿记”。在用于文学、神话或宗教文本之前超过半个世纪都是如此。</w:t>
      </w:r>
    </w:p>
    <w:p w14:paraId="08CC9F3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City walls served the function of protection and confinement. While protecting against external raiders, walls were “built quite as much to keep Chinese taxpaying cultivators inside as to keep the barbarians (nomads) outside” (p. 23). The so-called anti-Amorite /ˈæməraɪt/(亚摩利人) walls between the Tigris /ˈtaɪɡrɪs/(底格里斯河) and Euphrates/juːˈfreɪtiːz/ may have been “designed more to keep cultivators in the state ‘zone’ than to keep out the Amorites” (p. 23-24).</w:t>
      </w:r>
    </w:p>
    <w:p w14:paraId="38E2C4D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城墙机制：城墙具有保护和禁闭的双重功能。虽然表面上是为了防御外部袭击者，但城墙的建立“既是为了将中国的纳税耕作者留在里面，也是为了将野蛮人（游牧民）挡在外面”。底格里斯河和幼发拉底河之间所谓的反阿摩利人墙可能“更多是为了将耕作者留在国家‘区域’内，而不是为了将阿摩利人挡在外面”。</w:t>
      </w:r>
    </w:p>
    <w:p w14:paraId="629039F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States required labor for tasks that free subjects would resist, like quarrying, mining, canal digging, brick making, galley rowing. War captives provided “a disposable proletariat for the most onerous work,” sparing subjects from degrading drudgery that might “provoke flight or rebellion” while satisfying “military and monumental ambitions” (p. 42, 55). Women captives were valued “at least as much for their reproductive services as for their labor,” helping to alleviate the “otherwise unhealthy effects of concentration and the domus” (p. 53-54).</w:t>
      </w:r>
    </w:p>
    <w:p w14:paraId="3A503B9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强迫劳动机制：国家需要劳动力来完成自由臣民会反抗的任务：采石、采矿、挖运河、制砖、划船。战俘为“最繁重的工作提供了一次性无产阶级”，使臣民免于可能“激起逃跑或反叛”的侮辱性苦役，同时满足“军事和纪念性野心”。女俘虏“至少因其生殖服务而与其劳动一样受到重视”，有助于缓解“集中和家庭生活的其他不健康影响”。</w:t>
      </w:r>
    </w:p>
    <w:p w14:paraId="684B120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(5) The population-replenishment mechanism: Given high mortality rates in early state centers, states faced constant demographic challenges. Wars of capture, forced resettlement, and pro-natalist policies were employed to maintain and expand population. The Uruk population “tripled over two hundred years, an increase unlikely to have come from natural population growth, given the high mortality rates” (p. 4). Bas reliefs depicting prisoners in neck shackles “suggest another means by which the population was augmented” (p. 4-5).</w:t>
      </w:r>
    </w:p>
    <w:p w14:paraId="71A4F95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人口补充机制：鉴于早期国家中心的高死亡率，国家面临持续的人口挑战。捕获战争、强迫重新安置和鼓励生育政策被用来维持和扩充人口。乌鲁克人口“在两百年内增加了三倍，鉴于高死亡率，这种增长不太可能来自自然人口增长”。描绘戴颈镣战俘的浮雕“暗示了人口增加的另一种手段”。</w:t>
      </w:r>
    </w:p>
    <w:p w14:paraId="42AA819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130C42F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Archaeological evidence includes: physical remains of city walls at Uruk (250 hectares, twice the size of classical Athens) (p. 5); cuneiform /ˈkjuːnɪˌfɔːm/ tablets from Uruk Level IV (circa 3,300–3,100 BCE) documenting “barley (as rations and taxes), war captives, male and female slaves” (p. 27); beveled-rim bowls holding approximately two liters of barley, interpreted as standardized ration containers (p. 17); and bas reliefs depicting prisoners in neck fetters (p. 4-5, p. 46-47).</w:t>
      </w:r>
    </w:p>
    <w:p w14:paraId="6C58D3E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考古证据构成了分析的实证骨干。包括：乌鲁克城墙的物理遗存（250 公顷，是古典雅典的两倍大）；来自乌鲁克 IV 层（约公元前 3300–3100 年）的楔形文字泥板，记录了“大麦（作为口粮和税收）、战俘、男奴和女奴” ；容纳约两升大麦的斜边碗，被解释为标准化口粮容器 ；以及描绘戴颈镣战俘的浮雕。</w:t>
      </w:r>
    </w:p>
    <w:p w14:paraId="431F9B5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Textual sources include: the Epic of Gilgamesh /ˌɡɪlɡəˈmɛʃ/ (dating from Ur’s Third Dynasty, circa 2100 BCE) (p. 26); Sumerian/ˈsuːmərɪən/ texts such as “Debate between Sheep and Grain” (p. 1); administrative tablets from Umma (circa 2,255 BCE) detailing census data, tax assessments, and labor assignments (p. 27-28); records of 469 prisoners of war from a “house of prisoners” during the reign of Rim-Anum (circa 1805 BCE) (p. 45-46); utopian hymns that reveal ordinary conditions through their negation (p. 47-49); and the Code of Hammurabi (p. 47).</w:t>
      </w:r>
    </w:p>
    <w:p w14:paraId="58C6D21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文本来源包括：吉尔伽美什史诗（源自乌尔第三王朝，约公元前 2100 年）；苏美尔文本如“羊与粮之争” ；来自 Umma（约公元前 2255 年）的行政泥板，详细记录了人口普查数据、税收评估和劳动力分配 ；Rim-Anum 统治时期（约公元前 1805 年）“战俘之家”中 469 名战俘的记录 ；通过否定揭示普通状况的乌托邦赞美诗 ；以及汉谟拉比法典。</w:t>
      </w:r>
    </w:p>
    <w:p w14:paraId="34E400A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Overall, geographic and temporal coverage spans primarily Mesopotamia from approximately 3500 to 2000 BCE, with the city-state of Uruk receiving most attention as “the most documented archaeologically” (p. 4). Comparative cases include: ancient Egypt (Old Kingdom through New Kingdom, 2686-1069 BCE) (p. 49-51); early China (Qin Dynasty 221-206 BCE and Han Dynasty) (p. 9-10, p. 29-32, p. 51-52); classical Greece (particularly Athens and Sparta) (p. 32-33, p. 41-42); and the Roman Empire (p. 41-42, p. 56-58). </w:t>
      </w:r>
    </w:p>
    <w:p w14:paraId="64ABA38B">
      <w:pPr>
        <w:keepNext w:val="0"/>
        <w:keepLines w:val="0"/>
        <w:widowControl/>
        <w:suppressLineNumbers w:val="0"/>
        <w:spacing w:before="0" w:beforeAutospacing="0" w:after="100" w:afterAutospacing="0" w:line="256" w:lineRule="auto"/>
        <w:ind w:left="0" w:right="0"/>
        <w:jc w:val="left"/>
        <w:rPr>
          <w:rFonts w:hint="default" w:ascii="Times New Roman Regular" w:hAnsi="Times New Roman Regular" w:cs="Times New Roman Regular" w:eastAsiaTheme="minorEastAsia"/>
          <w:color w:val="auto"/>
          <w:sz w:val="24"/>
          <w:szCs w:val="24"/>
        </w:rPr>
      </w:pPr>
      <w:r>
        <w:rPr>
          <w:rFonts w:hint="eastAsia" w:ascii="ＭＳ 明朝" w:hAnsi="ＭＳ 明朝" w:eastAsia="ＭＳ 明朝" w:cs="ＭＳ 明朝"/>
          <w:kern w:val="0"/>
          <w:sz w:val="24"/>
          <w:szCs w:val="24"/>
          <w:lang w:val="en-US" w:eastAsia="zh-CN" w:bidi="ar"/>
        </w:rPr>
        <w:t>地理和时间覆盖范围主要跨越公元前</w:t>
      </w:r>
      <w:r>
        <w:rPr>
          <w:rFonts w:hint="default" w:ascii="Times New Roman Regular" w:hAnsi="Times New Roman Regular" w:eastAsia="ＭＳ 明朝" w:cs="Times New Roman Regular"/>
          <w:kern w:val="0"/>
          <w:sz w:val="24"/>
          <w:szCs w:val="24"/>
          <w:lang w:val="en-US" w:eastAsia="zh-CN" w:bidi="ar"/>
        </w:rPr>
        <w:t xml:space="preserve"> 3500 </w:t>
      </w:r>
      <w:r>
        <w:rPr>
          <w:rFonts w:hint="eastAsia" w:ascii="ＭＳ 明朝" w:hAnsi="ＭＳ 明朝" w:eastAsia="ＭＳ 明朝" w:cs="ＭＳ 明朝"/>
          <w:kern w:val="0"/>
          <w:sz w:val="24"/>
          <w:szCs w:val="24"/>
          <w:lang w:val="en-US" w:eastAsia="zh-CN" w:bidi="ar"/>
        </w:rPr>
        <w:t xml:space="preserve">年至 </w:t>
      </w:r>
      <w:r>
        <w:rPr>
          <w:rFonts w:hint="default" w:ascii="Times New Roman Regular" w:hAnsi="Times New Roman Regular" w:eastAsia="Times New Roman Regular" w:cs="Times New Roman Regular"/>
          <w:kern w:val="0"/>
          <w:sz w:val="24"/>
          <w:szCs w:val="24"/>
          <w:lang w:val="en-US" w:eastAsia="zh-CN" w:bidi="ar"/>
        </w:rPr>
        <w:t xml:space="preserve">2000 </w:t>
      </w:r>
      <w:r>
        <w:rPr>
          <w:rFonts w:hint="eastAsia" w:ascii="ＭＳ 明朝" w:hAnsi="ＭＳ 明朝" w:eastAsia="ＭＳ 明朝" w:cs="ＭＳ 明朝"/>
          <w:kern w:val="0"/>
          <w:sz w:val="24"/>
          <w:szCs w:val="24"/>
          <w:lang w:val="en-US" w:eastAsia="zh-CN" w:bidi="ar"/>
        </w:rPr>
        <w:t>年的美索不达米亚，乌鲁克城邦作为</w:t>
      </w:r>
      <w:r>
        <w:rPr>
          <w:rFonts w:hint="default" w:ascii="Times New Roman Regular" w:hAnsi="Times New Roman Regular" w:eastAsia="Times New Roman Regular" w:cs="Times New Roman Regular"/>
          <w:kern w:val="0"/>
          <w:sz w:val="24"/>
          <w:szCs w:val="24"/>
          <w:lang w:val="en-US" w:eastAsia="zh-CN" w:bidi="ar"/>
        </w:rPr>
        <w:t>“</w:t>
      </w:r>
      <w:r>
        <w:rPr>
          <w:rFonts w:hint="eastAsia" w:ascii="ＭＳ 明朝" w:hAnsi="ＭＳ 明朝" w:eastAsia="ＭＳ 明朝" w:cs="ＭＳ 明朝"/>
          <w:kern w:val="0"/>
          <w:sz w:val="24"/>
          <w:szCs w:val="24"/>
          <w:lang w:val="en-US" w:eastAsia="zh-CN" w:bidi="ar"/>
        </w:rPr>
        <w:t>考古记录最详尽的</w:t>
      </w:r>
      <w:r>
        <w:rPr>
          <w:rFonts w:hint="default" w:ascii="Times New Roman Regular" w:hAnsi="Times New Roman Regular" w:eastAsia="Times New Roman Regular" w:cs="Times New Roman Regular"/>
          <w:kern w:val="0"/>
          <w:sz w:val="24"/>
          <w:szCs w:val="24"/>
          <w:lang w:val="en-US" w:eastAsia="zh-CN" w:bidi="ar"/>
        </w:rPr>
        <w:t>”</w:t>
      </w:r>
      <w:r>
        <w:rPr>
          <w:rFonts w:hint="eastAsia" w:ascii="ＭＳ 明朝" w:hAnsi="ＭＳ 明朝" w:eastAsia="ＭＳ 明朝" w:cs="ＭＳ 明朝"/>
          <w:kern w:val="0"/>
          <w:sz w:val="24"/>
          <w:szCs w:val="24"/>
          <w:lang w:val="en-US" w:eastAsia="zh-CN" w:bidi="ar"/>
        </w:rPr>
        <w:t xml:space="preserve">受到最多关注。比较案例包括：古埃及（古王国到新王国，公元前 </w:t>
      </w:r>
      <w:r>
        <w:rPr>
          <w:rFonts w:hint="default" w:ascii="Times New Roman Regular" w:hAnsi="Times New Roman Regular" w:eastAsia="Times New Roman Regular" w:cs="Times New Roman Regular"/>
          <w:kern w:val="0"/>
          <w:sz w:val="24"/>
          <w:szCs w:val="24"/>
          <w:lang w:val="en-US" w:eastAsia="zh-CN" w:bidi="ar"/>
        </w:rPr>
        <w:t xml:space="preserve">2686-1069 </w:t>
      </w:r>
      <w:r>
        <w:rPr>
          <w:rFonts w:hint="eastAsia" w:ascii="ＭＳ 明朝" w:hAnsi="ＭＳ 明朝" w:eastAsia="ＭＳ 明朝" w:cs="ＭＳ 明朝"/>
          <w:kern w:val="0"/>
          <w:sz w:val="24"/>
          <w:szCs w:val="24"/>
          <w:lang w:val="en-US" w:eastAsia="zh-CN" w:bidi="ar"/>
        </w:rPr>
        <w:t xml:space="preserve">年）；早期中国（秦朝公元前 </w:t>
      </w:r>
      <w:r>
        <w:rPr>
          <w:rFonts w:hint="default" w:ascii="Times New Roman Regular" w:hAnsi="Times New Roman Regular" w:eastAsia="Times New Roman Regular" w:cs="Times New Roman Regular"/>
          <w:kern w:val="0"/>
          <w:sz w:val="24"/>
          <w:szCs w:val="24"/>
          <w:lang w:val="en-US" w:eastAsia="zh-CN" w:bidi="ar"/>
        </w:rPr>
        <w:t xml:space="preserve">221-206 </w:t>
      </w:r>
      <w:r>
        <w:rPr>
          <w:rFonts w:hint="eastAsia" w:ascii="ＭＳ 明朝" w:hAnsi="ＭＳ 明朝" w:eastAsia="ＭＳ 明朝" w:cs="ＭＳ 明朝"/>
          <w:kern w:val="0"/>
          <w:sz w:val="24"/>
          <w:szCs w:val="24"/>
          <w:lang w:val="en-US" w:eastAsia="zh-CN" w:bidi="ar"/>
        </w:rPr>
        <w:t>年和汉朝）；古典希腊（特别是雅典和斯巴达）；以及罗马帝国。</w:t>
      </w:r>
    </w:p>
    <w:p w14:paraId="5B6B402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unit of analysis varies between the city-state (Uruk, Ur, Umma, Lagash), the empire (neo-Assyrian, Qin, Han, Roman), and occasionally individual institutions (the Uruk textile workshops, the “house of prisoners”).</w:t>
      </w:r>
    </w:p>
    <w:p w14:paraId="79935325">
      <w:pPr>
        <w:keepNext w:val="0"/>
        <w:keepLines w:val="0"/>
        <w:widowControl/>
        <w:suppressLineNumbers w:val="0"/>
        <w:spacing w:before="0" w:beforeAutospacing="0" w:after="100" w:afterAutospacing="0" w:line="256" w:lineRule="auto"/>
        <w:ind w:left="0" w:right="0"/>
        <w:jc w:val="left"/>
        <w:rPr>
          <w:rFonts w:hint="default" w:ascii="Times New Roman Regular" w:hAnsi="Times New Roman Regular" w:cs="Times New Roman Regular" w:eastAsiaTheme="minorEastAsia"/>
          <w:color w:val="auto"/>
          <w:sz w:val="24"/>
          <w:szCs w:val="24"/>
        </w:rPr>
      </w:pPr>
      <w:r>
        <w:rPr>
          <w:rFonts w:hint="eastAsia" w:ascii="ＭＳ 明朝" w:hAnsi="ＭＳ 明朝" w:eastAsia="ＭＳ 明朝" w:cs="ＭＳ 明朝"/>
          <w:kern w:val="0"/>
          <w:sz w:val="24"/>
          <w:szCs w:val="24"/>
          <w:lang w:val="en-US" w:eastAsia="zh-CN" w:bidi="ar"/>
        </w:rPr>
        <w:t>分析单位在城邦（乌鲁克、乌尔、</w:t>
      </w:r>
      <w:r>
        <w:rPr>
          <w:rFonts w:hint="default" w:ascii="Times New Roman Regular" w:hAnsi="Times New Roman Regular" w:eastAsia="ＭＳ 明朝" w:cs="Times New Roman Regular"/>
          <w:kern w:val="0"/>
          <w:sz w:val="24"/>
          <w:szCs w:val="24"/>
          <w:lang w:val="en-US" w:eastAsia="zh-CN" w:bidi="ar"/>
        </w:rPr>
        <w:t>Umma</w:t>
      </w:r>
      <w:r>
        <w:rPr>
          <w:rFonts w:hint="eastAsia" w:ascii="ＭＳ 明朝" w:hAnsi="ＭＳ 明朝" w:eastAsia="ＭＳ 明朝" w:cs="ＭＳ 明朝"/>
          <w:kern w:val="0"/>
          <w:sz w:val="24"/>
          <w:szCs w:val="24"/>
          <w:lang w:val="en-US" w:eastAsia="zh-CN" w:bidi="ar"/>
        </w:rPr>
        <w:t>、</w:t>
      </w:r>
      <w:r>
        <w:rPr>
          <w:rFonts w:hint="default" w:ascii="Times New Roman Regular" w:hAnsi="Times New Roman Regular" w:eastAsia="Times New Roman Regular" w:cs="Times New Roman Regular"/>
          <w:kern w:val="0"/>
          <w:sz w:val="24"/>
          <w:szCs w:val="24"/>
          <w:lang w:val="en-US" w:eastAsia="zh-CN" w:bidi="ar"/>
        </w:rPr>
        <w:t>Lagash</w:t>
      </w:r>
      <w:r>
        <w:rPr>
          <w:rFonts w:hint="eastAsia" w:ascii="ＭＳ 明朝" w:hAnsi="ＭＳ 明朝" w:eastAsia="ＭＳ 明朝" w:cs="ＭＳ 明朝"/>
          <w:kern w:val="0"/>
          <w:sz w:val="24"/>
          <w:szCs w:val="24"/>
          <w:lang w:val="en-US" w:eastAsia="zh-CN" w:bidi="ar"/>
        </w:rPr>
        <w:t>）、帝国（新亚述、秦、汉、罗马）和偶尔的个别机构（乌鲁克纺织作坊、</w:t>
      </w:r>
      <w:r>
        <w:rPr>
          <w:rFonts w:hint="default" w:ascii="Times New Roman Regular" w:hAnsi="Times New Roman Regular" w:eastAsia="Times New Roman Regular" w:cs="Times New Roman Regular"/>
          <w:kern w:val="0"/>
          <w:sz w:val="24"/>
          <w:szCs w:val="24"/>
          <w:lang w:val="en-US" w:eastAsia="zh-CN" w:bidi="ar"/>
        </w:rPr>
        <w:t>“</w:t>
      </w:r>
      <w:r>
        <w:rPr>
          <w:rFonts w:hint="eastAsia" w:ascii="ＭＳ 明朝" w:hAnsi="ＭＳ 明朝" w:eastAsia="ＭＳ 明朝" w:cs="ＭＳ 明朝"/>
          <w:kern w:val="0"/>
          <w:sz w:val="24"/>
          <w:szCs w:val="24"/>
          <w:lang w:val="en-US" w:eastAsia="zh-CN" w:bidi="ar"/>
        </w:rPr>
        <w:t>战俘之家</w:t>
      </w:r>
      <w:r>
        <w:rPr>
          <w:rFonts w:hint="default" w:ascii="Times New Roman Regular" w:hAnsi="Times New Roman Regular" w:eastAsia="Times New Roman Regular" w:cs="Times New Roman Regular"/>
          <w:kern w:val="0"/>
          <w:sz w:val="24"/>
          <w:szCs w:val="24"/>
          <w:lang w:val="en-US" w:eastAsia="zh-CN" w:bidi="ar"/>
        </w:rPr>
        <w:t>”</w:t>
      </w:r>
      <w:r>
        <w:rPr>
          <w:rFonts w:hint="eastAsia" w:ascii="ＭＳ 明朝" w:hAnsi="ＭＳ 明朝" w:eastAsia="ＭＳ 明朝" w:cs="ＭＳ 明朝"/>
          <w:kern w:val="0"/>
          <w:sz w:val="24"/>
          <w:szCs w:val="24"/>
          <w:lang w:val="en-US" w:eastAsia="zh-CN" w:bidi="ar"/>
        </w:rPr>
        <w:t>）之间变化。</w:t>
      </w:r>
    </w:p>
    <w:p w14:paraId="545AEE03">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15603F26">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(1) Making comparison across Mesopotamia, Egypt, China, Greece, and Rome to establish general principles of state formation. Scott </w:t>
      </w:r>
    </w:p>
    <w:p w14:paraId="0D80EE8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确定了美索不达米亚、埃及、中国、希腊和罗马的共同模式，以建立国家形成的一般原则。基于谷物的税收、强迫劳动和人口控制在这些独立案例中的重现加强了论点的普遍性。</w:t>
      </w:r>
    </w:p>
    <w:p w14:paraId="511910A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Interpreting utopian or ritual texts by negation. What is suspended during ritual exceptions reveals ordinary conditions. A hymn describing a ritual moment when “the slave woman was an equal of her mistress” and “the creditor did not enter one’s house” is seen as indirect evidence of quotidian oppression (p. 48-49).逆向（Against the grain）</w:t>
      </w:r>
    </w:p>
    <w:p w14:paraId="3CA5361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解读来源：Scott 通过否定来解释乌托邦或仪式文本。仪式例外期间暂停的事物揭示了普通状况。一首描述“女奴与女主人平等”和“债权人不进家门”的仪式时刻的赞美诗提供了日常压迫的间接证据。</w:t>
      </w:r>
    </w:p>
    <w:p w14:paraId="50AF222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Inferring the purpose of institutions from their effects. The coincidence of pristine states and pristine writing “tempts one to the crude functionalist conclusion that would-be state makers invented the forms of notation that were essential to statecraft” (p. 25).</w:t>
      </w:r>
    </w:p>
    <w:p w14:paraId="186509E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功能主义推断：Scott 经常从机构的效果推断其目的。原生国家和原生文字的巧合“诱使人们得出粗糙的功能主义结论，即想要建国的人发明了对治国术至关重要的符号形式”。</w:t>
      </w:r>
    </w:p>
    <w:p w14:paraId="477209D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Examining conditions where states did not form, to identify the necessary conditions for state emergence, like wetlands with diverse subsistence options, pastoral zones, mountainous regions. (p. 11-13, p. 19-21).</w:t>
      </w:r>
    </w:p>
    <w:p w14:paraId="25C4046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负面案例分析：Scott 通过检查未形成国家的条件（如具有多样化生存选择的湿地、牧区、山区）来加强其论点，以确定国家出现的必要条件。</w:t>
      </w:r>
    </w:p>
    <w:p w14:paraId="543FABD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Assumptions required for validity include:</w:t>
      </w:r>
    </w:p>
    <w:p w14:paraId="7C44018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Archaeological remains and cuneiform tablets provide reasonably accurate representations of past conditions, while acknowledging that “documents are forged and fiddled for private advantage or to please superiors” and that “there is no necessary relation between the records on the one hand and the facts on the ground on the other” (p. 26-27).</w:t>
      </w:r>
    </w:p>
    <w:p w14:paraId="3ED1766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Scott 假设考古遗存和楔形文字泥板提供了过去状况的合理准确表征，同时承认“文件是为了私人利益或取悦上级而被伪造和篡改的”，并且“记录与实地事实之间没有必然联系”。</w:t>
      </w:r>
    </w:p>
    <w:p w14:paraId="13F4AC9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The comparative method assumes sufficient similarity across cases to permit generalization. Scott acknowledges that evidence from later periods (neo-Assyrian Empire, classical Greece and Rome) may not be reliably projected backward to Uruk-period Mesopotamia (p. 46-47).</w:t>
      </w:r>
    </w:p>
    <w:p w14:paraId="0022540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比较方法假设案例之间有足够的相似性以允许概括。Scott 承认来自较晚时期（新亚述帝国、古典希腊和罗马）的证据可能无法可靠地向后投射到乌鲁克时期的美索不达米亚。</w:t>
      </w:r>
    </w:p>
    <w:p w14:paraId="55998CD7">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The functionalist logic assumes that institutions persist because they serve identifiable purposes for those in power, which risks overlooking unintended consequences, path dependence, or cultural factors independent of material interests.</w:t>
      </w:r>
    </w:p>
    <w:p w14:paraId="7B29DDB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功能主义逻辑假设制度之所以持续存在是因为它们服务于当权者的可识别目的，这可能会忽视意外后果、路径依赖或独立于物质利益的文化因素。</w:t>
      </w:r>
    </w:p>
    <w:p w14:paraId="58D3198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0F083C7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This work is important since it proposes: (1)  “Grain thesis” of state formation: Scott’s argument that only cereal grains could support state formation because they are uniquely “visible, divisible, assessable, storable, transportable, and rationable”, provides a parsimonious explanation for why states emerged in particular ecological niches (p. 14). The question “why have no ‘lentil states’, ‘potato states’, or ‘banana states’ appeared in the historical record?” makes an influencial argument.</w:t>
      </w:r>
    </w:p>
    <w:p w14:paraId="48C0A57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Centering coerced labor in state formation: While slavery’s role in classical antiquity is well-established, Scott extends this insight to argue that bondage was constitutive of all early states—“one is tempted to assert: ‘No slavery, no state’” (p. 41). This challenges teleological narratives of freedom and progress, suggesting instead that state formation represented the scaling-up and institutionalization of human bondage.</w:t>
      </w:r>
    </w:p>
    <w:p w14:paraId="41B8ADA9">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国家-文明关系的理论重构。挑战了“标准文明叙事”，即国家创造了定居、农业、灌溉和城市化。相反，他认为这些成就是“新石器时代的自主成就，在第一批国家出现前近两千年就已到位”。国家“寄生”于而非创造了这些发展。这种反转对学者如何评估国家形成的规范可取性具有影响。 (2) 国家形成的“谷物假说”。只有谷物能够支持国家形成——因为它们独特地“可见、可分割、可评估、可储存、可运输和可定量”——这为国家为何在特定生态位出现提供了简洁的解释。问题“为什么历史记录中没有出现‘扁豆国家’、‘土豆国家’或‘香蕉国家’？”生成了对该论点的难忘表述。 (3) 将强迫劳动置于国家形成的中心：虽然奴隶制在古典时代的作用已确立，但 Scott 将这一见解扩展到认为奴役是所有早期国家的构成要素——“人们不禁要断言：‘无奴隶制，无国家’”。这挑战了自由和进步的目的论叙事，暗示国家形成代表了人类奴役的扩大和制度化。 (4) 城墙的双重功能：Scott 关于城墙“既是为了将中国的纳税耕作者留在里面，也是为了将野蛮人（游牧民）挡在外面”的见解提供了对文明标准考古标志的重新解释。这将城墙重新框架为人口控制的工具，而不仅仅是防御。 (5) 综合不同文献：Scott 将古代近东研究的考古证据、政治学的比较国家形成理论以及关于驯化和生存策略的人类学观点整合到一个多学科可访问的连贯框架中。</w:t>
      </w:r>
    </w:p>
    <w:p w14:paraId="39BC3151">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21E3107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The evidence base for slavery’s centrality is thin for early Mesopotamia. Scott himself acknowledges that evidence for slavery in Uruk and other early Mesopotamian polities is “sparse enough to have convinced a number of scholars that slavery and bondage were insignificant” (p. 58-59). His argument relies heavily on better-documented later periods (neo-Assyrian Empire, classical Greece and Rome) and interpreting Sumerian terminology. 奴隶制核心地位的证据对于早期美索不达米亚来说很薄弱：Scott 承认乌鲁克和其他早期美索不达米亚政体的奴隶制证据“足够稀少，以至于让许多学者确信奴隶制和奴役是微不足道的”。他的论点严重依赖于从记录更好的较晚时期（新亚述帝国、古典希腊和罗马）向后投射，以及解释模棱两可的苏美尔术语 .</w:t>
      </w:r>
    </w:p>
    <w:p w14:paraId="2246FA0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(2) Potential conflating correlation with causation. The co-occurrence of grain agriculture and state formation does not definitively establish that grain’s taxability caused state formation rather than other correlated factors. A more rigorous test would require examining variation in state formation across regions with similar grain agriculture but different other conditions. 论点偶尔将相关性与因果性混为一谈：谷物农业与国家形成的共生并不能确切地证明谷物的可税性导致了国家形成，而不是其他相关因素。更严格的测试需要检查具有类似谷物农业但其他条件不同的地区的国家形成结果的差异。</w:t>
      </w:r>
    </w:p>
    <w:p w14:paraId="6F43BC3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(3) While Scott identifies multiple mechanisms (climate-induced concentration, legibility, wall confinement, coerced labor), he does not clearly specify their relative importance, sequencing, or interaction effects. 虽然Scott确定了多种机制（气候诱导的集中、易读性、城墙禁闭、强迫劳动），但他没有清楚地说明它们的相对重要性、顺序或相互作用效应。</w:t>
      </w:r>
    </w:p>
    <w:p w14:paraId="2FA0A29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(4) Scott focuses primarily on successful state formation in Mesopotamia, Egypt, and China, and may overlook cases where similar conditions existed but states did not emerge or quickly collapsed.主要关注美索不达米亚、埃及和中国的成功国家形成，Scott 可能忽视了存在类似条件但国家未出现或迅速崩溃的案例。</w:t>
      </w:r>
    </w:p>
    <w:p w14:paraId="36E6A70C">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48878E84">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Systematic testing of the “grain thesis”. Researchers could systematically code all known early state formations globally by primary staple crop, ecological conditions, and labor regime to test whether the grain-state correlation holds across all cases, maybe there are cases of grain agriculture without state formation.</w:t>
      </w:r>
    </w:p>
    <w:p w14:paraId="45F55EB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谷物假说”的定量测试，根据主要主食作物、生态条件和劳动制度系统地编码全球所有已知的早期国家形态，以测试谷物-国家相关性是否在所有案例中均成立，并系统地检查有谷物农业但无国家形成的案例。</w:t>
      </w:r>
    </w:p>
    <w:p w14:paraId="33E58047">
      <w:pPr>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br w:type="page"/>
      </w:r>
    </w:p>
    <w:p w14:paraId="79889EB3">
      <w:pPr>
        <w:spacing w:before="160" w:after="20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Reading Four</w:t>
      </w:r>
    </w:p>
    <w:p w14:paraId="78F9021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Literature Name</w:t>
      </w:r>
    </w:p>
    <w:p w14:paraId="63EC04F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 Paradox of Civilization: Preinstitutional Sources of Security and Prosperity</w:t>
      </w:r>
    </w:p>
    <w:p w14:paraId="4B5CE577">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Author(s)</w:t>
      </w:r>
    </w:p>
    <w:p w14:paraId="4932754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Ernesto /ɛɾˈnɛsto/ Dal Bó, Pablo Hernández/ɛɾˈnandeθ/-Lagos, and Sebastián Mazzuca/maˈtsuka/</w:t>
      </w:r>
    </w:p>
    <w:p w14:paraId="207DCB5C">
      <w:pPr>
        <w:spacing w:before="160" w:after="8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 xml:space="preserve">Publication Year: </w:t>
      </w:r>
      <w:r>
        <w:rPr>
          <w:rFonts w:hint="default" w:ascii="Times New Roman Regular" w:hAnsi="Times New Roman Regular" w:cs="Times New Roman Regular" w:eastAsiaTheme="minorEastAsia"/>
          <w:color w:val="auto"/>
          <w:sz w:val="24"/>
          <w:szCs w:val="24"/>
        </w:rPr>
        <w:t>2022</w:t>
      </w:r>
    </w:p>
    <w:p w14:paraId="0E359F0B">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Dependent Variable (DV)</w:t>
      </w:r>
    </w:p>
    <w:p w14:paraId="380E601F">
      <w:pPr>
        <w:keepNext w:val="0"/>
        <w:keepLines w:val="0"/>
        <w:widowControl/>
        <w:suppressLineNumbers w:val="0"/>
        <w:spacing w:before="0" w:beforeAutospacing="1" w:after="200" w:afterAutospacing="0" w:line="273" w:lineRule="auto"/>
        <w:ind w:left="0" w:right="0"/>
        <w:jc w:val="left"/>
        <w:rPr>
          <w:rFonts w:hint="default" w:ascii="Times New Roman Regular" w:hAnsi="Times New Roman Regular" w:eastAsia="宋体" w:cs="Times New Roman Regular"/>
          <w:color w:val="auto"/>
          <w:sz w:val="24"/>
          <w:szCs w:val="24"/>
          <w:lang w:val="en-US" w:eastAsia="zh-CN"/>
        </w:rPr>
      </w:pPr>
      <w:r>
        <w:rPr>
          <w:rFonts w:hint="default" w:ascii="Times New Roman Regular" w:hAnsi="Times New Roman Regular" w:cs="Times New Roman Regular" w:eastAsiaTheme="minorEastAsia"/>
          <w:color w:val="auto"/>
          <w:sz w:val="24"/>
          <w:szCs w:val="24"/>
        </w:rPr>
        <w:t>The primary dependent variable is “civilization potential”， defined as a security-adjusted measure of surplus production that combines prosperity (economic surplus through productive investment) and security (protection from external predation). Formally, civilization potential is operationalized as CP = P(settler wins) × (v2: v1) = [d1/(d1+a1)] × ρi1, where the probability of the settler retaining its assets is multiplied by the surplus created through investment. This compound outcome captures the “civilization core”: the joint attainment of surplus production and surplus protection. (pp. 1-2, 6-7)</w:t>
      </w:r>
    </w:p>
    <w:p w14:paraId="71026B6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主要因变量是civilization potential，定义为经过安全调整后的剩余生产测量，结合了繁荣（通过生产性投资获得的经济剩余）和安全（免受外部掠夺的保护）。 形式上，文明潜力操作化为 CP = P(定居者获胜) × (v2 - v1) = [d1/(d1+a1)] × ρi1，其中定居者保留其资产的概率乘以投资创造的剩余。 这一复合结果捕捉了“文明核心”：剩余生产和剩余保护的联合实现。</w:t>
      </w:r>
    </w:p>
    <w:p w14:paraId="1B0A366D">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Independent Variable (IV)</w:t>
      </w:r>
    </w:p>
    <w:p w14:paraId="17A01D5D">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Three interconnected independent variables: (1) Growth capabilities (ρ, rho): the returns to productive investment, capturing factors like potential crop yield improvements from irrigation infrastructure; (2) Defense capabilities (κ, kappa): the effectiveness of defense efforts, reflecting geographic features (deserts, mountains) or built infrastructure (walls) that lower the cost of protection; (3) Initial income (v1): baseline resources derived from environmental endowments (soil quality, climate, natural fertility) before any improvements.</w:t>
      </w:r>
      <w:r>
        <w:rPr>
          <w:rFonts w:hint="default" w:ascii="Times New Roman Regular" w:hAnsi="Times New Roman Regular" w:cs="Times New Roman Regular" w:eastAsiaTheme="minorEastAsia"/>
          <w:color w:val="auto"/>
          <w:sz w:val="24"/>
          <w:szCs w:val="24"/>
          <w:lang w:val="en-US"/>
        </w:rPr>
        <w:t xml:space="preserve"> </w:t>
      </w:r>
      <w:r>
        <w:rPr>
          <w:rFonts w:hint="default" w:ascii="Times New Roman Regular" w:hAnsi="Times New Roman Regular" w:cs="Times New Roman Regular" w:eastAsiaTheme="minorEastAsia"/>
          <w:color w:val="auto"/>
          <w:sz w:val="24"/>
          <w:szCs w:val="24"/>
        </w:rPr>
        <w:t>These parameters are shaped by observable biogeographic conditions including topography, rivers, precipitation, soil quality, crop suitability, and plant/animal domesticates. The key insight is that growth and defense capabilities interact: neither alone is sufficient for civilization (pp. 5, 7).</w:t>
      </w:r>
    </w:p>
    <w:p w14:paraId="1D52DF1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三个相互关联的自变量构成了模型的基础：(1) 增长能力（ρ, rho）：生产性投资的回报，捕捉如灌溉基础设施带来的潜在作物产量提升等因素 ；(2) 防御能力（κ, kappa）：防御努力的有效性，反映了降低保护成本的地理特征（沙漠、山脉）或建筑基础设施（城墙）；(3) 初始收入（v1）：来自环境禀赋（土壤质量、气候、自然肥力）且在任何改进之前的基准资源。 这些参数由可观察的生物地理条件形成，包括地形、河流、降水、土壤质量、作物适宜性和植物/动物驯化物。 关键见解是增长和防御能力相互作用：单靠任何一个都不足以产生文明。</w:t>
      </w:r>
    </w:p>
    <w:p w14:paraId="3C00E35E">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Stateness</w:t>
      </w:r>
    </w:p>
    <w:p w14:paraId="2E980DEA">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Authors conceptualizes “stateness” following the Weber tradition, a territorial monopoly of (legitimate) violence, and focus on the external security dimension: “statehood emerges when a settlement attains significant security from external threats” (p. 4). Authors distinguish their approach from anthropological traditions that conceptualize state formation primarily as emergence of internal hierarchy separating rulers from ruled. While acknowledging internal hierarchy’s importance, they focus exclusively on external security because it “holds the key to solving the paradox of civilization” (p. 4). The state is not measured through formal institutional indicators but through the outcome of the model: a society achieves statehood when it successfully deters external challengers (full security with P(settler wins) = 1) or maintains sufficient security to sustain productive investment. Civilization, which nests statehood, requires both surplus production via intensive agriculture AND surplus protection via the state. Other civilizational attributes (urbanization, writing, monumental architecture, organized religion) are treated as “peripheral” rather than definitional (pp. 3-4).</w:t>
      </w:r>
    </w:p>
    <w:p w14:paraId="2BD3D06C">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国家概念化遵循韦伯传统，即（合法）暴力的领土垄断，并明确关注外部安全维度：“当一个定居点获得免受外部威胁的显着安全时，国家地位就出现了”。 作者将他们的方法与人类学传统区分开来，后者主要将国家形成概念化为统治者与被统治者分离的内部等级制度的出现。 虽然承认内部等级制度的重要性，但他们专注于外部安全，因为它“掌握着解决文明悖论的钥匙”。 国家不是通过正式的制度指标来衡量，而是通过模型的结果来衡量：当一个社会成功威慑外部挑战者（完全安全，P(定居者获胜) = 1）或维持足够的安全以维持生产性投资时，它就实现了国家地位。 嵌套国家地位的文明，既需要通过集约农业的剩余生产，也需要通过国家的剩余保护。 其他文明属性（城市化、文字、纪念性建筑、有组织的宗教）被视为“外围”而非定义性的。</w:t>
      </w:r>
    </w:p>
    <w:p w14:paraId="3E2A13FF">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Core Argument</w:t>
      </w:r>
    </w:p>
    <w:p w14:paraId="7950F195">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Addressing what the authors term “the paradox of civilization”: prosperity attracts predation, which discourages the investments required for prosperity, making civilization paradoxical. The paper reconciles two opposing scholarly traditions: “productivist optimism” (Childe’s view that favorable agricultural endowments inevitably produce civilization) and “predatory fatalism” (the observation that surplus-producing societies become targets for raiders, potentially aborting civilization). The resolution lies in the interaction of growth and defense capabilities. Neither high initial income nor high growth capabilities alone can produce civilization: both make challengers more aggressive. Civilization potential becomes positive only when: (1) Growth and defense capabilities are both sufficiently high (the “twice-lucky” society), creating a balanced profile that allows productive investment with adequate protection; or (2) When natural defense capabilities are low but initial income is high enough to finance artificial defense investments (walls, fortifications) that substitute for missing natural protection. The theory thus identifies two distinct paths to civilization, explaining how Sumer (low natural defenses, high initial income enabling wall construction) and Egypt (high natural defenses from surrounding deserts) both achieved civilization despite different security environments (pp. 1-2, 6-12).</w:t>
      </w:r>
    </w:p>
    <w:p w14:paraId="1DCABDEF">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解决了作者所称的“文明的悖论”：繁荣吸引掠夺，而掠夺阻碍了繁荣所需的投资，使得文明变得矛盾 。 该论文调和了两个对立的学术传统：“生产主义乐观论”（Childe 的观点，即有利的农业禀赋必然产生文明）和“掠夺宿命论”（历史学家的观察，即生产剩余的社会成为袭击者的目标，可能导致文明流产）。 解决方案在于增长和防御能力的相互作用 。 仅靠高初始收入或高增长能力都无法产生文明：两者都会使挑战者更具侵略性 。 文明潜力仅在以下情况下变为正值：(1) 增长和防御能力都足够高（“双重幸运”的社会），创造一个允许生产性投资并有足够保护的平衡轮廓 ；或者 (2) 当自然防御能力低但初始收入足够高，可以资助人工防御投资（城墙、防御工事）以替代缺失的自然保护时 。 该理论因此确定了两条独特的文明路径，解释了苏美尔（自然防御低，高初始收入使得城墙建设成为可能）和埃及（周围沙漠提供高自然防御）如何在不同的安全环境下都实现了文明 。</w:t>
      </w:r>
    </w:p>
    <w:p w14:paraId="00D3F52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Mechanisms</w:t>
      </w:r>
    </w:p>
    <w:p w14:paraId="7FA3DF3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Settlers face a triple trade-off allocating resources among current consumption, productive investment (enhancing future income), and defense (protecting against challengers). This choice is shaped by fundamentals (v1, ρ, κ). (2) Productive investment increases future income (v2 = v1 + ρi1) but makes the challenger more aggressive (∂a1/∂i1 &gt; 0), as higher expected returns incentivize attack. This originates the paradox: attempting prosperity raises insecurity. (3) Higher κ allows the settler to convert resources into defense more efficiently, increasing security (probability of winning) for any given expenditure. When defense capabilities are high, more income helps; when low, no amount of income can outpace challenger aggression. (4) if defense exceeds future income value (d1 ≥ v2), the challenger will not attack, achieving full security. (5) When natural defense is insufficient, settlers can invest in defense capabilities (m0) that mature in future periods, though such investments also attract immediate predation. This creates intertemporal complementarity: defense investments today make productive investments tomorrow attractive by raising future security. (6) Two paths to civilization emerge: twice-lucky societies with high natural (ρ, κ) achieve civilization directly; societies with low κ but high v0 can build artificial defenses, mimicking the twice-lucky profile (pp. 5-10).</w:t>
      </w:r>
    </w:p>
    <w:p w14:paraId="209E774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(1) 定居者面临三重权衡，在当前消费、生产性投资（增加未来收入）和防御（防止挑战者）之间分配资源 。这一选择由基本面（v1, ρ, κ）形成。(2) 生产性投资增加了未来收入（v2 = v1 + ρi1），但也使挑战者更具侵略性（∂a1/∂i1 &gt; 0），因为更高的预期回报激励攻击 。这引发了悖论：试图繁荣会增加不安全性。(3) 更高的 κ 允许定居者更有效地将资源转化为防御，在任何给定支出下增加安全性（获胜概率）。当防御能力高时，更多收入有帮助；当低时，再多的收入也无法超过挑战者的侵略 。(4)</w:t>
      </w:r>
      <w:r>
        <w:rPr>
          <w:rFonts w:hint="default" w:ascii="Times New Roman Regular" w:hAnsi="Times New Roman Regular" w:cs="Times New Roman Regular" w:eastAsiaTheme="minorEastAsia"/>
          <w:color w:val="auto"/>
          <w:sz w:val="24"/>
          <w:szCs w:val="24"/>
          <w:lang w:val="en-US"/>
        </w:rPr>
        <w:t xml:space="preserve"> </w:t>
      </w:r>
      <w:r>
        <w:rPr>
          <w:rFonts w:hint="default" w:ascii="Times New Roman Regular" w:hAnsi="Times New Roman Regular" w:cs="Times New Roman Regular" w:eastAsiaTheme="minorEastAsia"/>
          <w:color w:val="auto"/>
          <w:sz w:val="24"/>
          <w:szCs w:val="24"/>
        </w:rPr>
        <w:t>如果防御超过未来收入价值（d1 ≥ v2），挑战者将不会攻击，实现完全安全 。(5) 当自然防御不足时，定居者可以投资于未来成熟的防御能力（m0），尽管此类投资也会吸引即时掠夺 。这创造了跨期互补性：今天的防御投资通过提高未来的安全性使明天的生产性投资具有吸引力 。(6) 具有高自然（ρ, κ）的双重幸运社会直接实现文明 ；具有低 κ 但高 v0 的社会可以建立人工防御，模仿双重幸运的轮廓 。</w:t>
      </w:r>
    </w:p>
    <w:p w14:paraId="29E10EC9">
      <w:pPr>
        <w:spacing w:before="0" w:after="100" w:line="259" w:lineRule="auto"/>
        <w:rPr>
          <w:rFonts w:hint="default" w:ascii="Times New Roman Regular" w:hAnsi="Times New Roman Regular" w:cs="Times New Roman Regular" w:eastAsiaTheme="minorEastAsia"/>
          <w:color w:val="auto"/>
          <w:sz w:val="24"/>
          <w:szCs w:val="24"/>
        </w:rPr>
      </w:pPr>
    </w:p>
    <w:p w14:paraId="4C8527DD">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Data</w:t>
      </w:r>
    </w:p>
    <w:p w14:paraId="54069A7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 xml:space="preserve">Qualitative historical and archaeological evidence from the first two civilizations: Sumer (Southern Mesopotamia) and Egypt. </w:t>
      </w:r>
    </w:p>
    <w:p w14:paraId="7417806E">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对于增长能力（ρ）：两个地区都有很高的灌溉投资回报 。在苏美尔，底格里斯河和幼发拉底河沿岸的冲积农业通过运河建设使大麦产量可能增加了“十倍” (Liverani 2008) 。在埃及，盆地灌溉产生了 12:1 到 24:1 的种子产出比 (Morris and Manning 2005) 。这两个地区都能产生“远大于雨养土壤人口所知的剩余” (Mann 1986) 。 对于防御能力（κ）：埃及拥有来自周围沙漠的高自然防御：“北面的海以及西面和东面的沙漠隔离了埃及人” (Bradford 2001) 。苏美尔缺乏自然保护，位于一个“北面和东面被山脉环绕的平原，那是野蛮高地人千年的家园” (Finer 1997) 。 对于初始收入（v0）：苏美尔拥有卓越的初始禀赋，包括所有八种新石器时代奠基作物和五种主要驯化动物中的四种 (Diamond 1997)，加上冲积肥力 。 对于防御投资：考古证据显示几乎所有的美索不达米亚城市都有外围城墙 (Van de Mieroop 1997)，而埃及城市通常没有：证实了模型的预测，即人工防御替代了缺失的自然保护 。 地理和时间覆盖范围主要跨越约公元前 4000-2000 年的新月沃土和尼罗河流域地区 。</w:t>
      </w:r>
    </w:p>
    <w:p w14:paraId="626A0D1A">
      <w:pPr>
        <w:spacing w:before="0" w:after="100" w:line="259" w:lineRule="auto"/>
        <w:rPr>
          <w:rFonts w:hint="default" w:ascii="Times New Roman Regular" w:hAnsi="Times New Roman Regular" w:cs="Times New Roman Regular" w:eastAsiaTheme="minorEastAsia"/>
          <w:color w:val="auto"/>
          <w:sz w:val="24"/>
          <w:szCs w:val="24"/>
        </w:rPr>
      </w:pPr>
    </w:p>
    <w:p w14:paraId="65B413B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Methods</w:t>
      </w:r>
    </w:p>
    <w:p w14:paraId="26D7771B">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Formal game-theoretic modeling combined with qualitative historical illustration.(pp. 5-14)</w:t>
      </w:r>
    </w:p>
    <w:p w14:paraId="1BE8C300">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该论文采用形式博弈论建模结合定性历史解释 。 形式模型是一个“定居者”（农业定居点）和“挑战者”（牧区袭击者）之间的两期（基线）或三期（扩展）动态博弈 。 定居者先行动，选择防御 (d)、投资 (i) 以及可能的防御能力投资 (m) ；挑战者观察这些选择并选择攻击强度 (a) 。 冲突结果遵循 Tullock 竞赛成功函数，其中 P(定居者获胜) = d/(d+a) 。 模型通过逆向归纳法求解子博弈完美纳什均衡，导出关于文明潜力作为 (κ, ρ, v1) 函数的比较静态 。 关键假设包括：(1) 线性偏好（风险中性）；(2) 无折旧或折现 ；(3) 只有定居者可以投资（反映定居与游牧群体的不对称能力）；(4) 定居者先行动（使威慑成为可能）；(5) 攻击成本不消耗挑战者预算；(6) 挑战者试图取代定居者并继承能力 。 模型抽象掉了内部等级制度，将两个行动者都视为单一的 。 稳健性检查（可按要求提供）考虑了多于两期、内生角色选择、参与者之间的转移以及冲突造成的破坏 。 历史案例作为“定性插图”而非正式测试，评估案例是否符合模型关于两条文明路径的预测 。</w:t>
      </w:r>
    </w:p>
    <w:p w14:paraId="64710A29">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Contribution</w:t>
      </w:r>
    </w:p>
    <w:p w14:paraId="4BF53452">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Theoretical integration. It reconciles the longstanding tension between productivist and fatalist perspectives on civilization by showing that neither favorable production conditions nor predatory threats alone determine outcomes; the interaction of growth and defense capabilities is decisive.</w:t>
      </w:r>
    </w:p>
    <w:p w14:paraId="6503935A">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Suggestions</w:t>
      </w:r>
    </w:p>
    <w:p w14:paraId="19D93321">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Static geography. The model treats geographic conditions as fixed, but environmental change (climate shifts, deforestation) may have altered growth and defense capabilities over time.</w:t>
      </w:r>
    </w:p>
    <w:p w14:paraId="64EBC290">
      <w:pPr>
        <w:spacing w:before="160" w:after="20" w:line="240"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b/>
          <w:color w:val="auto"/>
          <w:sz w:val="24"/>
          <w:szCs w:val="24"/>
        </w:rPr>
        <w:t>Extensions</w:t>
      </w:r>
    </w:p>
    <w:p w14:paraId="7181E6C8">
      <w:pPr>
        <w:spacing w:before="0" w:after="100" w:line="259" w:lineRule="auto"/>
        <w:rPr>
          <w:rFonts w:hint="default" w:ascii="Times New Roman Regular" w:hAnsi="Times New Roman Regular" w:cs="Times New Roman Regular" w:eastAsiaTheme="minorEastAsia"/>
          <w:color w:val="auto"/>
          <w:sz w:val="24"/>
          <w:szCs w:val="24"/>
        </w:rPr>
      </w:pPr>
      <w:r>
        <w:rPr>
          <w:rFonts w:hint="default" w:ascii="Times New Roman Regular" w:hAnsi="Times New Roman Regular" w:cs="Times New Roman Regular" w:eastAsiaTheme="minorEastAsia"/>
          <w:color w:val="auto"/>
          <w:sz w:val="24"/>
          <w:szCs w:val="24"/>
        </w:rPr>
        <w:t>Include geographic dynamics.</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panose1 w:val="02020609040205080304"/>
    <w:charset w:val="80"/>
    <w:family w:val="roman"/>
    <w:pitch w:val="default"/>
    <w:sig w:usb0="A00002BF" w:usb1="68C7FCFB" w:usb2="00000010" w:usb3="00000000" w:csb0="4002009F" w:csb1="DFD7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65418">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77E2754"/>
    <w:multiLevelType w:val="singleLevel"/>
    <w:tmpl w:val="777E2754"/>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00B47730"/>
    <w:rsid w:val="00034616"/>
    <w:rsid w:val="0006063C"/>
    <w:rsid w:val="0015074B"/>
    <w:rsid w:val="0029639D"/>
    <w:rsid w:val="00326F90"/>
    <w:rsid w:val="00AA1D8D"/>
    <w:rsid w:val="00B47730"/>
    <w:rsid w:val="00CB0664"/>
    <w:rsid w:val="00FC693F"/>
    <w:rsid w:val="7F2B7C50"/>
    <w:rsid w:val="9AFE7F6C"/>
    <w:rsid w:val="F7B638BC"/>
    <w:rsid w:val="FEF373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7"/>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1</Lines>
  <Paragraphs>1</Paragraphs>
  <TotalTime>21</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夏一丹</cp:lastModifiedBy>
  <dcterms:modified xsi:type="dcterms:W3CDTF">2026-07-02T15:24:40Z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A0AC539AE01B9333DF75466A42C01545_42</vt:lpwstr>
  </property>
</Properties>
</file>