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C9371">
      <w:pPr>
        <w:spacing w:before="0" w:after="40" w:line="240" w:lineRule="auto"/>
        <w:jc w:val="center"/>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POLSCI 719 State Formation - Week 9 Literature Notes</w:t>
      </w:r>
    </w:p>
    <w:p w14:paraId="15CD0427">
      <w:pPr>
        <w:spacing w:before="160" w:after="200" w:line="240" w:lineRule="auto"/>
        <w:rPr>
          <w:rFonts w:hint="default" w:ascii="Times New Roman Regular" w:hAnsi="Times New Roman Regular" w:cs="Times New Roman Regular"/>
          <w:color w:val="auto"/>
          <w:sz w:val="24"/>
          <w:szCs w:val="24"/>
        </w:rPr>
      </w:pPr>
      <w:bookmarkStart w:id="0" w:name="_GoBack"/>
      <w:bookmarkEnd w:id="0"/>
      <w:r>
        <w:rPr>
          <w:rFonts w:hint="default" w:ascii="Times New Roman Regular" w:hAnsi="Times New Roman Regular" w:eastAsia="Noto Sans CJK SC" w:cs="Times New Roman Regular"/>
          <w:b/>
          <w:color w:val="auto"/>
          <w:sz w:val="24"/>
          <w:szCs w:val="24"/>
        </w:rPr>
        <w:t>Reading One</w:t>
      </w:r>
    </w:p>
    <w:p w14:paraId="1EFCBE5C">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Literature Name</w:t>
      </w:r>
    </w:p>
    <w:p w14:paraId="5D6D4822">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Of Rule and Revenue, Chapters 2 “The Theory of Predatory Rule” and 3 “Creating Compliance”</w:t>
      </w:r>
    </w:p>
    <w:p w14:paraId="48721F22">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Author(s)</w:t>
      </w:r>
    </w:p>
    <w:p w14:paraId="5F2FACD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Margaret Levi /ˈmɑːrɡərɪt ˈlɛvi/</w:t>
      </w:r>
    </w:p>
    <w:p w14:paraId="18A85660">
      <w:pPr>
        <w:spacing w:before="160" w:after="8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 xml:space="preserve">Publication Year: </w:t>
      </w:r>
      <w:r>
        <w:rPr>
          <w:rFonts w:hint="default" w:ascii="Times New Roman Regular" w:hAnsi="Times New Roman Regular" w:eastAsia="Noto Sans CJK SC" w:cs="Times New Roman Regular"/>
          <w:color w:val="auto"/>
          <w:sz w:val="24"/>
          <w:szCs w:val="24"/>
        </w:rPr>
        <w:t>1989</w:t>
      </w:r>
    </w:p>
    <w:p w14:paraId="221F34D8">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Dependent Variable (DV)</w:t>
      </w:r>
    </w:p>
    <w:p w14:paraId="02989397">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main dependent variable is the choice and variation of state revenue production policies: why rulers adopt particular systems of taxation and revenue extraction (such as tax farming, bureaucratic collection, or income taxation) and how compliance with those policies varies over time and across polities. Chapter 2 treats the choice of revenue system as the DV (p. 10, 17). Chapter 3 shifts the DV to variation in compliance with an existing tax contract over the life of the contract, especially the conditions under which “quasi-voluntary compliance” rises or falls (p. 48, 67–68)</w:t>
      </w:r>
    </w:p>
    <w:p w14:paraId="6B56491A">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Independent Variable (IV)</w:t>
      </w:r>
    </w:p>
    <w:p w14:paraId="109FD0AD">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core independent variables are three constraints on ruler behavior: (1) relative bargaining power between rulers and their agents/constituents, (2) transaction costs of implementing and enforcing revenue policies, and (3) the rulers’ discount rates, namely how much they value future returns relative to present ones (p. 10, 13). These three constraints are themselves shaped by deeper structural variables: (1) productive forces and economic structure, (2) the international context, and (3) the form of government (p. 13). In Chapter 3, the additional key IV is the degree to which rulers can create and sustain quasi-voluntary compliance, which depends on the ruler’s credibility, the perceived fairness of the tax bargain, and taxpayer confidence that others are also complying (p. 52–53).</w:t>
      </w:r>
    </w:p>
    <w:p w14:paraId="41590CAD">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Stateness</w:t>
      </w:r>
    </w:p>
    <w:p w14:paraId="60D54EF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Levi conceptualizes the state through the lens of the ruler as the chief executive of the polity (p. 10, 14). The ruler can be a monarch, a military dictator, a president, or a prime minister, which is intentionally broad enough to cover polities across history. The state is understood as a nexus of contracts between rulers and agents, and rulers and constituents, though Levi notes that this formulation is imperfect because it under-theorizes the institutions that structure contracting and exchange (p. 11, footnote 1). State building, in this framework, is the process by which rulers devise and formalize structures that increase their bargaining power, reduce their transaction costs, and lower their discount rates so as to better capture gains from political exchange (p. 16). Levi uses the observable variation in revenue systems (the kinds of taxes, the administrative apparatus, and the degree of compliance) as the empirical proxies for the capacity and character of the state. The evolution of coercive, economic, and political resources under state control serves as the historical indicator of increasing state capacity (p. 17–19). Levi explicitly includes modern democracies: presidents and prime ministers are “rulers” constrained by legal checks, legislatures, organized agents, and pressure groups (p. 14).</w:t>
      </w:r>
    </w:p>
    <w:p w14:paraId="4133FE05">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Core Argument</w:t>
      </w:r>
    </w:p>
    <w:p w14:paraId="175D6AF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Chapter 2: Rulers are predatory in that they always seek to maximize revenue to the state, but they do so subject to constraints: their relative bargaining power vis-à-vis agents and constituents, the transaction costs of implementing and enforcing policies, and their discount rates (p. 10). Rulers do not always plunder. They attempt to act like “discriminating monopolists,” devising different property rights and tax terms for different groups to maximize total state revenue (p. 10, citing North 1981). The choice of revenue system at any given point in time is determined by the configuration of these three constraints. These constraints are themselves the product of three structural factors: (1) the level of productive forces and economic structure, (2) the international context, and (3) the form of government (p. 13). Rulers actively try to alter these constraints in their favor. Significant differences in state policies across polities and historical periods primarily reflect differences in these constraints (p. 14). For instance, feudal monarchs facing subjects with comparable political and economic resources must make concessions (tax exemptions, services) in exchange for loyalty, while absolute monarchs monopolizing coercive capacity but lacking monitoring ability will create large revenue bases with minimal services, keeping only as much revenue as they can prevent agents from pocketing (p. 14).</w:t>
      </w:r>
    </w:p>
    <w:p w14:paraId="02AC1949">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Chapter 3: Once a revenue policy is established, compliance with it becomes the central problem. Levi argues that rulers cannot rely solely on coercion to enforce tax payment because coercion is expensive and breeds resentment (p. 32, 50). Nor can they rely solely on ideology or norms, which remain under-theorized and difficult to measure as independent causal factors (p. 51). The key mechanism Levi proposes is quasi-voluntary compliance: taxpayers choose to pay not purely out of fear of punishment nor out of normative conviction alone, but because they have confidence that (1) the rulers will keep their side of the bargain and deliver promised goods, and (2) other taxpayers will also pay (p. 52–53). Quasi-voluntary compliance is contingent and strategic: it depends on perceptions of fairness, on the rulers’ credibility (sustained through precommitment strategies, such as submitting budgets and making themselves residual claimants), and on institutions that coordinate taxpayer expectations (such as parliaments and communal tax-collecting units) (p. 60–66). If the terms of the tax contract shift against taxpayers’ interests without their consent, or if there is evidence that others are not paying, quasi-voluntary compliance will decline and noncompliance will cascade (p. 53–54, 67–68).</w:t>
      </w:r>
    </w:p>
    <w:p w14:paraId="1901BEA5">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Mechanisms</w:t>
      </w:r>
    </w:p>
    <w:p w14:paraId="3FF5441A">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Chapter 2-Mechanisms determining revenue system choice:</w:t>
      </w:r>
    </w:p>
    <w:p w14:paraId="3A7CC47D">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1.Relative bargaining power operates through the distribution of coercive, economic, and political resources. When rulers monopolize these resources, they can set favorable terms of trade; when others control resources the ruler needs, the ruler must concede (p. 12, 17). Coercive resources historically centered on military capacity, and rulers with centralized armies had more bargaining power (p. 18, citing Bean 1973 and North 1981). Economic resources include ownership of means of production, trade routes, labor supply, and money (p. 19). Political resources include the ruler’s ability to prevent exit, block opposition, and promote support through positive incentives (patronage, legislation) and negative sanctions (exclusion, punishment) (p. 19–20). Ideology, while acknowledged as potentially important, is treated as an under-theorized residual (p. 22).</w:t>
      </w:r>
    </w:p>
    <w:p w14:paraId="4010732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2.Transaction costs operate through several sub-mechanisms:</w:t>
      </w:r>
    </w:p>
    <w:p w14:paraId="472A977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Bargaining costs: the costs of acquiring information about bargaining partners and negotiating agreements; institutional arrangements like parliaments and collectivities reduce these costs (p. 28).</w:t>
      </w:r>
    </w:p>
    <w:p w14:paraId="7F2CBF61">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Measurement costs: the technology available to standardize and assess taxable property determines what kinds of wealth can be taxed; ancient states could only tax produce because they could not measure land value or income (p. 29).</w:t>
      </w:r>
    </w:p>
    <w:p w14:paraId="7540580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Monitoring costs: rulers need to observe whether constituents comply and whether agents faithfully collect and remit revenue; technologies and institutions of monitoring (audits, feudal hierarchies, secret ballots, roll-call votes) affect what policies are feasible (p. 29–30).</w:t>
      </w:r>
    </w:p>
    <w:p w14:paraId="6C611E0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(4) Agency costs: agents may shirk or steal; rulers must design incentive structures (fixed salaries, tax farming, bureaucracies) to minimize the divergence between the agents’ behavior and the rulers’ interests; Weber’s historical forms of agency (in-kind payments, prebendal organization, tax farming, modern bureaucracy) illustrate the trade-offs (p. 30–32).</w:t>
      </w:r>
    </w:p>
    <w:p w14:paraId="0B97B23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(5) Enforcement costs: coercion is expensive; rulers therefore seek quasi-voluntary compliance to reduce the need for direct enforcement (p. 32).</w:t>
      </w:r>
    </w:p>
    <w:p w14:paraId="14F0BDB1">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3.Discount rates operate through the ruler’s time horizon. High discount rates (caused by military conflict, insecure tenure, or personal weakness of will / akrasia) lead rulers to extract maximum current revenue even at the cost of future productivity. Low discount rates (caused by security of rule) lead rulers to invest in economic growth and sustainable extraction (p. 32–33).</w:t>
      </w:r>
    </w:p>
    <w:p w14:paraId="210D876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Chapter 3-Mechanisms determining compliance:</w:t>
      </w:r>
    </w:p>
    <w:p w14:paraId="21CBA58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1.Coercion: the threat of sanctions for noncompliance, enforced by police, auditors, and agents. Effective but costly, and unable to achieve total compliance alone (p. 50).</w:t>
      </w:r>
    </w:p>
    <w:p w14:paraId="0C804DC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2.Ideological compliance: some individuals pay taxes out of normative conviction. Levi treats this as outside the rational choice model but acknowledges its importance. Following North (1981, 1985), ideology is most influential where the costs of acting on it are low (p. 50–52).</w:t>
      </w:r>
    </w:p>
    <w:p w14:paraId="4C9706D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3.Quasi-voluntary compliance is the central mechanism. It works through:</w:t>
      </w:r>
    </w:p>
    <w:p w14:paraId="1590FFC3">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Precommitment: Rulers bind themselves to future behavior (e.g., submitting budgets, making themselves legally accountable, becoming residual claimants), which reassures taxpayers that rulers will deliver promised goods (p. 61–62).</w:t>
      </w:r>
    </w:p>
    <w:p w14:paraId="1709EA41">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Conditional cooperation between rulers and constituents: With iterated interactions and sufficiently low discount rates, a tit-for-tat strategy emerges. Institutions like parliaments enable repeat transactions that reveal preferences and build trust (p. 62–63).</w:t>
      </w:r>
    </w:p>
    <w:p w14:paraId="37A0B8D2">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Manipulation of collective goods: Rulers can structure collective goods to have S-shaped or step production functions rather than linear ones, making individual contributions contingent on others’ contributions and transforming the game from a prisoner’s dilemma into something closer to an assurance game (p. 57–59).</w:t>
      </w:r>
    </w:p>
    <w:p w14:paraId="5638E6B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(4) Conditional cooperation among constituents: Rulers promote communal institutions (Roman gens, Cuban /ˈkjuːbən/ CDRs, feudal manors, French village tax-collecting bodies) where members monitor each other, reducing the costs of state monitoring (p. 65–66).</w:t>
      </w:r>
    </w:p>
    <w:p w14:paraId="1DB612C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(5) Coordination and loyalty: Rulers provide information that others are cooperating, publicize compliance, punish noncompliance visibly, and thereby coordinate expectations. This makes sanctions appear directed at others and reassures the potentially compliant (p. 66–67).</w:t>
      </w:r>
    </w:p>
    <w:p w14:paraId="352864BB">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Data</w:t>
      </w:r>
    </w:p>
    <w:p w14:paraId="1527D44D">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Chs 2 &amp; 3 are primarily theoretical, laying out the analytical framework. They do not present systematic empirical data themselves, but Levi draws examples from world history: Philip /ˈfɪlɪp/ of Macedon /ˈmæsɪdɒn/ (p. 22, 35–36), Elizabeth /ɪˈlɪzəbəθ/ I and Philip /ˈfɪlɪp/ II of Spain (p. 22), ancient Egypt and China (p. 31), Cuba /ˈkjuːbə/ (p. 65), the United States (p. 23, 30, 51), the French Revolution (p. 22), etc.</w:t>
      </w:r>
    </w:p>
    <w:p w14:paraId="199148BD">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Methods</w:t>
      </w:r>
    </w:p>
    <w:p w14:paraId="1667A06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Deductive theorizing plus historical comparison.</w:t>
      </w:r>
    </w:p>
    <w:p w14:paraId="1EE257B0">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Several assumptions must hold: (1) Rulers must indeed be revenue maximizers (or at least act “as if” they are). (2) Individuals must be opportunistic to create free-rider problems, and compliance cannot be taken for granted. (3) The three categories of constraints (bargaining power, transaction costs, discount rates) must be specified and measurable to distinguish the model’s predictions from alternatives. (4) The historical cases must be sufficiently well-documented to permit assessment of the relevant variables. (5) For the quasi-voluntary compliance argument, it must be possible to distinguish empirically between compliance due to coercion, compliance due to ideology, and compliance due to quasi-voluntary strategic calculation (Levi acknowledges it is “not always empirically” possible to make cleanly).  (p. 54)</w:t>
      </w:r>
    </w:p>
    <w:p w14:paraId="5A5C6B31">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Contribution</w:t>
      </w:r>
    </w:p>
    <w:p w14:paraId="5F6351E6">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Levi’s work is widely regarded as a landmark contribution, since it proposes a micro-foundational theory of state behavior, and bridges rational choice theory and historical institutionalism.</w:t>
      </w:r>
    </w:p>
    <w:p w14:paraId="73C3D1A3">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Suggestions</w:t>
      </w:r>
    </w:p>
    <w:p w14:paraId="18325F8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1.The theory of quasi-voluntary compliance is difficult to test. Levi acknowledges that it is hard to separate empirically the effects of coercion, ideology, and quasi-voluntary compliance. In practice, one observes only whether people pay or do not pay taxes; inferring the motivation behind compliance requires strong auxiliary assumptions. Modern survey and experimental methods (e.g., tax compliance experiments, list experiments on attitudes toward taxation) could provide sharper identification.</w:t>
      </w:r>
    </w:p>
    <w:p w14:paraId="2FC4556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2.Ideology is treated as a residual. Levi explicitly sets ideology aside as under-theorized, noting that “a theory of collective action that adequately incorporates the role of ideology or norms has still to be written” (p. 22). This is a significant gap: if ideology explains a large share of variance in compliance and in political mobilization, then the model’s explanatory power is limited. Subsequent work has made progress on incorporating beliefs and culture into institutional analysis, and Levi’s framework could benefit from integration with these approaches.</w:t>
      </w:r>
    </w:p>
    <w:p w14:paraId="7DC996C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Actually many scholars have proposed theories that can be seen as supplement/correction of Levi:</w:t>
      </w:r>
    </w:p>
    <w:p w14:paraId="51890910">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About “ideology is just a residual”: Evan Lieberman, Race and Regionalism in the Politics of Taxation in Brazil and South Africa (2003)</w:t>
      </w:r>
    </w:p>
    <w:p w14:paraId="418FD72C">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One of the sharpest empirical challenges to Levi comes from Lieberman’s comparison of Brazil and South Africa. Both societies were deeply divided along racial and regional lines, but constitutional choices at critical junctures dealt with these divisions in very different ways. In South Africa, the institutionalization of white supremacy helped create a cohesive political community among whites: elites felt both superior and threatened, and they formed a durable coalition in which richer whites accepted state action (including taxation) to protect poorer whites against the Black majority. Brazil, by contrast, did not form an equivalent national political community that could sustain broad-based direct taxation, and it relied more heavily on indirect consumption taxes.</w:t>
      </w:r>
    </w:p>
    <w:p w14:paraId="7383B0E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For Levi, compliance is mainly driven by bargaining, enforcement, and the reduction of transaction or monitoring costs in ruler–taxpayer exchange. Lieberman shifts the focus to how the boundaries of the “national political community” are constructed. Racial identity, which is often treated as an “ideological” factor, can be operationalized as the definition of political membership, and it powerfully shapes coalition formation, the acceptability of redistribution, and ultimately the tax mix and revenue capacity. In this sense, ideology is not a residual: it can be a central explanatory variable.</w:t>
      </w:r>
    </w:p>
    <w:p w14:paraId="27560F1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A structural alternative to a ruler-centered account: Charles Tilly, Coercion, Capital, and European States, AD 990–1992 (1990)</w:t>
      </w:r>
    </w:p>
    <w:p w14:paraId="5A24FA71">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Tilly rejects narratives that assume a single linear path toward the modern nation-state. He argues that different state forms are historically viable, and that they emerge from the interaction between holders of coercion and holders of capital. From this interaction, he derives distinct trajectories such as tribute-taking empires, fragmented sovereignty, and consolidated national states.</w:t>
      </w:r>
    </w:p>
    <w:p w14:paraId="5D38591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This reframes Levi’s story. Levi largely explains state building as a strategic choice by rulers seeking to make revenue extraction sustainable by lowering transaction costs, improving monitoring, and strengthening bargaining power. Tilly places war-making and geopolitical competition at the center. State form is shaped by the long-run tension between coercion and capital under external threat, and it cannot be fully reduced to the optimization problem of a single ruler. International competition is not just background; it is a primary driver of organizational change.</w:t>
      </w:r>
    </w:p>
    <w:p w14:paraId="329CB29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An institutionalist alternative to “quasi-voluntary compliance” as the main mechanism: Sven Steinmo, Taxation and Democracy (1993)</w:t>
      </w:r>
    </w:p>
    <w:p w14:paraId="6BB4CC47">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Steinmo compares Sweden, the United Kingdom, and the United States and argues that political institutions generate different tax systems and, in turn, different welfare states. The key differences are not well explained by simple individualist models or broad structural accounts alone. Instead, institutional arrangements including electoral rules, the party system, and the political role of courts shape which coalitions form, which policies are feasible, and which tax instruments are chosen.</w:t>
      </w:r>
    </w:p>
    <w:p w14:paraId="5DA3B04D">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For Levi, variation in compliance is closely tied to the strategic exchange between rulers and taxpayers, mediated by enforcement, credibility, and bargaining. Steinmo shows that constitutional structures and veto points filter preferences and reshape policy outcomes. Institutions have independent causal force: they affect the tax mix (direct vs indirect, progressive vs regressive), the stability of revenue, and the long-run link between taxation and representation. This suggests that “the game” is not only about ruler–taxpayer bargaining; it is also about how political rules structure coalition building and policy choice.</w:t>
      </w:r>
    </w:p>
    <w:p w14:paraId="7313448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(4) A “legibility” perspective on state capacity and extraction: James Scott</w:t>
      </w:r>
    </w:p>
    <w:p w14:paraId="19DEEAE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Scott argues that modern states pursue administrative “legibility” by simplifying and standardizing complex social realities, through surnames, censuses, cadasters, standardized measures, and official languages. The state’s first problem is not only how to maximize revenue, but how to make society visible and readable in the first place. Without legibility, taxation and large-scale public policy are difficult to implement.</w:t>
      </w:r>
    </w:p>
    <w:p w14:paraId="0201AA4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This complements Levi in an important way. Levi often treats information and measurement costs as constraints faced by rulers, and then analyzes how rulers respond strategically under those constraints. Scott highlights that states actively reshape society to reduce ambiguity and increase control. Legibility is not merely a technical reduction in measurement costs; it is an epistemic form of power, with potentially severe consequences. When high-modernist ideology, authoritarian capacity, and a weak civil society combine, legibility-driven social engineering can produce catastrophic outcomes. This adds a dimension that is largely outside Levi’s core framework: the state as a producer of categories and knowledge, not only a revenue-maximizing actor under constraints.</w:t>
      </w:r>
    </w:p>
    <w:p w14:paraId="21FD517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(6) Embedding fiscal capacity in a broader development framework: Timothy Besley and Torsten Persson, Pillars of Prosperity (2011)</w:t>
      </w:r>
    </w:p>
    <w:p w14:paraId="711089A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Besley and Persson place fiscal capacity and legal capacity at the center of state capacity and long-run development. They treat these capacities as investments: rulers may build (or neglect) administrative systems that raise revenue and enforce law. Whether such investments occur depends on political incentives, especially institutional cohesiveness, polarization across groups, and external threats such as war. They also distinguish “common-interest politics,” where broad public goods are attractive, from “redistributive politics,” where groups mainly fight over transfers.</w:t>
      </w:r>
    </w:p>
    <w:p w14:paraId="4732143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Relative to Levi, this is a major extension. Levi’s framework is strongest on how rulers sustain extraction through credible commitment and bargaining, but it is less explicit about when rulers choose to invest in the underlying capacities that make extraction and enforcement possible. Besley and Persson formalize capacity-building, connect it to institutions and conflict, and make room for states that build capacity for broad-based development rather than narrow predation.</w:t>
      </w:r>
    </w:p>
    <w:p w14:paraId="69F9615A">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Extensions</w:t>
      </w:r>
    </w:p>
    <w:p w14:paraId="11BEECA7">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1.The interaction between domestic and international constraints. Levi identifies the international context as a structural variable but does not fully theorize it. How do international organizations (IMF, World Bank), foreign aid, and international capital mobility affect the bargaining power of rulers comparing to domestic constituents and their choice of revenue systems? The literature on “rentier states” and “resource curses” can speak directly to this.</w:t>
      </w:r>
    </w:p>
    <w:p w14:paraId="39AA3123">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2.Compliance in the digital age. The digital revolution has dramatically reduced the costs of measurement and monitoring (through electronic transactions, digital identity, big data analytics). How does this technological shift alter the balance between coercion, quasi-voluntary compliance, and tax evasion? Does it make quasi-voluntary compliance more or less important?</w:t>
      </w:r>
    </w:p>
    <w:p w14:paraId="1182B7A2">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3.Disaggregating “the ruler.” For many modern states, the “ruler” is often a collective, including a cabinet, a coalition, a bureaucratic apparatus. How does intra-ruler bargaining (e.g., between finance ministries and line ministries, between presidents and legislatures) affect revenue policy choices? Levi acknowledges this problem (p. 39) but does not address it.</w:t>
      </w:r>
    </w:p>
    <w:p w14:paraId="22655C42">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4.Experimental tests of quasi-voluntary compliance. Lab and field experiments could test the core mechanisms: Do taxpayers indeed condition their compliance on perceived fairness and on their beliefs about others’ compliance? How do precommitment strategies by governments (such as transparent budgeting) affect compliance behavior?</w:t>
      </w:r>
    </w:p>
    <w:p w14:paraId="59740DBE">
      <w:pP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br w:type="page"/>
      </w:r>
    </w:p>
    <w:p w14:paraId="6D37A01B">
      <w:pPr>
        <w:spacing w:before="160" w:after="20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Reading Two</w:t>
      </w:r>
    </w:p>
    <w:p w14:paraId="6699CD32">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Literature Name</w:t>
      </w:r>
    </w:p>
    <w:p w14:paraId="7DE5C329">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Constitutions and Commitment: The Evolution of Institutions Governing Public Choice in Seventeenth-Century England</w:t>
      </w:r>
    </w:p>
    <w:p w14:paraId="7CF13CD3">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Author(s)</w:t>
      </w:r>
    </w:p>
    <w:p w14:paraId="3AD987CC">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Douglass /ˈdʌɡləs/ C. North /nɔːrθ/ and Barry /ˈbæri/ R. Weingast /ˈwaɪnɡæst/</w:t>
      </w:r>
    </w:p>
    <w:p w14:paraId="0E68C6C9">
      <w:pPr>
        <w:spacing w:before="160" w:after="8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 xml:space="preserve">Publication Year: </w:t>
      </w:r>
      <w:r>
        <w:rPr>
          <w:rFonts w:hint="default" w:ascii="Times New Roman Regular" w:hAnsi="Times New Roman Regular" w:eastAsia="Noto Sans CJK SC" w:cs="Times New Roman Regular"/>
          <w:color w:val="auto"/>
          <w:sz w:val="24"/>
          <w:szCs w:val="24"/>
        </w:rPr>
        <w:t>1989</w:t>
      </w:r>
    </w:p>
    <w:p w14:paraId="2DB5BACD">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Dependent Variable (DV)</w:t>
      </w:r>
    </w:p>
    <w:p w14:paraId="2360126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main dependent variable is the credibility of the government’s commitment to secure property rights and to honor its financial agreements, as reflected in the development of public and private capital markets in England. The authors operationalize this through several empirical indicators: the volume and terms of government borrowing (the magnitude of government debt and the interest rates at which the government could borrow), the growth of private capital markets (including stock market volume, bank notes in circulation, and Bank of England drawing accounts), and the general security of private property rights (pp. 803–804, 819, 824–828).</w:t>
      </w:r>
    </w:p>
    <w:p w14:paraId="2DF5699B">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Independent Variable (IV)</w:t>
      </w:r>
    </w:p>
    <w:p w14:paraId="3E00BC2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main independent variable is the set of institutional changes that followed the Glorious Revolution of 1688, including the establishment of parliamentary supremacy, the curtailment of the royal prerogative, the creation of an independent judiciary, parliamentary control over taxation and expenditure, and the fiscal innovations that accompanied these constitutional reforms. The authors treat these institutional changes as a package of reforms that fundamentally restructured the relationship between the Crown and Parliament (pp. 804, 815–817).</w:t>
      </w:r>
    </w:p>
    <w:p w14:paraId="0A394704">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Stateness</w:t>
      </w:r>
    </w:p>
    <w:p w14:paraId="63F0282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North and Weingast conceptualize the state primarily in terms of the sovereign’s coercive power and its capacity to extract resources from society. The state is understood as an entity with a comparative advantage in coercion, and the central analytical problem is what prevents the state from using this coercive power to expropriate all surplus from society (p. 806). In this framework, the “state” under the Stuart /ˈstjuːərt/ monarchs is characterized by the concentration of executive, legislative, and judicial powers in the Crown, which enabled the sovereign to alter property rights unilaterally. The key institutional features of this pre-1688 state include the royal prerogative (quasi-legislative power to issue proclamations without Parliament), the Star Chamber (combining legislative, executive, and judicial powers to enforce Crown policies), and Crown control over the judiciary (judges served at the king’s pleasure and could be dismissed for rulings against the Crown) (pp. 813–814).</w:t>
      </w:r>
    </w:p>
    <w:p w14:paraId="4C8DC535">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Core Argument</w:t>
      </w:r>
    </w:p>
    <w:p w14:paraId="2FEDC313">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core argument is that in order to get sustained economic growth, the sovereign or government must not merely establish property rights, but must make a credible commitment to upholding them (p. 803). Rules that the sovereign can readily revise at will differ fundamentally from the same rules when they are not subject to unilateral revision. The more likely it is that the sovereign will alter property rights for its own benefit, the lower the expected returns from investment and hence the lower the incentive to invest (p. 803).</w:t>
      </w:r>
    </w:p>
    <w:p w14:paraId="1F270001">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authors argue that the institutional changes following the Glorious Revolution of 1688 solved this commitment problem. Before 1688, the Stuart monarchs repeatedly reneged on financial agreements, expropriated wealth through monopoly grants, forced loans, and manipulation of the legal system, and concentrated executive, legislative, and judicial powers in the Crown, all of which made property rights deeply insecure (pp. 808–814). The post-1688 institutional settlement solved this by requiring parliamentary consent for changes in policy, taxation, and the terms of loans; by establishing an independent judiciary; and by creating a balance of power between Crown and Parliament that prevented either from acting arbitrarily (pp. 815–819). These arrangements were self-enforcing: the Crown accepted the constraints in exchange for a sound fiscal foundation, while Parliament limited its own potential for abuse through the division of powers and the independence of common law courts (pp. 817–819).</w:t>
      </w:r>
    </w:p>
    <w:p w14:paraId="2C8BA885">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Mechanisms</w:t>
      </w:r>
    </w:p>
    <w:p w14:paraId="1195D9E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Wealth holders got veto power through parliamentary consent. By requiring Parliament’s assent to major changes in policies, taxation, and the terms of loans, the representatives of wealth holders could veto any move that was not also in their interest. This eliminated the Crown’s unilateral ability to alter agreements (p. 817). Since Parliament represented the interests of those who would be expropriated, giving Parliament veto power meant that expropriation could only occur if the victims themselves consented to it.</w:t>
      </w:r>
    </w:p>
    <w:p w14:paraId="74A9191A">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Alternative revenue sources and escape routes had been eliminated. Channels the Crown had previously used to break commitments were closed off: the royal prerogative (allowing unilateral legislation) was curtailed and subordinated to common law; the prerogative courts that enforced Crown proclamations were abolished; and the Crown’s independent sources of revenue were limited, making it dependent on Parliament for funding (pp. 816–817). Without independent revenue, the Crown could not bypass Parliament; without the prerogative courts, it could not enforce unilateral changes in rights.</w:t>
      </w:r>
    </w:p>
    <w:p w14:paraId="22C9DF82">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Independent judiciary functioned as a bonding. The creation of a politically independent judiciary enabled judges not to serve the king, which greatly expanded the government’s ability to credibly promise to honor its agreements. The courts could enforce contracts and property rights against the government itself, providing a credible bond (pp. 816, 819). This mechanism is particularly important because it meant that even if the political branches wished to renege, an independent court system would stand as an obstacle.</w:t>
      </w:r>
    </w:p>
    <w:p w14:paraId="404F29EA">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4. Credible threat of removal. The successful dethroning of Charles /tʃɑːrlz/ I and later James /dʒeɪmz/ II established a credible threat to any future monarch who engaged in irresponsible behavior.</w:t>
      </w:r>
    </w:p>
    <w:p w14:paraId="2F05F07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5. Fiscal bargain functioned as mutual benefit. In exchange for greater parliamentary control, parliamentary interests agreed to provide sufficient tax revenue. This removed the fiscal crises that had been the primary motive for the Crown’s predatory behavior, and it gave William /ˈwɪljəm/ III the resources to wage war against France. The arrangement was thus mutually beneficial and self-enforcing.</w:t>
      </w:r>
    </w:p>
    <w:p w14:paraId="6ACAEB05">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Data</w:t>
      </w:r>
    </w:p>
    <w:p w14:paraId="2B5C966D">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Public capital markets data: (a) Government expenditure and debt levels from 1618 to 1750, compiled from multiple secondary sources including B. R. Mitchell’s British Historical Statistics, David Hume’s History of England, Derek Hirst /hɜːrst/’s Authority and Conflict, C. D. Chandaman /ˈtʃændəmən/’s The English Public Revenue, and H. Fisk /fɪsk/’s English Public Finance (Table 3, p. 822). Government debt rose from approximately £1 million in 1688 to £16.7 million by 1697 and £54 million by 1720. (b) Interest rates on government long-term borrowing from 1693 to 1739, drawn from P. G. M. Dickson /ˈdɪksən/’s The Financial Revolution in England (Table 4, p. 824). Rates fell from 14% in 1693 to 3% by the 1730s. (c) A consumer goods price index (1701 = 100) from Mitchell showing no inflationary finance despite massive increases in debt (Table 3, p. 822).</w:t>
      </w:r>
    </w:p>
    <w:p w14:paraId="0551F3C6">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Pre-1688 fiscal data: (a) Revenue sources and expenditure levels for 1617 from Hume (Table 1, p. 809), showing an annual deficit of £36,000 on total revenues of £450,000. (b) Details of forced loans by the early Stuart monarchs from 1604 to 1625, drawn from Robert Ashton /ˈæʃtən/’s The Crown and the Money Market (Table 2, p. 820), documenting repeated defaults and renegings on loan terms.</w:t>
      </w:r>
    </w:p>
    <w:p w14:paraId="145984C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Private capital markets data: (a) Growth of the stock market (short-dated securities volume) from 1690 to 1750, drawn from Dickson (Figure 1, p. 826), showing volume growing from £300,000/year in the early 1690s to £11,000,000/year by the early 1710s. (b) Bank of England notes in circulation and drawing accounts from 1698 to 1750, drawn from John Clapham /ˈklæpəm/’s The Bank of England (Table 5, p. 827). (c) Growth in the number of banks in London /ˈlʌndən/: approximately 25 by the 1720s, 30 by 1750, 50 by 1770, 70 by 1800 (p. 826). (d) Private interest rate data reported by L. S. Pressnell /ˈprɛsnəl/ and Sidney Homer /ˈhoʊmər/, showing private rates roughly paralleling public rates (p. 825).</w:t>
      </w:r>
    </w:p>
    <w:p w14:paraId="741AB436">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authors draw extensively on secondary historical sources to document the Stuart monarchs’ specific acts of expropriation, including the sale of monopoly patents, seizure of bullion in the Tower of London in 1640, sale and inflation of peerages, use of purveyance, manipulation of the court of wards, and dismissal of judges (pp. 809–814). They also document the specific institutional changes of the Revolution Settlement using standard constitutional histories by Maitland /ˈmeɪtlənd/, Keir /kɪr/, Hayek /ˈhaɪɛk/, etc..</w:t>
      </w:r>
    </w:p>
    <w:p w14:paraId="10AA58A0">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Methods</w:t>
      </w:r>
    </w:p>
    <w:p w14:paraId="7BB746E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Pre-post comparison. The core research body is a comparison of institutional arrangements, government fiscal behavior, and capital market outcomes before and after the Glorious Revolution of 1688. The authors document the Crown’s inability to borrow, its repeated defaults, and the insecurity of property rights under the Stuarts (1603–1688), and then contrast this with the dramatic expansion of government borrowing, falling interest rates, and growth of private capital markets after 1688 (pp. 819–828). The logic is that if the institutional changes credibly secured property rights, we should observe a sharp improvement in capital market conditions at the time of the Revolution, which is exactly what the data show.</w:t>
      </w:r>
    </w:p>
    <w:p w14:paraId="007715E6">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Process tracing. The authors trace the causal process from the Stuart monarchs’ fiscal pressures and institutional powers, through specific acts of expropriation, to the political opposition that led to the Civil War and eventually the Glorious Revolution, and then to the specific institutional innovations of the Revolution Settlement and their consequences for capital markets.</w:t>
      </w:r>
    </w:p>
    <w:p w14:paraId="0B4FA0CA">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The historical narrative is structured by an explicit theoretical framework drawn from the new institutional economics, particularly Oliver Williamson’s work on credible commitments, transaction costs, and governance structures.</w:t>
      </w:r>
    </w:p>
    <w:p w14:paraId="5B3E486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Assumptions that must hold for these methods to be valid:</w:t>
      </w:r>
    </w:p>
    <w:p w14:paraId="0562578C">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No other major changes occurred simultaneously with the Glorious Revolution that could independently explain the dramatic improvement in capital markets. The authors acknowledge but set aside the larger economic and religious context (p. 805).</w:t>
      </w:r>
    </w:p>
    <w:p w14:paraId="34530D69">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Capital market behavior is a reliable indicator of the perceived security of property rights, that lenders’ willingness to lend at lower rates reflects genuine belief in the government’s commitment, not merely other factors such as changes in the money supply, shifts in savings behavior, or exogenous economic growth.</w:t>
      </w:r>
    </w:p>
    <w:p w14:paraId="2F44FBE8">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Contribution</w:t>
      </w:r>
    </w:p>
    <w:p w14:paraId="491059D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Proposing classic credible commitment and economic growth theory. The article’s most obvious contribution is its clear articulation of the idea that secure property rights require not just the establishment of rules but credible institutional mechanisms to prevent the government from reneging on those rules. This “credible commitment” framework has become classic in political economy, institutional economics, and the study of economic development. It specifys the precise mechanism through which institutions promote growth: solving the sovereign’s commitment problem.</w:t>
      </w:r>
    </w:p>
    <w:p w14:paraId="2C744896">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The article established the Glorious Revolution as the paradigmatic case of institutional reform enabling economic growth, setting a target that has been used (and debated) by generations of scholars studying the relationship between political institutions and economic development.</w:t>
      </w:r>
    </w:p>
    <w:p w14:paraId="23754A7A">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Suggestions</w:t>
      </w:r>
    </w:p>
    <w:p w14:paraId="4EB87F9A">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North &amp; Weingast’s theoretical framework has limited explanatory power for Netherlands. Their logic is: credible commitment → property rights security → prosperous capital markets → economic growth. The Netherlands perfectly met these conditions before 1688: the political structure of the Dutch Republic itself was a form of parliamentary supremacy, with each province possessing veto power (even stronger than the checks and balances of the English Parliament); Amsterdam’s capital markets were far more mature than London’s; the Dutch East India Company (VOC) was the world’s first listed company; and Dutch interest rates were consistently lower than those in England (when England borrowed at 14% in the 1690s, the Netherlands could borrow long-term loans at 4%, this is precisely the comparative data North &amp; Weingast used on page 822 to demonstrate the backwardness of the English system). According to North &amp; Weingast’s logic, the Netherlands should be the ultimate beneficiary of this institutional advantage. But history tells us the opposite: the Dutch system was too good, property rights protection was too perfect, capital flows were too free, and government intervention was too little, so much so that capital naturally flowed to Britain after discovering its higher returns and significantly improved security due to the Glorious Revolution. The Netherlands’ decline was not due to a flawed system, but rather to an inherent contradiction in its institutional logic: perfect property rights protection and free capital flow, in an open international system, cannot guarantee that capital will remain in the country. History shows that the true causal chain is more complex: institutional changes in Britain + Britain’s geographical advantages (protection of the sea) + Britain’s population size and labor cost advantages + free flow of capital after the Anglo-Dutch Alliance + Britain’s military power (capable of waging war to protect and expand markets) → Dutch capital inflow into Britain → British economic rise + Dutch deindustrialization. Institutions are merely one link in this chain, not a sufficient condition.</w:t>
      </w:r>
    </w:p>
    <w:p w14:paraId="2FE846ED">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Besides, this causal chain doesn’t give market a place it seserves. The British Industrial Revolution didn't begin in 1688, but nearly a century later. During that century, what truly prepared the ground for the Industrial Revolution were the expansion of rural handicrafts, the consolidation of domestic markets, and the development of colonial markets, which were all changes on the demand side. Institutional changes made financing easier, but without a sufficiently large market to absorb industrial output, no amount of capital would flow into industry.</w:t>
      </w:r>
    </w:p>
    <w:p w14:paraId="19D51DA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Limited attention to distributional consequences. The article treats the post-1688 settlement as broadly beneficial for economic growth, but pays relatively little attention to who benefited and who lost. The “wealth holders” whose interests Parliament represented were a narrow elite including landed gentry, merchants, and financiers. The institutional changes secured their property rights, but this tells us little about the broader distributional consequences for the majority of the English population, including laborers, tenants, and the poor. As scholars like Acemoglu and Robinson have emphasized, institutions that serve elite interests may or may not promote broadly shared prosperity.</w:t>
      </w:r>
    </w:p>
    <w:p w14:paraId="59FCF30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Selection on the dependent variable and survivorship bias. The article studies a single successful case of institutional reform. We do not know how many attempts at institutional reform failed to produce credible commitment, nor do we observe cases where similar institutional features did not lead to capital market development. This makes it difficult to assess whether the specific institutional features identified by North and Weingast are truly necessary and sufficient conditions, or whether the English case was exceptional due to other factors. A more systematic comparative analysis including failed cases (e.g., Poland’s constitutional experiments, Spain’s Cortes) would strengthen the argument.</w:t>
      </w:r>
    </w:p>
    <w:p w14:paraId="464B8AB0">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Measurement of the dependent variable. While capital market data provide a compelling indicator, they are an imperfect measure of the security of property rights. First, government borrowing capacity may reflect war-driven demand as much as improved credibility. Second, interest rates reflect multiple factors beyond default risk, including liquidity, inflation expectations, and the supply of savings. Third, the data for the pre-1688 period are admittedly sparse and drawn from diverse sources, making direct comparisons difficult. The authors themselves note that the figures “are intended solely to provide an indication of underlying trends” (Table 3 note, p. 822). More granular financial data such as the pricing of specific securities, yield spreads between English and Dutch debt, or microdata on lending contracts could provide sharper tests.</w:t>
      </w:r>
    </w:p>
    <w:p w14:paraId="0DA1A78E">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Extensions</w:t>
      </w:r>
    </w:p>
    <w:p w14:paraId="2D416D37">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Extending to explain modern China’s economic growth after 1978. China achieved rapid economic growth without the formal property rights protection of the West. Maybe there's other factors, or informal property protection/contract.</w:t>
      </w:r>
    </w:p>
    <w:p w14:paraId="7B4C308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Cross-national comparative analysis. Systematically compare England’s institutional trajectory with that of France, Spain, the Netherlands, Poland, and other early modern states. Why did similar fiscal pressures in France lead to absolutism rather than parliamentary supremacy? Why did the Netherlands, which had parliamentary institutions and secure property rights even earlier than England, not achieve the same industrial revolution? Such comparisons could help isolate which specific features of the English institutional settlement were truly crucial and which were contingent on local circumstances.</w:t>
      </w:r>
    </w:p>
    <w:p w14:paraId="2F42AA2C">
      <w:pP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br w:type="page"/>
      </w:r>
    </w:p>
    <w:p w14:paraId="56191847">
      <w:pPr>
        <w:spacing w:before="160" w:after="20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Reading Three</w:t>
      </w:r>
    </w:p>
    <w:p w14:paraId="43EDCB7D">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Literature Name</w:t>
      </w:r>
    </w:p>
    <w:p w14:paraId="3B9B10D2">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States of Credit: Size, Power, and the Development of European Polities, Chapters 1–3 “Introduction,” “The Evolution and Importance of Public Credit,” and “Representative Assemblies in Europe, 1250–1750”</w:t>
      </w:r>
    </w:p>
    <w:p w14:paraId="5FD519FA">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Author(s)</w:t>
      </w:r>
    </w:p>
    <w:p w14:paraId="5541BF6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David Stasavage /ˈdeɪvɪd ˈstæsəvɪdʒ/</w:t>
      </w:r>
    </w:p>
    <w:p w14:paraId="4CB543FF">
      <w:pPr>
        <w:spacing w:before="160" w:after="8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 xml:space="preserve">Publication Year: </w:t>
      </w:r>
      <w:r>
        <w:rPr>
          <w:rFonts w:hint="default" w:ascii="Times New Roman Regular" w:hAnsi="Times New Roman Regular" w:eastAsia="Noto Sans CJK SC" w:cs="Times New Roman Regular"/>
          <w:color w:val="auto"/>
          <w:sz w:val="24"/>
          <w:szCs w:val="24"/>
        </w:rPr>
        <w:t>2011</w:t>
      </w:r>
    </w:p>
    <w:p w14:paraId="5BCD6D95">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Dependent Variable (DV)</w:t>
      </w:r>
    </w:p>
    <w:p w14:paraId="74799969">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main dependent variable is access to public credit by European states between 1250 and 1750. Stasavage operationalizes this in two ways. The first is the timing of when a state first established a long-term public debt, the date at which we first observe interest rates on long-term government loans for a given polity (p. 29 of Ch. 2). The second is the cost of borrowing, measured by the interest rate a state paid on its long-term debt (p. 38 of Ch. 2). Which states were able to borrow earlier, and which states borrowed at lower cost?  argues that a city-state that had not already created a long-term debt would be expected to have a 43% chance of doing so in a given half-century, compared to only a 5% chance for a territorial state; and that a city-state would be estimated to pay an interest rate roughly two percentage points lower than a territorial state (p. 17 of Ch. 1).</w:t>
      </w:r>
    </w:p>
    <w:p w14:paraId="04FE9159">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Independent Variable (IV)</w:t>
      </w:r>
    </w:p>
    <w:p w14:paraId="59988E1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main independent variable is the type of polity, specifically the distinction between city-states and territorial states. Stasavage  argues that the city-state versus territorial-state distinction is ultimately grounded in two deeper underlying conditions: (1) geographic scale, and (2) the composition of elite wealth (that is, whether the political elite was dominated by merchants holding liquid wealth or by landowners holding illiquid wealth) (p. 1 of Ch. 1). These two underlying factors jointly determined the form of political representation a polity could sustain, which in turn determined its access to credit. City-states were small, so the costs of regularly convening and monitoring a representative assembly were low; city-states were also dominated by merchants who themselves purchased public debt and who had direct control over city councils (pp. 1–2 of Ch. 1). Territorial states were large, making it costly to sustain active representative assemblies, and their political elites were dominated by landowners who had less interest in public credit (pp. 2, 8 of Ch. 1).</w:t>
      </w:r>
    </w:p>
    <w:p w14:paraId="001B4DB6">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Stateness</w:t>
      </w:r>
    </w:p>
    <w:p w14:paraId="194DAA6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Stasavage treats the state as a political entity that must finance itself and whose survival depends on its ability to raise funds through taxation and borrowing (pp. 25–28 of Ch. 2). The key dimension of “stateness” is the capacity to borrow at low cost, which Stasavage treats as dependent on the credibility of repayment commitments, in turn depending on the structure of political institutions. A state with a representative assembly that can monitor and modify spending and debt is, in this framework, more “credible” as a borrower and thus more successful as a state in the fiscal-military competition of premodern Europe (p. 7 of Ch. 1).</w:t>
      </w:r>
    </w:p>
    <w:p w14:paraId="713DEAA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Stasavage defines a “city-state” as a city that exerted a substantial degree of control over its economic and judicial affairs while also playing a role in organizing its own defense, with political rights restricted to inhabitants of the core city (p. 6 of Ch. 1). He includes not only fully autonomous cities like Venice and Florence, but also cities with more limited autonomy like Ghent /ɡɛnt/ and Bruges /bruːʒ/, in order to avoid selection bias. He notes that dropping the less autonomous cities from the sample actually strengthens his results (pp. 6, 33 of Ch. 1 and Ch. 2).</w:t>
      </w:r>
    </w:p>
    <w:p w14:paraId="43423202">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Core Argument</w:t>
      </w:r>
    </w:p>
    <w:p w14:paraId="572D6187">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Stasavage’s core argument: First, access to public credit was critically important for the survival and success of European states in an era of incessant warfare, because military expenditures often arose suddenly and could not be met by immediate increases in taxation alone (pp. 25–28 of Ch. 2). Second, in order for individuals to lend to a government, they needed assurance that the government would take policy actions consistent with eventual debt repayment. For example, that the executive would not divert resources to personal consumption or overly expensive military ventures (p. 7 of Ch. 1). Third, because it was infeasible for lenders to specify in advance a complete contract covering all contingencies, one solution was for the executive to concede a degree of control rights over future policy to lenders, via a representative assembly that could monitor and modify public expenditures.</w:t>
      </w:r>
    </w:p>
    <w:p w14:paraId="774150E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cost of exercising such a control right depended critically on geographic scale: in large territorial states, the costs of sending representatives to a distant assembly, of having the assembly meet frequently enough to monitor spending, and of constituents monitoring their own representatives, were all prohibitively high (p. 8 of Ch. 1). In small city-states, assemblies could be convened by something as simple as the ringing of a town bell (p. 14 of Ch. 1). The effectiveness of representation also depended on the composition of the political elite: Merchants held liquid wealth that could be quickly converted into government annuities; landowners held illiquid wealth. Merchants were therefore the natural purchasers of public debt. In city-states, merchants dominated the political elite and could use their control of city councils to ensure that taxes would be levied to service debt. In territorial states, landowners dominated assemblies and had less stake in ensuring debt repayment (pp. 15–16 of Ch. 1).</w:t>
      </w:r>
    </w:p>
    <w:p w14:paraId="2D90F2B4">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Even within the group of city-states, those with more oligarchical institutions where merchant elites formally reserved seats on city councils and representatives were selected by cooptation rather than election tended to have better access to credit than those with more open, democratic institutions (pp. 2, 13–14 of Ch. 1). This is because when popular pressures led to the inclusion of craft guild members on city councils, the new representatives were less likely to own public debt and more likely to bear the tax burden of debt servicing, creating incentives to default or reduce interest payments (pp. 2, 13, 18 of Ch. 1). Stasavage frames this as a trade-off: more oligarchical institutions could reinforce the credibility of debt repayment, but at the cost of broader political participation.</w:t>
      </w:r>
    </w:p>
    <w:p w14:paraId="4A89AAD6">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Mechanisms</w:t>
      </w:r>
    </w:p>
    <w:p w14:paraId="694B71A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same as the left.</w:t>
      </w:r>
    </w:p>
    <w:p w14:paraId="608598D2">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Data</w:t>
      </w:r>
    </w:p>
    <w:p w14:paraId="77796B2A">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Stasavage constructs an original dataset covering 31 European states (19 city-states and 12 territorial states) over five centuries from 1250 to 1750 (p. 16 of Ch. 1). The unit of analysis is the state-half-century (i.e., each state is observed across successive 50-year periods).</w:t>
      </w:r>
    </w:p>
    <w:p w14:paraId="374DBC8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On the dependent variable (public credit): The data on the timing of the first long-term debt come from a systematic review of secondary sources cited by Stephan Epstein /ˈstɛfən ˈɛpstaɪn/ (2000), supplemented by numerous additional sources. Stasavage substantially augmented Epstein’s dataset by adding new polities, extending the time coverage, and refining measurement (pp. 29–30 of Ch. 2). Interest rate data are based on nominal rates at issue when available, and on a fiscal proxy (the ratio of annual debt service to total debt stock) when they are not. He notes that across the sample, interest rates measured by the fiscal proxy method were not significantly different from nominal rates (p. 38 of Ch. 2). He also distinguishes between types of debt instruments: life annuities versus perpetual annuities, forced loans versus voluntary loans (p. 16 of Ch. 1).</w:t>
      </w:r>
    </w:p>
    <w:p w14:paraId="7A280667">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On the independent variables (political representation): For each of the 31 states and each 50-year period, Stasavage codes four binary indicators from secondary historical sources: (1) whether a representative assembly existed; (2) whether the assembly had veto power over taxes; (3) whether the assembly played a direct role in administering tax collection; and (4) whether the assembly directly controlled spending and debt decisions (pp. 55–57 of Ch. 3). He also codes the frequency with which assemblies met (on a scale from 0 to 1, where 1 means at least annually), and the degree of merchant representation in the assembly (pp. 62, 65–66 of Ch. 3). Geographic scale is measured by the natural log of a polity’s area in square kilometers, and alternatively by a “polity scale” measure that captures the log distance the average urban inhabitant would need to travel to reach the capital (pp. 66–67 of Ch. 3). Sources for the representation data are drawn from an extensive set of secondary works, including the multi-volume studies published by the Société Jean Bodin /soʊsjeˈteɪ ʒɑːn boʊˈdæ̃/ and the International Commission for the History of Representative and Parliamentary Institutions, as listed in Table 3.1 (pp. 54–56 of Ch. 3).</w:t>
      </w:r>
    </w:p>
    <w:p w14:paraId="04AB03E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Controls and additional variables: Stasavage uses urbanization rates as a proxy for economic and commercial development. He also employs data on returns to land rents across five European regions (England, France, Flanders /ˈflændərz/, Germany, Italy) from Clark (1988) to construct a measure of the “risk premium” paid by governments, namely the difference between observed government borrowing rates and prevailing private land-rent returns (pp. 40–41 of Ch. 2). Revenue volatility data are also compiled for a smaller subset of states to evaluate the possibility that city-states simply had more stable revenues (pp. 45–46 of Ch. 2).</w:t>
      </w:r>
    </w:p>
    <w:p w14:paraId="72B43799">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Methods</w:t>
      </w:r>
    </w:p>
    <w:p w14:paraId="20502F3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In Chapters 1–3, Stasavage primarily presents descriptive evidence and preliminary regression analysis.</w:t>
      </w:r>
    </w:p>
    <w:p w14:paraId="7E27792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Descriptive comparisons: Stasavage uses histograms, time-series plots, and simple summary statistics to establish the basic empirical patterns. Figure 2.1 shows that city-states created long-term debts much earlier than territorial states. Figure 2.2 plots all interest rate observations over time, revealing both a secular decline and substantial variation, with city-states consistently borrowing at lower rates. Figure 2.4 plots the difference between government borrowing rates and private land-rent returns to show that city-states paid lower risk premiums (pp. 31–32, 39–41 of Ch. 2).</w:t>
      </w:r>
    </w:p>
    <w:p w14:paraId="2CD3216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OLS regressions on assembly meeting frequency: In Chapter 3, Table 3.2, Stasavage reports OLS regressions of assembly meeting frequency on geographic scale measures, with period dummies included. He estimates this both in levels and in first differences. The first-difference specification is important because it controls for all time-invariant unobserved factors specific to each polity. Using the “polity scale” measure, geographic scale is statistically significant both in levels and in first differences (pp. 67–68 of Ch. 3). Standard errors are clustered to allow for within-polity correlation.</w:t>
      </w:r>
    </w:p>
    <w:p w14:paraId="4A3D3FC9">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Key assumptions for validity: (1) The coding of institutional characteristics from secondary sources must be reasonably accurate and not systematically biased in favor of the hypothesis. Stasavage acknowledges possible errors but argues the patterns are too large to be artifacts of coding choices (p. 68 of Ch. 3). (2) The interest rate data must be comparable across states and time periods despite differences in measurement methods, and he controls for instrument type and measurement method in Chapter 4’s regressions (p. 16 of Ch. 1). (3) For the first-difference regressions to identify a causal effect of geographic scale on meeting frequency, changes in geographic scale must not be driven by the same factors that also independently cause changes in meeting frequency. Because geographic scale is highly persistent (R² = 0.93 in a regression on polity dummies), first differencing is a very demanding test and the log-area variable loses significance, but the polity-scale variable remains significant (p. 68 of Ch. 3). (4) For the broader causal claim that city-states had better credit access because of their representative institutions, one must rule out the possibility that city-states simply emerged in more economically developed regions, a concern Stasavage addresses with instrumental variables in Chapter 5 using distance from the Carolingian /ˌkærəˈlɪndʒɪən/ partition line at the Treaty of Meersen /ˈmɪərsən/ in 870 (pp. 19–20 of Ch. 1).</w:t>
      </w:r>
    </w:p>
    <w:p w14:paraId="0F828C92">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Contribution</w:t>
      </w:r>
    </w:p>
    <w:p w14:paraId="317735E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Assembling a uniquely comprehensive dataset on public credit and political representation for 31 European states over 500 years. Prior scholarship had examined individual cases or small groups of states. Stasavage’s dataset, building on and substantially extending Epstein (2000), provides the first systematic empirical basis for comparing credit and representation across the full range of European polity types.</w:t>
      </w:r>
    </w:p>
    <w:p w14:paraId="2C06BB30">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Within the Tillyan bellicist tradition, Stasavage introduces an important qualification: large size gave states a larger population base for armies, but in an era of paid rather than conscripted armies, raising forces required rapid mobilization of credit. City-states could mobilize credit far more effectively than territorial states, which is why they survived as political entities far longer than the standard “military revolution” narrative would predict.</w:t>
      </w:r>
    </w:p>
    <w:p w14:paraId="784D9F9F">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Suggestions</w:t>
      </w:r>
    </w:p>
    <w:p w14:paraId="492D83F3">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The most fundamental concern is that the city-state versus territorial-state distinction is not exogenous. City-states emerged in areas that were already more commercially developed, more urbanized, and more integrated into European trade networks. It could be that these same economic conditions directly facilitated access to credit, rather than the representative institutions of city-states.</w:t>
      </w:r>
    </w:p>
    <w:p w14:paraId="28C48E77">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Stasavage’s framework emphasizes the institutional conditions under which governments could credibly commit to repayment, but it gives less attention to the supply side, including the broader capital-market conditions, the development of financial intermediaries, and the role of international financial networks. The activities of great banking houses (Bardi, Peruzzi, Medici, Fugger) and the development of practices like bills of exchange may have been independently important for state borrowing, and these are not systematically incorporated into the framework.</w:t>
      </w:r>
    </w:p>
    <w:p w14:paraId="7F044D6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The finding that merchant oligarchies had better credit could partly reflect the fact that oligarchies prevented redistributive policies that would have damaged economic performance generally, rather than specifically reflecting the alignment of creditor interests with political power. In other words, oligarchies may have been better governed across many dimensions, and credit access may have been just one symptom of this broader quality of governance.</w:t>
      </w:r>
    </w:p>
    <w:p w14:paraId="2F88D679">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Extensions</w:t>
      </w:r>
    </w:p>
    <w:p w14:paraId="27525DC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Testing the theory outside Europe. Stasavage’s framework is explicitly European. One natural extension is to test whether the same geographic-scale and elite-composition mechanisms operated in other regions where city-states and territorial states coexisted. For example, in Song-dynasty China, the Malay /məˈleɪ/ Archipelago, or West Africa. If the mechanisms are truly general, we should observe similar credit advantages for smaller, merchant-dominated polities in non-European settings. If not, this would help identify what was specifically European about the phenomenon.</w:t>
      </w:r>
    </w:p>
    <w:p w14:paraId="2E8A5793">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Stasavage’s argument implies that improvements in communication and transportation technology should weaken the geographic-scale constraint on representation. This prediction could be tested historically (did the railroad and telegraph change the functioning of territorial-state assemblies?) or in contemporary contexts (does internet access improve the functioning of legislative oversight in geographically large countries?). We can link Stasavage’s historical argument to modern debates about e-governance and digital democracy.</w:t>
      </w:r>
    </w:p>
    <w:p w14:paraId="56F95D79">
      <w:pP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br w:type="page"/>
      </w:r>
    </w:p>
    <w:p w14:paraId="0E081394">
      <w:pPr>
        <w:spacing w:before="160" w:after="20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Reading Four</w:t>
      </w:r>
    </w:p>
    <w:p w14:paraId="188AEAA9">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Literature Name</w:t>
      </w:r>
    </w:p>
    <w:p w14:paraId="2BB634D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Representation through Taxation: Revenue, Politics, and Development in Postcommunist States, Chapters 1 &amp; 3, “Laxes, Representation, and Economic Development in the Russian Heartland,” “The Logic of Representation through Taxation”</w:t>
      </w:r>
    </w:p>
    <w:p w14:paraId="413FB29A">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Author(s)</w:t>
      </w:r>
    </w:p>
    <w:p w14:paraId="28041C2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Scott Gehlbach /skɑːt ˈɡɛlbɑːk/</w:t>
      </w:r>
    </w:p>
    <w:p w14:paraId="164AF9D9">
      <w:pPr>
        <w:spacing w:before="160" w:after="8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 xml:space="preserve">Publication Year: </w:t>
      </w:r>
      <w:r>
        <w:rPr>
          <w:rFonts w:hint="default" w:ascii="Times New Roman Regular" w:hAnsi="Times New Roman Regular" w:eastAsia="Noto Sans CJK SC" w:cs="Times New Roman Regular"/>
          <w:color w:val="auto"/>
          <w:sz w:val="24"/>
          <w:szCs w:val="24"/>
        </w:rPr>
        <w:t>2008</w:t>
      </w:r>
    </w:p>
    <w:p w14:paraId="457E276F">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Dependent Variable (DV)</w:t>
      </w:r>
    </w:p>
    <w:p w14:paraId="5B884DAC">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main dependent variable is the provision of sector-specific collective goods (such as justice, police protection, regulatory frameworks, and other state services) to different economic sectors in postcommunist states. A secondary dependent variable is economic development, specifically the growth (or stunting) of new private enterprise which is exemplified by small firms in competitive industries in postcommunist economies. In Chapter 1, Gehlbach frames the overarching puzzle as: who did postcommunist politicians favor in the provision of collective goods, and what were the consequences for economic development? (pp. 17–18). In Chapter 3, the formal model’s dependent variable is explicitly the equilibrium allocation of collective goods across sectors (p. 64).</w:t>
      </w:r>
    </w:p>
    <w:p w14:paraId="46DB561A">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Independent Variable (IV)</w:t>
      </w:r>
    </w:p>
    <w:p w14:paraId="03DD0EB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main independent variable is the “taxability” of economic sectors, defined as the degree to which firms in a sector find it costly to hide revenues from tax authorities (p. 65). This concept captures the structural ease with which the state can extract revenue from different types of economic activity. Taxability is shaped by the design of postcommunist tax systems, which in turn was determined by initial conditions at the start of the transition (inherited industrial structure, proximity to Western Europe, and levels of economic development) (pp. 17–18). A secondary independent variable is the organization of economic sectors (i.e., their capacity for collective action in the Olsonian sense), which interacts with taxability to determine collective-goods provision. Gehlbach argues that taxability, not just organization, determines political representation.</w:t>
      </w:r>
    </w:p>
    <w:p w14:paraId="4339CBD4">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Stateness</w:t>
      </w:r>
    </w:p>
    <w:p w14:paraId="097DB8AA">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Gehlbach conceptualizes state primarily through its fiscal capacity, the ability to design tax systems, enforce tax compliance, and extract revenue from the economy. State building in this account is about the creation of tax systems following the collapse of communism. Under communism, taxation was merely an accounting exercise because the state owned productive assets; the transition to private ownership required building bureaucracies capable of locating and taxing private actors (p. 20). The key dimension of state capacity here is not coercive or administrative capacity in general, but specifically the state’s differential capacity to tax different sectors. The state is “strong” facing monopolistic enterprises inherited from the Soviet era (because it knows how to monitor and tax them) but “weak”facing small, private firms (because its tax apparatus was never designed to reach them). This uneven fiscal capacity is the central feature of the postcommunist state in Gehlbach’s account.</w:t>
      </w:r>
    </w:p>
    <w:p w14:paraId="73442879">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Core Argument</w:t>
      </w:r>
    </w:p>
    <w:p w14:paraId="7A3CFAA9">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core argument is that in the postcommunist world, political representation, namely which sectors of the economy receive favorable treatment from the state, is determined not only by the organization of interests (according to Olson) but also, and sometimes primarily, by the anticipated tax compliance of those sectors. Gehlbach calls it “representation through taxation”.</w:t>
      </w:r>
    </w:p>
    <w:p w14:paraId="1CFB5CB2">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First, initial conditions at the start of the postcommunist transition led to divergent tax systems: the former Soviet Union (FSU) continued relying on enterprise taxes and taxes on goods and services (familiar communist-era revenue sources), while Eastern Europe transitioned to personal income taxation to align with EU norms (pp. 5–6).</w:t>
      </w:r>
    </w:p>
    <w:p w14:paraId="5E75FA46">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Second, these tax system designs produced very different patterns of tax compliance. In the FSU, tax authorities concentrated on large, monopolistic enterprises, leaving small firms and competitive industries relatively free to evade taxes. In Eastern Europe, the revenue net was cast more widely, producing smaller differences in compliance across sectors (p. 6).</w:t>
      </w:r>
    </w:p>
    <w:p w14:paraId="4DEAA11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Third, these patterns of differential taxability shaped politicians’ incentives. In the FSU, where differences in taxability were large and tax revenue was politically urgent (to pay state wages and maintain power), politicians disproportionately provided collective goods to sectors that were easy to tax, even if those sectors were not politically organized. This came at the expense of sectors that were harder to tax, notably the small-business sector crucial for long-term development (pp. 3, 11–14).</w:t>
      </w:r>
    </w:p>
    <w:p w14:paraId="577A91C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Gehlbach argues that governments do not merely structure tax systems around existing economic activity; they also structure the tax base itself, promoting economic activity they can tax at the expense of that which they cannot (p. 6). Against Olson’s Logic of Collective Action, he argues that organized interests do not always win. Unorganized but highly taxable sectors may be favored when tax revenue is politically important (pp. 10–11). Against Robert Bates’s /ˈrɒbərt ˈbeɪtsɪz/ Markets and States in Tropical Africa, he argues that the organization of interests is neither necessary nor sufficient to explain development outcomes; the state’s capacity to extract revenue from different sectors is equally or more important (p. 16).</w:t>
      </w:r>
    </w:p>
    <w:p w14:paraId="1014C418">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Mechanisms</w:t>
      </w:r>
    </w:p>
    <w:p w14:paraId="4E413385">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Same as the left, plus the following:</w:t>
      </w:r>
    </w:p>
    <w:p w14:paraId="3C743461">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central mechanism is that tax compliance is “noncontractible.” Organized sectors cannot credibly promise that their members will pay more taxes in exchange for collective goods, because individual firms have incentives to free-ride by hiding what they can get away with (pp. 61, 64–65). This means that the anticipated (not promised) tax compliance of sectors, determined by their structural “taxability,” shapes the division of gains between the state and private actors from any policy the politician might adopt (p. 62).</w:t>
      </w:r>
    </w:p>
    <w:p w14:paraId="4AB6A5C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politician’s objective function is maximizing a weighted average of tax revenue (from all sectors) and contributions (from organized sectors only). When tax revenue is politically important (high γ in the formal model), the politician favors sectors that provide more tax revenue, which are those whose firms find it more costly to hide,  i.e. more taxable sectors. When tax revenue is less important, the standard Olsonian logic prevails and organized sectors are favored regardless of taxability.</w:t>
      </w:r>
    </w:p>
    <w:p w14:paraId="7401CD41">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Once a sector becomes a major revenue source through deliberate government promotion, politicians become dependent on it for revenue, creating a “revenue trap.” Even when a new governor (Kuznetsov /kuzˈnɛtsɒf/) tried to dismantle preferential treatment for vodka, he was forced to retreat because the regional budget depended on vodka tax revenue (pp. 15–16). This creates path dependence: the initial choice of tax system design locks in patterns of economic development, as labor and capital remain in sectors that receive collective goods, and politicians remain dependent on those sectors for revenue (p. 17).</w:t>
      </w:r>
    </w:p>
    <w:p w14:paraId="6BBE7B8C">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In the FSU, the disproportionate provision of collective goods to “old” (easily taxable) economic activity crowded out “new” (hard to tax) private enterprise. Small businesses, which could easily evade taxes, received less government support, worse regulatory treatment, and less police and judicial protection — not because they lacked lobbying power (though they did), but because they contributed little to state revenue (pp. 11–14).</w:t>
      </w:r>
    </w:p>
    <w:p w14:paraId="77F8218A">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Data</w:t>
      </w:r>
    </w:p>
    <w:p w14:paraId="785524B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Gehlbach uses multiple types of data across the book. Chapter 1 relies primarily on evidence from Pskov oblast /pskɒf ˈɒblæst/, a region in northwestern Russia:</w:t>
      </w:r>
    </w:p>
    <w:p w14:paraId="47D975A8">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Interviews with regional officials (e.g., Vadim Petrukhin /vɑːˈdiːm pɪˈtruːxɪn/, head of the oblast Committee for Economic Development, interviewed July 13, 2005) and civil society actors in Pskov (p. 2, fn. 4).</w:t>
      </w:r>
    </w:p>
    <w:p w14:paraId="2B3430F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Local and national newspaper reports from Pskovskaia Pravda, Rossiiskaia Gazeta, Pskovskaia Guberniia, Pskovskaia Lenta Novostei, and others (throughout Ch. 1).</w:t>
      </w:r>
    </w:p>
    <w:p w14:paraId="4942AF8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Online forum posts by former governor Mikhailov under the pseudonym “Specialist,” confirmed by individuals in Pskov (p. 9, fn. 22).</w:t>
      </w:r>
    </w:p>
    <w:p w14:paraId="46231D4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4. Audit Chamber reports on subsidies to vodka production (p. 8, fn. 20).</w:t>
      </w:r>
    </w:p>
    <w:p w14:paraId="0F15DD26">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Methods</w:t>
      </w:r>
    </w:p>
    <w:p w14:paraId="523E66F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Qualitative case study (Chapter 1). A detailed process-tracing study of vodka politics in Pskov oblast, Russia, drawing on interviews, newspaper archives, government reports, and online forum posts. This serves as a plausibility probe and illustration of the causal mechanisms (entire Ch. 1).</w:t>
      </w:r>
    </w:p>
    <w:p w14:paraId="38CF9DCE">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The formal model’s predictions depend on the truthfulness of contribution schedules and the noncontractibility of tax compliance. The case study’s generalizability depends on Pskov being representative of broader dynamics in the FSU, which Gehlbach argues it is.</w:t>
      </w:r>
    </w:p>
    <w:p w14:paraId="0B3DFEE3">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Contribution</w:t>
      </w:r>
    </w:p>
    <w:p w14:paraId="0129BB37">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Introducing a heoretical framework that extends and challenges the Olsonian paradigm of interest-group politics. By showing that the “taxability” of sectors can determine political representation independently of (and sometimes overriding) collective action capacity, Gehlbach offers a new lens for settings where fiscal capacity is weak and unevenly distributed.</w:t>
      </w:r>
    </w:p>
    <w:p w14:paraId="7E4C76CC">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Extending Levi’s Of Rule and Revenue by showing that governments do not merely structure tax systems around existing economic structures but actively shape the tax base itself, promoting taxable economic activity and suppressing less taxable activity.</w:t>
      </w:r>
    </w:p>
    <w:p w14:paraId="743CB6B3">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Providing an explanation for one of the central puzzles of postcommunism: why did small enterprise flourish in Eastern Europe but stagnate in the former Soviet Union?</w:t>
      </w:r>
    </w:p>
    <w:p w14:paraId="08A8F618">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Suggestions</w:t>
      </w:r>
    </w:p>
    <w:p w14:paraId="255554EF">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Endogeneity of taxability. The key independent variable sectoral taxability is not fully exogenous. Politicians may choose to invest in monitoring capacity for sectors they wish to favor for other reasons (e.g., political connections, personal enrichment). The book acknowledges that firm characteristics “interact in important ways with the tax systems of the countries in which firms are located” (p. 66), but does not fully address reverse causality. A potential improvement would be to exploit natural experiments or instrumental variables that affect taxability but not collective-goods provision through other channels such as using geographic variation in the presence of Soviet-era industrial infrastructure as an instrument for sectoral taxability.</w:t>
      </w:r>
    </w:p>
    <w:p w14:paraId="7BAB8C29">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Collective action capacity is proxied by business association membership in the BEEPS data. This is a common but imperfect measure: some firms may join associations for networking rather than lobbying, and some effective lobbying may occur through informal channels not captured by formal membership. More direct measures of lobbying expenditure or political access would strengthen the analysis.</w:t>
      </w:r>
    </w:p>
    <w:p w14:paraId="1E54188B">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3. While Gehlbach argues that the Pskov case illustrates broader dynamics, Pskov is a small, impoverished, peripheral region with an unusual political history (an LDPR governor). The mechanisms illustrated there may be more extreme than typical, especially the creation of a new industry from scratch. Comparative case studies of regions with different economic profiles would strengthen the argument.</w:t>
      </w:r>
    </w:p>
    <w:p w14:paraId="4F635131">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4. The argument treats the postcommunist world as essentially divided into two halves, the binary FSU/Eastern Europe divide. This may obscure important within-group variation. For example, Russia’s resource-rich regions may differ sharply from Central Asian states, and the Czech Republic may differ from Romania. More fine-grained analysis within each group could refine the argument.</w:t>
      </w:r>
    </w:p>
    <w:p w14:paraId="3C87B872">
      <w:pPr>
        <w:spacing w:before="160" w:after="20" w:line="240"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b/>
          <w:color w:val="auto"/>
          <w:sz w:val="24"/>
          <w:szCs w:val="24"/>
        </w:rPr>
        <w:t>Extensions</w:t>
      </w:r>
    </w:p>
    <w:p w14:paraId="16BBF3E6">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1. As economies become more digitized, the taxability of different sectors is changing rapidly. Tech firms that operate primarily through digital transactions may become more taxable (because digital trails are harder to erase) or less taxable (because they can easily shift operations across jurisdictions). How does changing taxability reshape political representation in the 21st century? This could update Gehlbach’s framework for contemporary political economy.</w:t>
      </w:r>
    </w:p>
    <w:p w14:paraId="66F0659D">
      <w:pPr>
        <w:spacing w:before="0" w:after="100" w:line="259" w:lineRule="auto"/>
        <w:rPr>
          <w:rFonts w:hint="default" w:ascii="Times New Roman Regular" w:hAnsi="Times New Roman Regular" w:cs="Times New Roman Regular"/>
          <w:color w:val="auto"/>
          <w:sz w:val="24"/>
          <w:szCs w:val="24"/>
        </w:rPr>
      </w:pPr>
      <w:r>
        <w:rPr>
          <w:rFonts w:hint="default" w:ascii="Times New Roman Regular" w:hAnsi="Times New Roman Regular" w:eastAsia="Noto Sans CJK SC" w:cs="Times New Roman Regular"/>
          <w:color w:val="auto"/>
          <w:sz w:val="24"/>
          <w:szCs w:val="24"/>
        </w:rPr>
        <w:t>2. Gehlbach’s model treats the politician as valuing tax revenue and contributions but does not explicitly model corruption (bribes, side payments). In practice, highly taxable sectors may also be more susceptible to corrupt extraction, which could either reinforce or counteract the representation-through-taxation logic. Integrating corruption into the formal model would be an extension direction.</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panose1 w:val="02020609040205080304"/>
    <w:charset w:val="80"/>
    <w:family w:val="roman"/>
    <w:pitch w:val="default"/>
    <w:sig w:usb0="A00002BF" w:usb1="68C7FCFB" w:usb2="00000010" w:usb3="00000000" w:csb0="4002009F" w:csb1="DFD7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Geneva">
    <w:panose1 w:val="020B0503030404040204"/>
    <w:charset w:val="00"/>
    <w:family w:val="auto"/>
    <w:pitch w:val="default"/>
    <w:sig w:usb0="E00002FF" w:usb1="5200205F" w:usb2="00A0C000" w:usb3="00000200" w:csb0="2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41A79">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00B47730"/>
    <w:rsid w:val="00034616"/>
    <w:rsid w:val="0006063C"/>
    <w:rsid w:val="0015074B"/>
    <w:rsid w:val="0029639D"/>
    <w:rsid w:val="00326F90"/>
    <w:rsid w:val="00AA1D8D"/>
    <w:rsid w:val="00B47730"/>
    <w:rsid w:val="00CB0664"/>
    <w:rsid w:val="00FC693F"/>
    <w:rsid w:val="6DBFFE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7"/>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夏一丹</cp:lastModifiedBy>
  <dcterms:modified xsi:type="dcterms:W3CDTF">2026-07-02T10:30:28Z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21D5DA745C02FB7F0476466A44A64EFA_42</vt:lpwstr>
  </property>
</Properties>
</file>