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rkus-reinhardt"/>
    <w:p>
      <w:pPr>
        <w:pStyle w:val="Heading1"/>
      </w:pPr>
      <w:r>
        <w:t xml:space="preserve">Markus Reinhardt</w:t>
      </w:r>
    </w:p>
    <w:p>
      <w:pPr>
        <w:pStyle w:val="FirstParagraph"/>
      </w:pPr>
      <w:r>
        <w:t xml:space="preserve">Lawyer transitioning to consulting · Köln, Deutschland</w:t>
      </w:r>
      <w:r>
        <w:t xml:space="preserve"> </w:t>
      </w:r>
      <w:r>
        <w:t xml:space="preserve">markus.reinhardt@example.com · +49 221 5544998</w:t>
      </w:r>
    </w:p>
    <w:bookmarkStart w:id="20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Volljurist mit fünf Jahren Erfahrung in Wirtschaftsrechtskanzleien. Ergänzende MBA-Ausbildung in 2024 abgeschlossen. Strebe einen Wechsel in die Strategieberatung an, mit Fokus auf M&amp;A und regulierte Industrien.</w:t>
      </w:r>
    </w:p>
    <w:bookmarkEnd w:id="20"/>
    <w:bookmarkStart w:id="21" w:name="berufserfahrung"/>
    <w:p>
      <w:pPr>
        <w:pStyle w:val="Heading2"/>
      </w:pPr>
      <w:r>
        <w:t xml:space="preserve">Berufserfahrung</w:t>
      </w:r>
    </w:p>
    <w:p>
      <w:pPr>
        <w:pStyle w:val="FirstParagraph"/>
      </w:pPr>
      <w:r>
        <w:rPr>
          <w:bCs/>
          <w:b/>
        </w:rPr>
        <w:t xml:space="preserve">Senior Associate</w:t>
      </w:r>
      <w:r>
        <w:t xml:space="preserve"> </w:t>
      </w:r>
      <w:r>
        <w:t xml:space="preserve">· Freshfields Bruckhaus Deringer · Frankfurt · August 2020 – Juli 2024</w:t>
      </w:r>
      <w:r>
        <w:t xml:space="preserve"> </w:t>
      </w:r>
      <w:r>
        <w:t xml:space="preserve">- M&amp;A-Transaktionen für DAX- und MDAX-Unternehmen</w:t>
      </w:r>
      <w:r>
        <w:t xml:space="preserve"> </w:t>
      </w:r>
      <w:r>
        <w:t xml:space="preserve">- Schwerpunkt: Banken- und Versicherungsrecht, regulierte Übernahmen</w:t>
      </w:r>
      <w:r>
        <w:t xml:space="preserve"> </w:t>
      </w:r>
      <w:r>
        <w:t xml:space="preserve">- Mitwirkung an Transaktionen mit Volumen über 1 Mrd. EUR</w:t>
      </w:r>
    </w:p>
    <w:p>
      <w:pPr>
        <w:pStyle w:val="BodyText"/>
      </w:pPr>
      <w:r>
        <w:rPr>
          <w:bCs/>
          <w:b/>
        </w:rPr>
        <w:t xml:space="preserve">Associate</w:t>
      </w:r>
      <w:r>
        <w:t xml:space="preserve"> </w:t>
      </w:r>
      <w:r>
        <w:t xml:space="preserve">· Hengeler Mueller · Düsseldorf · September 2018 – Juli 2020</w:t>
      </w:r>
      <w:r>
        <w:t xml:space="preserve"> </w:t>
      </w:r>
      <w:r>
        <w:t xml:space="preserve">- Beratung bei Unternehmenstransaktionen und kartellrechtlichen Verfahren</w:t>
      </w:r>
    </w:p>
    <w:p>
      <w:pPr>
        <w:pStyle w:val="BodyText"/>
      </w:pPr>
      <w:r>
        <w:rPr>
          <w:bCs/>
          <w:b/>
        </w:rPr>
        <w:t xml:space="preserve">Wissenschaftlicher Mitarbeiter</w:t>
      </w:r>
      <w:r>
        <w:t xml:space="preserve"> </w:t>
      </w:r>
      <w:r>
        <w:t xml:space="preserve">· Universität Köln, Lehrstuhl für Bankrecht · Oktober 2016 – August 2018</w:t>
      </w:r>
    </w:p>
    <w:bookmarkEnd w:id="21"/>
    <w:bookmarkStart w:id="22" w:name="ausbildung"/>
    <w:p>
      <w:pPr>
        <w:pStyle w:val="Heading2"/>
      </w:pPr>
      <w:r>
        <w:t xml:space="preserve">Ausbildung</w:t>
      </w:r>
    </w:p>
    <w:p>
      <w:pPr>
        <w:pStyle w:val="FirstParagraph"/>
      </w:pPr>
      <w:r>
        <w:rPr>
          <w:bCs/>
          <w:b/>
        </w:rPr>
        <w:t xml:space="preserve">MBA</w:t>
      </w:r>
      <w:r>
        <w:t xml:space="preserve"> </w:t>
      </w:r>
      <w:r>
        <w:t xml:space="preserve">· IESE Business School Barcelona · September 2023 – Juni 2024</w:t>
      </w:r>
      <w:r>
        <w:t xml:space="preserve"> </w:t>
      </w:r>
      <w:r>
        <w:t xml:space="preserve">Schwerpunkt: Strategy and Finance. Berufsbegleitend abgeschlossen während Tätigkeit bei Freshfields.</w:t>
      </w:r>
    </w:p>
    <w:p>
      <w:pPr>
        <w:pStyle w:val="BodyText"/>
      </w:pPr>
      <w:r>
        <w:rPr>
          <w:bCs/>
          <w:b/>
        </w:rPr>
        <w:t xml:space="preserve">Zweites Juristisches Staatsexamen</w:t>
      </w:r>
      <w:r>
        <w:t xml:space="preserve"> </w:t>
      </w:r>
      <w:r>
        <w:t xml:space="preserve">· OLG Düsseldorf · 2018</w:t>
      </w:r>
      <w:r>
        <w:t xml:space="preserve"> </w:t>
      </w:r>
      <w:r>
        <w:t xml:space="preserve">Note: vollbefriedigend.</w:t>
      </w:r>
    </w:p>
    <w:p>
      <w:pPr>
        <w:pStyle w:val="BodyText"/>
      </w:pPr>
      <w:r>
        <w:rPr>
          <w:bCs/>
          <w:b/>
        </w:rPr>
        <w:t xml:space="preserve">Erstes Juristisches Staatsexamen</w:t>
      </w:r>
      <w:r>
        <w:t xml:space="preserve"> </w:t>
      </w:r>
      <w:r>
        <w:t xml:space="preserve">· Universität Köln · 2016</w:t>
      </w:r>
      <w:r>
        <w:t xml:space="preserve"> </w:t>
      </w:r>
      <w:r>
        <w:t xml:space="preserve">Note: gut.</w:t>
      </w:r>
    </w:p>
    <w:p>
      <w:pPr>
        <w:pStyle w:val="BodyText"/>
      </w:pPr>
      <w:r>
        <w:rPr>
          <w:bCs/>
          <w:b/>
        </w:rPr>
        <w:t xml:space="preserve">Studium der Rechtswissenschaften</w:t>
      </w:r>
      <w:r>
        <w:t xml:space="preserve"> </w:t>
      </w:r>
      <w:r>
        <w:t xml:space="preserve">· Universität Köln · 2011 – 2016</w:t>
      </w:r>
    </w:p>
    <w:bookmarkEnd w:id="22"/>
    <w:bookmarkStart w:id="23" w:name="sprachen"/>
    <w:p>
      <w:pPr>
        <w:pStyle w:val="Heading2"/>
      </w:pPr>
      <w:r>
        <w:t xml:space="preserve">Sprachen</w:t>
      </w:r>
    </w:p>
    <w:p>
      <w:pPr>
        <w:pStyle w:val="FirstParagraph"/>
      </w:pPr>
      <w:r>
        <w:t xml:space="preserve">Deutsch (Muttersprache), Englisch (C2), Französisch (B2)</w:t>
      </w:r>
    </w:p>
    <w:bookmarkEnd w:id="23"/>
    <w:bookmarkStart w:id="24" w:name="tools-und-methoden"/>
    <w:p>
      <w:pPr>
        <w:pStyle w:val="Heading2"/>
      </w:pPr>
      <w:r>
        <w:t xml:space="preserve">Tools und Methoden</w:t>
      </w:r>
    </w:p>
    <w:p>
      <w:pPr>
        <w:pStyle w:val="FirstParagraph"/>
      </w:pPr>
      <w:r>
        <w:t xml:space="preserve">Microsoft Excel · Microsoft PowerPoint · Microsoft Word · think-cell (im MBA-Programm gelernt)</w:t>
      </w:r>
    </w:p>
    <w:bookmarkEnd w:id="24"/>
    <w:bookmarkStart w:id="25" w:name="was-mich-qualifiziert-für-beratung"/>
    <w:p>
      <w:pPr>
        <w:pStyle w:val="Heading2"/>
      </w:pPr>
      <w:r>
        <w:t xml:space="preserve">Was mich qualifiziert für Beratung</w:t>
      </w:r>
    </w:p>
    <w:p>
      <w:pPr>
        <w:numPr>
          <w:ilvl w:val="0"/>
          <w:numId w:val="1001"/>
        </w:numPr>
        <w:pStyle w:val="Compact"/>
      </w:pPr>
      <w:r>
        <w:t xml:space="preserve">Tiefes Verständnis für regulierte Industrien (Banken, Versicherungen, Pharma)</w:t>
      </w:r>
    </w:p>
    <w:p>
      <w:pPr>
        <w:numPr>
          <w:ilvl w:val="0"/>
          <w:numId w:val="1001"/>
        </w:numPr>
        <w:pStyle w:val="Compact"/>
      </w:pPr>
      <w:r>
        <w:t xml:space="preserve">Erfahrung in transaktionalen Kontexten und Due-Diligence-Prozessen</w:t>
      </w:r>
    </w:p>
    <w:p>
      <w:pPr>
        <w:numPr>
          <w:ilvl w:val="0"/>
          <w:numId w:val="1001"/>
        </w:numPr>
        <w:pStyle w:val="Compact"/>
      </w:pPr>
      <w:r>
        <w:t xml:space="preserve">Quantitatives Toolkit aus dem MBA: Strategy, Corporate Finance, Operations</w:t>
      </w:r>
    </w:p>
    <w:p>
      <w:pPr>
        <w:numPr>
          <w:ilvl w:val="0"/>
          <w:numId w:val="1001"/>
        </w:numPr>
        <w:pStyle w:val="Compact"/>
      </w:pPr>
      <w:r>
        <w:t xml:space="preserve">Hervorragende Präsentations- und Schreibfähigkeiten aus juristischer Praxis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2026-05-07T09:33:11Z</dcterms:created>
  <dcterms:modified xsi:type="dcterms:W3CDTF">2026-05-07T09:33:11Z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