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Garamond" w:hAnsi="Garamond" w:eastAsia="Garamond"/>
          <w:b/>
          <w:i w:val="0"/>
          <w:color w:val="1E1B18"/>
          <w:sz w:val="22"/>
        </w:rPr>
        <w:t>E.B.Art</w:t>
      </w:r>
    </w:p>
    <w:p>
      <w:pPr>
        <w:spacing w:before="0" w:after="0"/>
      </w:pPr>
      <w:r>
        <w:rPr>
          <w:rFonts w:ascii="Garamond" w:hAnsi="Garamond" w:eastAsia="Garamond"/>
          <w:b w:val="0"/>
          <w:i/>
          <w:color w:val="1E1B18"/>
          <w:sz w:val="32"/>
        </w:rPr>
        <w:t>Holy Mother</w:t>
      </w:r>
    </w:p>
    <w:p>
      <w:pPr>
        <w:spacing w:before="0" w:after="160"/>
        <w:pBdr>
          <w:bottom w:val="single" w:sz="6" w:space="4" w:color="C9A227"/>
        </w:pBdr>
      </w:pPr>
      <w:r>
        <w:rPr>
          <w:rFonts w:ascii="Garamond" w:hAnsi="Garamond" w:eastAsia="Garamond"/>
          <w:b w:val="0"/>
          <w:i w:val="0"/>
          <w:color w:val="6B645B"/>
          <w:sz w:val="18"/>
        </w:rPr>
        <w:t>tecnica mista su tela</w:t>
      </w:r>
    </w:p>
    <w:p>
      <w:pPr>
        <w:spacing w:before="0" w:after="120" w:line="270" w:lineRule="exact"/>
        <w:jc w:val="both"/>
      </w:pPr>
      <w:r>
        <w:rPr>
          <w:rFonts w:ascii="Garamond" w:hAnsi="Garamond" w:eastAsia="Garamond"/>
          <w:b w:val="0"/>
          <w:i w:val="0"/>
          <w:color w:val="1E1B18"/>
          <w:sz w:val="21"/>
        </w:rPr>
        <w:t>Un velo d’oro e di porpora, stropicciato come una veste antica, incornicia un volto immobile. Lo sguardo azzurro non chiede pietà: chiede di essere visto. È la Madre delle icone, e insieme ogni madre di Palestina che veglia sui figli e non smette di aspettare.</w:t>
      </w:r>
    </w:p>
    <w:p>
      <w:pPr>
        <w:spacing w:before="0" w:after="0" w:line="230" w:lineRule="exact"/>
        <w:jc w:val="both"/>
      </w:pPr>
      <w:r>
        <w:rPr>
          <w:rFonts w:ascii="Garamond" w:hAnsi="Garamond" w:eastAsia="Garamond"/>
          <w:b w:val="0"/>
          <w:i/>
          <w:color w:val="6B645B"/>
          <w:sz w:val="18"/>
        </w:rPr>
        <w:t>A veil of gold and purple, crumpled like an ancient robe, frames a motionless face. The blue gaze does not ask for pity: it asks to be seen. She is the Mother of the icons, and at the same time every mother in Palestine who watches over her children and never stops waiting.</w:t>
      </w:r>
    </w:p>
    <w:sectPr w:rsidR="00FC693F" w:rsidRPr="0006063C" w:rsidSect="00034616">
      <w:footerReference w:type="default" r:id="rId9"/>
      <w:pgSz w:w="8391" w:h="5953"/>
      <w:pgMar w:top="624" w:right="624" w:bottom="624" w:left="624" w:header="720" w:footer="37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Garamond" w:hAnsi="Garamond"/>
        <w:color w:val="6B645B"/>
        <w:sz w:val="15"/>
      </w:rPr>
      <w:t>BE Art Gallery &amp; Creative Lab  ·  Pistoia  ·  beartgallery.eu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E.B.Art — Holy Mother</dc:title>
  <dc:subject/>
  <dc:creator>BE Art Gallery &amp; Creative Lab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