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64000" cy="599351"/>
            <wp:docPr id="1" name="Picture 1"/>
            <wp:cNvGraphicFramePr>
              <a:graphicFrameLocks noChangeAspect="1"/>
            </wp:cNvGraphicFramePr>
            <a:graphic>
              <a:graphicData uri="http://schemas.openxmlformats.org/drawingml/2006/picture">
                <pic:pic>
                  <pic:nvPicPr>
                    <pic:cNvPr id="0" name="logo-nero.png"/>
                    <pic:cNvPicPr/>
                  </pic:nvPicPr>
                  <pic:blipFill>
                    <a:blip r:embed="rId10"/>
                    <a:stretch>
                      <a:fillRect/>
                    </a:stretch>
                  </pic:blipFill>
                  <pic:spPr>
                    <a:xfrm>
                      <a:off x="0" y="0"/>
                      <a:ext cx="864000" cy="599351"/>
                    </a:xfrm>
                    <a:prstGeom prst="rect"/>
                  </pic:spPr>
                </pic:pic>
              </a:graphicData>
            </a:graphic>
          </wp:inline>
        </w:drawing>
      </w:r>
    </w:p>
    <w:p>
      <w:pPr>
        <w:spacing w:before="0" w:after="360"/>
      </w:pPr>
    </w:p>
    <w:p>
      <w:pPr>
        <w:spacing w:before="0" w:after="0"/>
      </w:pPr>
      <w:r>
        <w:rPr>
          <w:rFonts w:ascii="Garamond" w:hAnsi="Garamond" w:eastAsia="Garamond"/>
          <w:b/>
          <w:i w:val="0"/>
          <w:color w:val="1E1B18"/>
          <w:sz w:val="50"/>
        </w:rPr>
        <w:t>Strade di campagna</w:t>
      </w:r>
    </w:p>
    <w:p>
      <w:pPr>
        <w:spacing w:before="0" w:after="280"/>
        <w:pBdr>
          <w:bottom w:val="single" w:sz="6" w:space="4" w:color="C9A227"/>
        </w:pBdr>
      </w:pPr>
      <w:r>
        <w:rPr>
          <w:rFonts w:ascii="Garamond" w:hAnsi="Garamond" w:eastAsia="Garamond"/>
          <w:b w:val="0"/>
          <w:i/>
          <w:color w:val="6B645B"/>
          <w:sz w:val="22"/>
        </w:rPr>
        <w:t>dipinti da una collezione privata</w:t>
      </w:r>
    </w:p>
    <w:p>
      <w:pPr>
        <w:spacing w:before="0" w:after="360" w:line="330" w:lineRule="exact"/>
        <w:jc w:val="both"/>
      </w:pPr>
      <w:r>
        <w:rPr>
          <w:rFonts w:ascii="Garamond" w:hAnsi="Garamond" w:eastAsia="Garamond"/>
          <w:b w:val="0"/>
          <w:i w:val="0"/>
          <w:color w:val="1E1B18"/>
          <w:sz w:val="24"/>
        </w:rPr>
        <w:t>Un sentiero lungo il fiume, un viottolo di terra fra gli alberi, due cacciatori col cane, un villaggio di baite sotto le cime innevate: quattro dipinti dalla stessa collezione privata, quattro strade che portano fuori città. Le mani sono tre. V. Nebbia firma i due quadri più piccoli e intimi, con figure minute che camminano in una luce morbida; sul retro di uno, a matita, la data 1981. De Florentis dipinge la montagna con pennellate rapide, e sul retro annota «Dolomiti». Una terza firma, illeggibile, rifinisce il bosco foglia per foglia. È la campagna come la si ricorda, più che come si vede: il luogo dell’anima di chi viveva in città e appendeva al muro un sentiero da percorrere con lo sguardo.</w:t>
      </w:r>
    </w:p>
    <w:p>
      <w:pPr>
        <w:spacing w:before="0" w:after="0" w:line="280" w:lineRule="exact"/>
        <w:jc w:val="both"/>
      </w:pPr>
      <w:r>
        <w:rPr>
          <w:rFonts w:ascii="Garamond" w:hAnsi="Garamond" w:eastAsia="Garamond"/>
          <w:b w:val="0"/>
          <w:i/>
          <w:color w:val="6B645B"/>
          <w:sz w:val="21"/>
        </w:rPr>
        <w:t>A path along the river, a dirt lane among the trees, two hunters with their dog, a village of huts beneath snowy peaks: four paintings from the same private collection, four roads leading out of town. There are three hands. V. Nebbia signs the two smallest and most intimate pictures, with tiny figures walking in a soft light; on the back of one, in pencil, the date 1981. De Florentis paints the mountains in quick strokes, and notes «Dolomiti» on the back. A third signature, illegible, finishes the wood leaf by leaf. This is the countryside as remembered more than as seen: the place of the soul of those who lived in town and hung on the wall a path to walk with the eyes.</w:t>
      </w:r>
    </w:p>
    <w:sectPr w:rsidR="00FC693F" w:rsidRPr="0006063C" w:rsidSect="00034616">
      <w:footerReference w:type="default" r:id="rId9"/>
      <w:pgSz w:w="8391" w:h="11906"/>
      <w:pgMar w:top="907" w:right="907" w:bottom="907" w:left="907" w:header="720" w:footer="5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B645B"/>
        <w:sz w:val="15"/>
      </w:rPr>
      <w:t>BE Art Gallery &amp; Creative Lab  ·  Pistoia  ·  beartgallery.eu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Strade di campagna — testo critico</dc:title>
  <dc:subject/>
  <dc:creator>BE Art Gallery &amp; Creative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