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Garamond" w:hAnsi="Garamond" w:eastAsia="Garamond"/>
          <w:b/>
          <w:i w:val="0"/>
          <w:color w:val="1E1B18"/>
          <w:sz w:val="22"/>
        </w:rPr>
        <w:t>Bruno Apicella</w:t>
      </w:r>
    </w:p>
    <w:p>
      <w:pPr>
        <w:spacing w:before="0" w:after="0"/>
      </w:pPr>
      <w:r>
        <w:rPr>
          <w:rFonts w:ascii="Garamond" w:hAnsi="Garamond" w:eastAsia="Garamond"/>
          <w:b w:val="0"/>
          <w:i/>
          <w:color w:val="1E1B18"/>
          <w:sz w:val="32"/>
        </w:rPr>
        <w:t>Casolari amalfitani</w:t>
      </w:r>
    </w:p>
    <w:p>
      <w:pPr>
        <w:spacing w:before="0" w:after="160"/>
        <w:pBdr>
          <w:bottom w:val="single" w:sz="6" w:space="4" w:color="C9A227"/>
        </w:pBdr>
      </w:pPr>
      <w:r>
        <w:rPr>
          <w:rFonts w:ascii="Garamond" w:hAnsi="Garamond" w:eastAsia="Garamond"/>
          <w:b w:val="0"/>
          <w:i w:val="0"/>
          <w:color w:val="6B645B"/>
          <w:sz w:val="18"/>
        </w:rPr>
        <w:t>olio su tela  ·  60 × 90 cm</w:t>
      </w:r>
    </w:p>
    <w:p>
      <w:pPr>
        <w:spacing w:before="0" w:after="120" w:line="270" w:lineRule="exact"/>
        <w:jc w:val="both"/>
      </w:pPr>
      <w:r>
        <w:rPr>
          <w:rFonts w:ascii="Garamond" w:hAnsi="Garamond" w:eastAsia="Garamond"/>
          <w:b w:val="0"/>
          <w:i w:val="0"/>
          <w:color w:val="1E1B18"/>
          <w:sz w:val="21"/>
        </w:rPr>
        <w:t>Il grande arco di pietra in primo piano è una soglia: si entra nel quadro come in un borgo, e il vicolo fiorito porta, passo dopo passo, a un secondo arco aperto sul mare. Due porte in fila, e in fondo l’azzurro: la Costiera come la si ricorda, un luogo in cui si torna anche solo con gli occhi.</w:t>
      </w:r>
    </w:p>
    <w:p>
      <w:pPr>
        <w:spacing w:before="0" w:after="0" w:line="230" w:lineRule="exact"/>
        <w:jc w:val="both"/>
      </w:pPr>
      <w:r>
        <w:rPr>
          <w:rFonts w:ascii="Garamond" w:hAnsi="Garamond" w:eastAsia="Garamond"/>
          <w:b w:val="0"/>
          <w:i/>
          <w:color w:val="6B645B"/>
          <w:sz w:val="18"/>
        </w:rPr>
        <w:t>The great stone arch in the foreground is a threshold: one enters the painting as one enters a village, and the flowering alley leads, step by step, to a second arch open onto the sea. Two doorways in a row, and beyond them the blue: the Coast as one remembers it, a place to return to, even if only with the eyes.</w:t>
      </w:r>
    </w:p>
    <w:sectPr w:rsidR="00FC693F" w:rsidRPr="0006063C" w:rsidSect="00034616">
      <w:footerReference w:type="default" r:id="rId9"/>
      <w:pgSz w:w="8391" w:h="5953"/>
      <w:pgMar w:top="624" w:right="624" w:bottom="624" w:left="624" w:header="720" w:footer="3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aramond" w:hAnsi="Garamond"/>
        <w:color w:val="6B645B"/>
        <w:sz w:val="15"/>
      </w:rPr>
      <w:t>BE Art Gallery &amp; Creative Lab  ·  Pistoia  ·  beartgallery.eu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Bruno Apicella — Casolari amalfitani</dc:title>
  <dc:subject/>
  <dc:creator>BE Art Gallery &amp; Creative 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