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widowControl/>
      </w:pPr>
      <w:r>
        <w:rPr>
          <w:rFonts w:ascii="Aptos Display" w:hAnsi="Aptos Display"/>
          <w:b/>
          <w:color w:val="173B32"/>
          <w:sz w:val="60"/>
        </w:rPr>
        <w:t>IAviso Seguro</w:t>
      </w:r>
    </w:p>
    <w:p>
      <w:pPr>
        <w:jc w:val="center"/>
        <w:widowControl/>
      </w:pPr>
      <w:r>
        <w:rPr>
          <w:rFonts w:ascii="Aptos Display" w:hAnsi="Aptos Display"/>
          <w:b/>
          <w:color w:val="1F2724"/>
          <w:sz w:val="40"/>
        </w:rPr>
        <w:t>Preguntas y respuestas del proyecto</w:t>
      </w:r>
    </w:p>
    <w:p>
      <w:pPr>
        <w:spacing w:before="200"/>
        <w:jc w:val="center"/>
        <w:widowControl/>
      </w:pPr>
      <w:r>
        <w:rPr>
          <w:rFonts w:ascii="Aptos" w:hAnsi="Aptos"/>
          <w:color w:val="5B6B65"/>
          <w:sz w:val="22"/>
        </w:rPr>
        <w:t>Guía de consulta · 80 preguntas</w:t>
      </w:r>
    </w:p>
    <w:tbl>
      <w:tblPr>
        <w:tblW w:type="auto" w:w="0"/>
        <w:jc w:val="center"/>
        <w:tblLayout w:type="fixed"/>
        <w:tblLook w:firstColumn="1" w:firstRow="1" w:lastColumn="0" w:lastRow="0" w:noHBand="0" w:noVBand="1" w:val="04A0"/>
      </w:tblPr>
      <w:tblGrid>
        <w:gridCol w:w="4535"/>
      </w:tblGrid>
      <w:tr>
        <w:trPr>
          <w:cantSplit/>
        </w:trPr>
        <w:tc>
          <w:tcPr>
            <w:tcW w:type="dxa" w:w="10200"/>
            <w:shd w:fill="B7D63D"/>
          </w:tcPr>
          <w:p>
            <w:r/>
          </w:p>
        </w:tc>
      </w:tr>
    </w:tbl>
    <w:p>
      <w:pPr>
        <w:spacing w:before="560"/>
        <w:jc w:val="center"/>
        <w:widowControl/>
      </w:pPr>
      <w:r>
        <w:rPr>
          <w:color w:val="5B6B65"/>
          <w:sz w:val="22"/>
        </w:rPr>
        <w:t>Objetivo: resolver dudas frecuentes de forma clara y actualizada sobre el funcionamiento, la arquitectura y las decisiones técnicas de IAviso Seguro.</w:t>
      </w:r>
    </w:p>
    <w:p>
      <w:pPr>
        <w:spacing w:before="900"/>
        <w:jc w:val="center"/>
        <w:widowControl/>
      </w:pPr>
      <w:r>
        <w:rPr>
          <w:b/>
          <w:color w:val="173B32"/>
          <w:sz w:val="22"/>
        </w:rPr>
        <w:t>Idea central para recordar</w:t>
      </w:r>
    </w:p>
    <w:p>
      <w:pPr>
        <w:ind w:left="1134" w:right="1134"/>
        <w:jc w:val="center"/>
        <w:shd w:fill="EAF1ED"/>
        <w:widowControl/>
      </w:pPr>
      <w:r>
        <w:rPr>
          <w:b/>
          <w:color w:val="173B32"/>
          <w:sz w:val="28"/>
        </w:rPr>
        <w:t>“La IA propone; el humano decide.”</w:t>
      </w:r>
    </w:p>
    <w:p>
      <w:pPr>
        <w:widowControl/>
      </w:pPr>
      <w:r>
        <w:br w:type="page"/>
      </w:r>
    </w:p>
    <w:p>
      <w:pPr>
        <w:pStyle w:val="Heading1"/>
        <w:widowControl/>
      </w:pPr>
      <w:r>
        <w:t>Sobre esta guía</w:t>
      </w:r>
    </w:p>
    <w:p>
      <w:pPr>
        <w:spacing w:after="200"/>
        <w:widowControl/>
      </w:pPr>
      <w:r>
        <w:t>Esta guía reúne preguntas frecuentes sobre IAviso Seguro y sus respuestas, organizadas por temas para facilitar la consulta rápida y la resolución de dudas sobre el proyecto.</w:t>
      </w:r>
    </w:p>
    <w:tbl>
      <w:tblPr>
        <w:tblW w:type="auto" w:w="0"/>
        <w:jc w:val="center"/>
        <w:tblLayout w:type="fixed"/>
        <w:tblLook w:firstColumn="1" w:firstRow="1" w:lastColumn="0" w:lastRow="0" w:noHBand="0" w:noVBand="1" w:val="04A0"/>
      </w:tblPr>
      <w:tblGrid>
        <w:gridCol w:w="1247"/>
        <w:gridCol w:w="8050"/>
      </w:tblGrid>
      <w:tr>
        <w:trPr>
          <w:cantSplit/>
        </w:trPr>
        <w:tc>
          <w:tcPr>
            <w:tcW w:type="dxa" w:w="5100"/>
            <w:shd w:fill="173B32"/>
            <w:tcMar>
              <w:top w:w="100" w:type="dxa"/>
              <w:start w:w="130" w:type="dxa"/>
              <w:bottom w:w="100" w:type="dxa"/>
              <w:end w:w="130" w:type="dxa"/>
            </w:tcMar>
            <w:vAlign w:val="center"/>
          </w:tcPr>
          <w:p>
            <w:r>
              <w:rPr>
                <w:b/>
                <w:color w:val="FFFFFF"/>
                <w:sz w:val="20"/>
              </w:rPr>
              <w:t>Punto</w:t>
            </w:r>
          </w:p>
        </w:tc>
        <w:tc>
          <w:tcPr>
            <w:tcW w:type="dxa" w:w="5100"/>
            <w:shd w:fill="173B32"/>
            <w:tcMar>
              <w:top w:w="100" w:type="dxa"/>
              <w:start w:w="130" w:type="dxa"/>
              <w:bottom w:w="100" w:type="dxa"/>
              <w:end w:w="130" w:type="dxa"/>
            </w:tcMar>
            <w:vAlign w:val="center"/>
          </w:tcPr>
          <w:p>
            <w:r>
              <w:rPr>
                <w:b/>
                <w:color w:val="FFFFFF"/>
                <w:sz w:val="20"/>
              </w:rPr>
              <w:t>Tema</w:t>
            </w:r>
          </w:p>
        </w:tc>
      </w:tr>
      <w:tr>
        <w:trPr>
          <w:cantSplit/>
        </w:trPr>
        <w:tc>
          <w:tcPr>
            <w:tcW w:type="dxa" w:w="1247"/>
            <w:tcMar>
              <w:top w:w="90" w:type="dxa"/>
              <w:start w:w="130" w:type="dxa"/>
              <w:bottom w:w="90" w:type="dxa"/>
              <w:end w:w="130" w:type="dxa"/>
            </w:tcMar>
            <w:vAlign w:val="center"/>
            <w:shd w:fill="EAF1ED"/>
          </w:tcPr>
          <w:p>
            <w:pPr>
              <w:jc w:val="center"/>
            </w:pPr>
            <w:r>
              <w:rPr>
                <w:b/>
                <w:color w:val="173B32"/>
              </w:rPr>
              <w:t>1</w:t>
            </w:r>
          </w:p>
        </w:tc>
        <w:tc>
          <w:tcPr>
            <w:tcW w:type="dxa" w:w="8050"/>
            <w:tcMar>
              <w:top w:w="90" w:type="dxa"/>
              <w:start w:w="130" w:type="dxa"/>
              <w:bottom w:w="90" w:type="dxa"/>
              <w:end w:w="130" w:type="dxa"/>
            </w:tcMar>
            <w:vAlign w:val="center"/>
          </w:tcPr>
          <w:p>
            <w:r>
              <w:t>Sobre qué hace el proyecto y cómo funciona · 6 preguntas</w:t>
            </w:r>
          </w:p>
        </w:tc>
      </w:tr>
      <w:tr>
        <w:trPr>
          <w:cantSplit/>
        </w:trPr>
        <w:tc>
          <w:tcPr>
            <w:tcW w:type="dxa" w:w="1247"/>
            <w:tcMar>
              <w:top w:w="90" w:type="dxa"/>
              <w:start w:w="130" w:type="dxa"/>
              <w:bottom w:w="90" w:type="dxa"/>
              <w:end w:w="130" w:type="dxa"/>
            </w:tcMar>
            <w:vAlign w:val="center"/>
            <w:shd w:fill="EAF1ED"/>
          </w:tcPr>
          <w:p>
            <w:pPr>
              <w:jc w:val="center"/>
            </w:pPr>
            <w:r>
              <w:rPr>
                <w:b/>
                <w:color w:val="173B32"/>
              </w:rPr>
              <w:t>2</w:t>
            </w:r>
          </w:p>
        </w:tc>
        <w:tc>
          <w:tcPr>
            <w:tcW w:type="dxa" w:w="8050"/>
            <w:tcMar>
              <w:top w:w="90" w:type="dxa"/>
              <w:start w:w="130" w:type="dxa"/>
              <w:bottom w:w="90" w:type="dxa"/>
              <w:end w:w="130" w:type="dxa"/>
            </w:tcMar>
            <w:vAlign w:val="center"/>
          </w:tcPr>
          <w:p>
            <w:r>
              <w:t>Frontend · 9 preguntas</w:t>
            </w:r>
          </w:p>
        </w:tc>
      </w:tr>
      <w:tr>
        <w:trPr>
          <w:cantSplit/>
        </w:trPr>
        <w:tc>
          <w:tcPr>
            <w:tcW w:type="dxa" w:w="1247"/>
            <w:tcMar>
              <w:top w:w="90" w:type="dxa"/>
              <w:start w:w="130" w:type="dxa"/>
              <w:bottom w:w="90" w:type="dxa"/>
              <w:end w:w="130" w:type="dxa"/>
            </w:tcMar>
            <w:vAlign w:val="center"/>
            <w:shd w:fill="EAF1ED"/>
          </w:tcPr>
          <w:p>
            <w:pPr>
              <w:jc w:val="center"/>
            </w:pPr>
            <w:r>
              <w:rPr>
                <w:b/>
                <w:color w:val="173B32"/>
              </w:rPr>
              <w:t>3</w:t>
            </w:r>
          </w:p>
        </w:tc>
        <w:tc>
          <w:tcPr>
            <w:tcW w:type="dxa" w:w="8050"/>
            <w:tcMar>
              <w:top w:w="90" w:type="dxa"/>
              <w:start w:w="130" w:type="dxa"/>
              <w:bottom w:w="90" w:type="dxa"/>
              <w:end w:w="130" w:type="dxa"/>
            </w:tcMar>
            <w:vAlign w:val="center"/>
          </w:tcPr>
          <w:p>
            <w:r>
              <w:t>Backend, FastAPI y Pydantic · 7 preguntas</w:t>
            </w:r>
          </w:p>
        </w:tc>
      </w:tr>
      <w:tr>
        <w:trPr>
          <w:cantSplit/>
        </w:trPr>
        <w:tc>
          <w:tcPr>
            <w:tcW w:type="dxa" w:w="1247"/>
            <w:tcMar>
              <w:top w:w="90" w:type="dxa"/>
              <w:start w:w="130" w:type="dxa"/>
              <w:bottom w:w="90" w:type="dxa"/>
              <w:end w:w="130" w:type="dxa"/>
            </w:tcMar>
            <w:vAlign w:val="center"/>
            <w:shd w:fill="EAF1ED"/>
          </w:tcPr>
          <w:p>
            <w:pPr>
              <w:jc w:val="center"/>
            </w:pPr>
            <w:r>
              <w:rPr>
                <w:b/>
                <w:color w:val="173B32"/>
              </w:rPr>
              <w:t>5</w:t>
            </w:r>
          </w:p>
        </w:tc>
        <w:tc>
          <w:tcPr>
            <w:tcW w:type="dxa" w:w="8050"/>
            <w:tcMar>
              <w:top w:w="90" w:type="dxa"/>
              <w:start w:w="130" w:type="dxa"/>
              <w:bottom w:w="90" w:type="dxa"/>
              <w:end w:w="130" w:type="dxa"/>
            </w:tcMar>
            <w:vAlign w:val="center"/>
          </w:tcPr>
          <w:p>
            <w:r>
              <w:t>Prompting · 2 preguntas</w:t>
            </w:r>
          </w:p>
        </w:tc>
      </w:tr>
      <w:tr>
        <w:trPr>
          <w:cantSplit/>
        </w:trPr>
        <w:tc>
          <w:tcPr>
            <w:tcW w:type="dxa" w:w="1247"/>
            <w:tcMar>
              <w:top w:w="90" w:type="dxa"/>
              <w:start w:w="130" w:type="dxa"/>
              <w:bottom w:w="90" w:type="dxa"/>
              <w:end w:w="130" w:type="dxa"/>
            </w:tcMar>
            <w:vAlign w:val="center"/>
            <w:shd w:fill="EAF1ED"/>
          </w:tcPr>
          <w:p>
            <w:pPr>
              <w:jc w:val="center"/>
            </w:pPr>
            <w:r>
              <w:rPr>
                <w:b/>
                <w:color w:val="173B32"/>
              </w:rPr>
              <w:t>6</w:t>
            </w:r>
          </w:p>
        </w:tc>
        <w:tc>
          <w:tcPr>
            <w:tcW w:type="dxa" w:w="8050"/>
            <w:tcMar>
              <w:top w:w="90" w:type="dxa"/>
              <w:start w:w="130" w:type="dxa"/>
              <w:bottom w:w="90" w:type="dxa"/>
              <w:end w:w="130" w:type="dxa"/>
            </w:tcMar>
            <w:vAlign w:val="center"/>
          </w:tcPr>
          <w:p>
            <w:r>
              <w:t>ReAct y herramientas · 6 preguntas</w:t>
            </w:r>
          </w:p>
        </w:tc>
      </w:tr>
      <w:tr>
        <w:trPr>
          <w:cantSplit/>
        </w:trPr>
        <w:tc>
          <w:tcPr>
            <w:tcW w:type="dxa" w:w="1247"/>
            <w:tcMar>
              <w:top w:w="90" w:type="dxa"/>
              <w:start w:w="130" w:type="dxa"/>
              <w:bottom w:w="90" w:type="dxa"/>
              <w:end w:w="130" w:type="dxa"/>
            </w:tcMar>
            <w:vAlign w:val="center"/>
            <w:shd w:fill="EAF1ED"/>
          </w:tcPr>
          <w:p>
            <w:pPr>
              <w:jc w:val="center"/>
            </w:pPr>
            <w:r>
              <w:rPr>
                <w:b/>
                <w:color w:val="173B32"/>
              </w:rPr>
              <w:t>7</w:t>
            </w:r>
          </w:p>
        </w:tc>
        <w:tc>
          <w:tcPr>
            <w:tcW w:type="dxa" w:w="8050"/>
            <w:tcMar>
              <w:top w:w="90" w:type="dxa"/>
              <w:start w:w="130" w:type="dxa"/>
              <w:bottom w:w="90" w:type="dxa"/>
              <w:end w:w="130" w:type="dxa"/>
            </w:tcMar>
            <w:vAlign w:val="center"/>
          </w:tcPr>
          <w:p>
            <w:r>
              <w:t>Matriz de riesgos · 6 preguntas</w:t>
            </w:r>
          </w:p>
        </w:tc>
      </w:tr>
      <w:tr>
        <w:trPr>
          <w:cantSplit/>
        </w:trPr>
        <w:tc>
          <w:tcPr>
            <w:tcW w:type="dxa" w:w="1247"/>
            <w:tcMar>
              <w:top w:w="90" w:type="dxa"/>
              <w:start w:w="130" w:type="dxa"/>
              <w:bottom w:w="90" w:type="dxa"/>
              <w:end w:w="130" w:type="dxa"/>
            </w:tcMar>
            <w:vAlign w:val="center"/>
            <w:shd w:fill="EAF1ED"/>
          </w:tcPr>
          <w:p>
            <w:pPr>
              <w:jc w:val="center"/>
            </w:pPr>
            <w:r>
              <w:rPr>
                <w:b/>
                <w:color w:val="173B32"/>
              </w:rPr>
              <w:t>8</w:t>
            </w:r>
          </w:p>
        </w:tc>
        <w:tc>
          <w:tcPr>
            <w:tcW w:type="dxa" w:w="8050"/>
            <w:tcMar>
              <w:top w:w="90" w:type="dxa"/>
              <w:start w:w="130" w:type="dxa"/>
              <w:bottom w:w="90" w:type="dxa"/>
              <w:end w:w="130" w:type="dxa"/>
            </w:tcMar>
            <w:vAlign w:val="center"/>
          </w:tcPr>
          <w:p>
            <w:r>
              <w:t>RAG · 8 preguntas</w:t>
            </w:r>
          </w:p>
        </w:tc>
      </w:tr>
      <w:tr>
        <w:trPr>
          <w:cantSplit/>
        </w:trPr>
        <w:tc>
          <w:tcPr>
            <w:tcW w:type="dxa" w:w="1247"/>
            <w:tcMar>
              <w:top w:w="90" w:type="dxa"/>
              <w:start w:w="130" w:type="dxa"/>
              <w:bottom w:w="90" w:type="dxa"/>
              <w:end w:w="130" w:type="dxa"/>
            </w:tcMar>
            <w:vAlign w:val="center"/>
            <w:shd w:fill="EAF1ED"/>
          </w:tcPr>
          <w:p>
            <w:pPr>
              <w:jc w:val="center"/>
            </w:pPr>
            <w:r>
              <w:rPr>
                <w:b/>
                <w:color w:val="173B32"/>
              </w:rPr>
              <w:t>9</w:t>
            </w:r>
          </w:p>
        </w:tc>
        <w:tc>
          <w:tcPr>
            <w:tcW w:type="dxa" w:w="8050"/>
            <w:tcMar>
              <w:top w:w="90" w:type="dxa"/>
              <w:start w:w="130" w:type="dxa"/>
              <w:bottom w:w="90" w:type="dxa"/>
              <w:end w:w="130" w:type="dxa"/>
            </w:tcMar>
            <w:vAlign w:val="center"/>
          </w:tcPr>
          <w:p>
            <w:r>
              <w:t>Embeddings y similitud · 2 preguntas</w:t>
            </w:r>
          </w:p>
        </w:tc>
      </w:tr>
      <w:tr>
        <w:trPr>
          <w:cantSplit/>
        </w:trPr>
        <w:tc>
          <w:tcPr>
            <w:tcW w:type="dxa" w:w="1247"/>
            <w:tcMar>
              <w:top w:w="90" w:type="dxa"/>
              <w:start w:w="130" w:type="dxa"/>
              <w:bottom w:w="90" w:type="dxa"/>
              <w:end w:w="130" w:type="dxa"/>
            </w:tcMar>
            <w:vAlign w:val="center"/>
            <w:shd w:fill="EAF1ED"/>
          </w:tcPr>
          <w:p>
            <w:pPr>
              <w:jc w:val="center"/>
            </w:pPr>
            <w:r>
              <w:rPr>
                <w:b/>
                <w:color w:val="173B32"/>
              </w:rPr>
              <w:t>10</w:t>
            </w:r>
          </w:p>
        </w:tc>
        <w:tc>
          <w:tcPr>
            <w:tcW w:type="dxa" w:w="8050"/>
            <w:tcMar>
              <w:top w:w="90" w:type="dxa"/>
              <w:start w:w="130" w:type="dxa"/>
              <w:bottom w:w="90" w:type="dxa"/>
              <w:end w:w="130" w:type="dxa"/>
            </w:tcMar>
            <w:vAlign w:val="center"/>
          </w:tcPr>
          <w:p>
            <w:r>
              <w:t>Privacidad · 2 preguntas</w:t>
            </w:r>
          </w:p>
        </w:tc>
      </w:tr>
      <w:tr>
        <w:trPr>
          <w:cantSplit/>
        </w:trPr>
        <w:tc>
          <w:tcPr>
            <w:tcW w:type="dxa" w:w="1247"/>
            <w:tcMar>
              <w:top w:w="90" w:type="dxa"/>
              <w:start w:w="130" w:type="dxa"/>
              <w:bottom w:w="90" w:type="dxa"/>
              <w:end w:w="130" w:type="dxa"/>
            </w:tcMar>
            <w:vAlign w:val="center"/>
            <w:shd w:fill="EAF1ED"/>
          </w:tcPr>
          <w:p>
            <w:pPr>
              <w:jc w:val="center"/>
            </w:pPr>
            <w:r>
              <w:rPr>
                <w:b/>
                <w:color w:val="173B32"/>
              </w:rPr>
              <w:t>11</w:t>
            </w:r>
          </w:p>
        </w:tc>
        <w:tc>
          <w:tcPr>
            <w:tcW w:type="dxa" w:w="8050"/>
            <w:tcMar>
              <w:top w:w="90" w:type="dxa"/>
              <w:start w:w="130" w:type="dxa"/>
              <w:bottom w:w="90" w:type="dxa"/>
              <w:end w:w="130" w:type="dxa"/>
            </w:tcMar>
            <w:vAlign w:val="center"/>
          </w:tcPr>
          <w:p>
            <w:r>
              <w:t>HITL y revisión humana · 1 pregunta</w:t>
            </w:r>
          </w:p>
        </w:tc>
      </w:tr>
      <w:tr>
        <w:trPr>
          <w:cantSplit/>
        </w:trPr>
        <w:tc>
          <w:tcPr>
            <w:tcW w:type="dxa" w:w="1247"/>
            <w:tcMar>
              <w:top w:w="90" w:type="dxa"/>
              <w:start w:w="130" w:type="dxa"/>
              <w:bottom w:w="90" w:type="dxa"/>
              <w:end w:w="130" w:type="dxa"/>
            </w:tcMar>
            <w:vAlign w:val="center"/>
            <w:shd w:fill="EAF1ED"/>
          </w:tcPr>
          <w:p>
            <w:pPr>
              <w:jc w:val="center"/>
            </w:pPr>
            <w:r>
              <w:rPr>
                <w:b/>
                <w:color w:val="173B32"/>
              </w:rPr>
              <w:t>12</w:t>
            </w:r>
          </w:p>
        </w:tc>
        <w:tc>
          <w:tcPr>
            <w:tcW w:type="dxa" w:w="8050"/>
            <w:tcMar>
              <w:top w:w="90" w:type="dxa"/>
              <w:start w:w="130" w:type="dxa"/>
              <w:bottom w:w="90" w:type="dxa"/>
              <w:end w:w="130" w:type="dxa"/>
            </w:tcMar>
            <w:vAlign w:val="center"/>
          </w:tcPr>
          <w:p>
            <w:r>
              <w:t>Incertidumbre y prioridad · 7 preguntas</w:t>
            </w:r>
          </w:p>
        </w:tc>
      </w:tr>
      <w:tr>
        <w:trPr>
          <w:cantSplit/>
        </w:trPr>
        <w:tc>
          <w:tcPr>
            <w:tcW w:type="dxa" w:w="1247"/>
            <w:tcMar>
              <w:top w:w="90" w:type="dxa"/>
              <w:start w:w="130" w:type="dxa"/>
              <w:bottom w:w="90" w:type="dxa"/>
              <w:end w:w="130" w:type="dxa"/>
            </w:tcMar>
            <w:vAlign w:val="center"/>
            <w:shd w:fill="EAF1ED"/>
          </w:tcPr>
          <w:p>
            <w:pPr>
              <w:jc w:val="center"/>
            </w:pPr>
            <w:r>
              <w:rPr>
                <w:b/>
                <w:color w:val="173B32"/>
              </w:rPr>
              <w:t>14</w:t>
            </w:r>
          </w:p>
        </w:tc>
        <w:tc>
          <w:tcPr>
            <w:tcW w:type="dxa" w:w="8050"/>
            <w:tcMar>
              <w:top w:w="90" w:type="dxa"/>
              <w:start w:w="130" w:type="dxa"/>
              <w:bottom w:w="90" w:type="dxa"/>
              <w:end w:w="130" w:type="dxa"/>
            </w:tcMar>
            <w:vAlign w:val="center"/>
          </w:tcPr>
          <w:p>
            <w:r>
              <w:t>Benchmark · 3 preguntas</w:t>
            </w:r>
          </w:p>
        </w:tc>
      </w:tr>
      <w:tr>
        <w:trPr>
          <w:cantSplit/>
        </w:trPr>
        <w:tc>
          <w:tcPr>
            <w:tcW w:type="dxa" w:w="1247"/>
            <w:tcMar>
              <w:top w:w="90" w:type="dxa"/>
              <w:start w:w="130" w:type="dxa"/>
              <w:bottom w:w="90" w:type="dxa"/>
              <w:end w:w="130" w:type="dxa"/>
            </w:tcMar>
            <w:vAlign w:val="center"/>
            <w:shd w:fill="EAF1ED"/>
          </w:tcPr>
          <w:p>
            <w:pPr>
              <w:jc w:val="center"/>
            </w:pPr>
            <w:r>
              <w:rPr>
                <w:b/>
                <w:color w:val="173B32"/>
              </w:rPr>
              <w:t>15</w:t>
            </w:r>
          </w:p>
        </w:tc>
        <w:tc>
          <w:tcPr>
            <w:tcW w:type="dxa" w:w="8050"/>
            <w:tcMar>
              <w:top w:w="90" w:type="dxa"/>
              <w:start w:w="130" w:type="dxa"/>
              <w:bottom w:w="90" w:type="dxa"/>
              <w:end w:w="130" w:type="dxa"/>
            </w:tcMar>
            <w:vAlign w:val="center"/>
          </w:tcPr>
          <w:p>
            <w:r>
              <w:t>Comparación Ollama vs Gemini · 2 preguntas</w:t>
            </w:r>
          </w:p>
        </w:tc>
      </w:tr>
      <w:tr>
        <w:trPr>
          <w:cantSplit/>
        </w:trPr>
        <w:tc>
          <w:tcPr>
            <w:tcW w:type="dxa" w:w="1247"/>
            <w:tcMar>
              <w:top w:w="90" w:type="dxa"/>
              <w:start w:w="130" w:type="dxa"/>
              <w:bottom w:w="90" w:type="dxa"/>
              <w:end w:w="130" w:type="dxa"/>
            </w:tcMar>
            <w:vAlign w:val="center"/>
            <w:shd w:fill="EAF1ED"/>
          </w:tcPr>
          <w:p>
            <w:pPr>
              <w:jc w:val="center"/>
            </w:pPr>
            <w:r>
              <w:rPr>
                <w:b/>
                <w:color w:val="173B32"/>
              </w:rPr>
              <w:t>18</w:t>
            </w:r>
          </w:p>
        </w:tc>
        <w:tc>
          <w:tcPr>
            <w:tcW w:type="dxa" w:w="8050"/>
            <w:tcMar>
              <w:top w:w="90" w:type="dxa"/>
              <w:start w:w="130" w:type="dxa"/>
              <w:bottom w:w="90" w:type="dxa"/>
              <w:end w:w="130" w:type="dxa"/>
            </w:tcMar>
            <w:vAlign w:val="center"/>
          </w:tcPr>
          <w:p>
            <w:r>
              <w:t>Errores, repair y retry · 2 preguntas</w:t>
            </w:r>
          </w:p>
        </w:tc>
      </w:tr>
      <w:tr>
        <w:trPr>
          <w:cantSplit/>
        </w:trPr>
        <w:tc>
          <w:tcPr>
            <w:tcW w:type="dxa" w:w="1247"/>
            <w:tcMar>
              <w:top w:w="90" w:type="dxa"/>
              <w:start w:w="130" w:type="dxa"/>
              <w:bottom w:w="90" w:type="dxa"/>
              <w:end w:w="130" w:type="dxa"/>
            </w:tcMar>
            <w:vAlign w:val="center"/>
            <w:shd w:fill="EAF1ED"/>
          </w:tcPr>
          <w:p>
            <w:pPr>
              <w:jc w:val="center"/>
            </w:pPr>
            <w:r>
              <w:rPr>
                <w:b/>
                <w:color w:val="173B32"/>
              </w:rPr>
              <w:t>19</w:t>
            </w:r>
          </w:p>
        </w:tc>
        <w:tc>
          <w:tcPr>
            <w:tcW w:type="dxa" w:w="8050"/>
            <w:tcMar>
              <w:top w:w="90" w:type="dxa"/>
              <w:start w:w="130" w:type="dxa"/>
              <w:bottom w:w="90" w:type="dxa"/>
              <w:end w:w="130" w:type="dxa"/>
            </w:tcMar>
            <w:vAlign w:val="center"/>
          </w:tcPr>
          <w:p>
            <w:r>
              <w:t>Estado de servicios · 3 preguntas</w:t>
            </w:r>
          </w:p>
        </w:tc>
      </w:tr>
      <w:tr>
        <w:trPr>
          <w:cantSplit/>
        </w:trPr>
        <w:tc>
          <w:tcPr>
            <w:tcW w:type="dxa" w:w="1247"/>
            <w:tcMar>
              <w:top w:w="90" w:type="dxa"/>
              <w:start w:w="130" w:type="dxa"/>
              <w:bottom w:w="90" w:type="dxa"/>
              <w:end w:w="130" w:type="dxa"/>
            </w:tcMar>
            <w:vAlign w:val="center"/>
            <w:shd w:fill="EAF1ED"/>
          </w:tcPr>
          <w:p>
            <w:pPr>
              <w:jc w:val="center"/>
            </w:pPr>
            <w:r>
              <w:rPr>
                <w:b/>
                <w:color w:val="173B32"/>
              </w:rPr>
              <w:t>23</w:t>
            </w:r>
          </w:p>
        </w:tc>
        <w:tc>
          <w:tcPr>
            <w:tcW w:type="dxa" w:w="8050"/>
            <w:tcMar>
              <w:top w:w="90" w:type="dxa"/>
              <w:start w:w="130" w:type="dxa"/>
              <w:bottom w:w="90" w:type="dxa"/>
              <w:end w:w="130" w:type="dxa"/>
            </w:tcMar>
            <w:vAlign w:val="center"/>
          </w:tcPr>
          <w:p>
            <w:r>
              <w:t>Auditoría contra el briefing · 14 preguntas</w:t>
            </w:r>
          </w:p>
        </w:tc>
      </w:tr>
    </w:tbl>
    <w:p>
      <w:pPr>
        <w:widowControl/>
      </w:pPr>
      <w:r>
        <w:br w:type="page"/>
      </w:r>
    </w:p>
    <w:p>
      <w:pPr>
        <w:pStyle w:val="Heading1"/>
        <w:widowControl/>
      </w:pPr>
      <w:r>
        <w:t>1. Sobre qué hace el proyecto y cómo funciona</w:t>
      </w: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1. ¿Cómo funciona IAviso Seguro de principio a fin?</w:t>
            </w:r>
          </w:p>
          <w:p>
            <w:pPr>
              <w:spacing w:after="0" w:line="259" w:lineRule="auto"/>
            </w:pPr>
            <w:r>
              <w:rPr>
                <w:rFonts w:ascii="Aptos" w:hAnsi="Aptos"/>
                <w:color w:val="1F2724"/>
                <w:sz w:val="20"/>
              </w:rPr>
              <w:t>IAviso Seguro recibe un aviso escrito en lenguaje libre, valida y anonimiza la entrada, y la envía al proveedor elegido, Ollama o Gemini. Durante el triaje se consulta la matriz PRL y se recupera evidencia preventiva mediante RAG. La propuesta final se valida con Pydantic, se calculan señales complementarias como similitud, incertidumbre y prioridad de revisión, se guarda en SQLite y queda pendiente de una decisión humana.</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2. ¿Cuál es el flujo completo del aviso desde que lo escribe el usuario hasta que lo valida una persona?</w:t>
            </w:r>
          </w:p>
          <w:p>
            <w:pPr>
              <w:spacing w:after="0" w:line="259" w:lineRule="auto"/>
            </w:pPr>
            <w:r>
              <w:rPr>
                <w:rFonts w:ascii="Aptos" w:hAnsi="Aptos"/>
                <w:color w:val="1F2724"/>
                <w:sz w:val="20"/>
              </w:rPr>
              <w:t>El flujo es: React recoge texto, ubicación y proveedor -&gt; FastAPI recibe la petición -&gt; Pydantic valida -&gt; PrivacyService anonimiza datos personales conocidos -&gt; el proveedor genera la propuesta apoyándose en la matriz PRL y el RAG -&gt; Pydantic valida o repara la salida -&gt; opcionalmente se calculan embeddings y similitud -&gt; se calculan incertidumbre y prioridad -&gt; SQLite guarda la propuesta -&gt; un técnico la aprueba, modifica o rechaza -&gt; SQLite guarda la decisión y la auditoría.</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3. ¿Qué hace cada parte del backend?</w:t>
            </w:r>
          </w:p>
          <w:p>
            <w:pPr>
              <w:spacing w:after="0" w:line="259" w:lineRule="auto"/>
            </w:pPr>
            <w:r>
              <w:rPr>
                <w:rFonts w:ascii="Aptos" w:hAnsi="Aptos"/>
                <w:color w:val="1F2724"/>
                <w:sz w:val="20"/>
              </w:rPr>
              <w:t>Las rutas FastAPI reciben las peticiones y devuelven respuestas HTTP. Los schemas Pydantic definen contratos estrictos. Los services contienen la lógica de privacidad, triaje, RAG, similitud, métricas, salud, incertidumbre y prioridad. Los providers conectan con Ollama y Gemini. Las tools permiten la consulta controlada de la matriz PRL. Los repositories gestionan SQLite y la persistencia.</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4. ¿Cómo explicar este flujo de forma sencilla?</w:t>
            </w:r>
          </w:p>
          <w:p>
            <w:pPr>
              <w:spacing w:after="0" w:line="259" w:lineRule="auto"/>
            </w:pPr>
            <w:r>
              <w:rPr>
                <w:rFonts w:ascii="Aptos" w:hAnsi="Aptos"/>
                <w:color w:val="1F2724"/>
                <w:sz w:val="20"/>
              </w:rPr>
              <w:t>La forma más fácil es decir: una persona describe un riesgo, el sistema limpia y valida el texto, la IA propone una clasificación apoyándose en reglas y evidencia, el backend comprueba que la respuesta sea válida y finalmente una persona decide si la aprueba, la corrige o la rechaza. La idea clave es que la IA ayuda a ordenar la información, pero no toma la decisión final.</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7. ¿Cómo hacer un diagrama del backend?</w:t>
            </w:r>
          </w:p>
          <w:p>
            <w:pPr>
              <w:spacing w:after="0" w:line="259" w:lineRule="auto"/>
            </w:pPr>
            <w:r>
              <w:rPr>
                <w:rFonts w:ascii="Aptos" w:hAnsi="Aptos"/>
                <w:color w:val="1F2724"/>
                <w:sz w:val="20"/>
              </w:rPr>
              <w:t>Puede resumirse así: React -&gt; FastAPI -&gt; Pydantic -&gt; Privacidad -&gt; Servicio de triaje -&gt; Ollama/Gemini -&gt; Matriz PRL + RAG -&gt; Validación/Repair -&gt; Embeddings/Similitud -&gt; Incertidumbre/Prioridad -&gt; SQLite -&gt; HITL. Ese diagrama muestra tanto el camino principal como las capacidades complementarias sin entrar en detalles de implementación.</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9. ¿Qué partes son imprescindibles y cuáles son opcionales?</w:t>
            </w:r>
          </w:p>
          <w:p>
            <w:pPr>
              <w:spacing w:after="0" w:line="259" w:lineRule="auto"/>
            </w:pPr>
            <w:r>
              <w:rPr>
                <w:rFonts w:ascii="Aptos" w:hAnsi="Aptos"/>
                <w:color w:val="1F2724"/>
                <w:sz w:val="20"/>
              </w:rPr>
              <w:t>Son imprescindibles para el flujo principal: FastAPI, Pydantic, un proveedor LLM operativo, matriz PRL, RAG, persistencia SQLite y revisión humana. Son complementarias u opcionales para que el triaje pueda seguir funcionando: embeddings y similitud de avisos. Gemini también puede no estar disponible si se trabaja solo con Ollama local; el sistema necesita al menos un proveedor LLM operativo.</w:t>
            </w:r>
          </w:p>
        </w:tc>
      </w:tr>
    </w:tbl>
    <w:p>
      <w:pPr>
        <w:spacing w:after="40"/>
        <w:widowControl/>
      </w:pPr>
    </w:p>
    <w:p>
      <w:pPr>
        <w:spacing w:after="40"/>
        <w:widowControl/>
      </w:pPr>
    </w:p>
    <w:p>
      <w:pPr>
        <w:pStyle w:val="Heading1"/>
        <w:widowControl/>
      </w:pPr>
      <w:r>
        <w:t>2. Frontend</w:t>
      </w: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1. ¿Cómo hemos hecho el frontend?</w:t>
            </w:r>
          </w:p>
          <w:p>
            <w:pPr>
              <w:spacing w:after="0" w:line="259" w:lineRule="auto"/>
            </w:pPr>
            <w:r>
              <w:rPr>
                <w:rFonts w:ascii="Aptos" w:hAnsi="Aptos"/>
                <w:color w:val="1F2724"/>
                <w:sz w:val="20"/>
              </w:rPr>
              <w:t>El frontend principal está desarrollado como una SPA con React y TypeScript. Se sirve en desarrollo con Vite y consume exclusivamente la API de FastAPI; no accede directamente a Ollama, Gemini ni SQLite.</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2. ¿Con qué tecnología está hecho?</w:t>
            </w:r>
          </w:p>
          <w:p>
            <w:pPr>
              <w:spacing w:after="0" w:line="259" w:lineRule="auto"/>
            </w:pPr>
            <w:r>
              <w:rPr>
                <w:rFonts w:ascii="Aptos" w:hAnsi="Aptos"/>
                <w:color w:val="1F2724"/>
                <w:sz w:val="20"/>
              </w:rPr>
              <w:t>La interfaz principal utiliza React, TypeScript y Vite. Los iconos son de Lucide React, los estilos se definen con CSS propio y las pruebas del frontend se realizan con Vitest y Testing Library.</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3. ¿Es React, Streamlit u otra cosa?</w:t>
            </w:r>
          </w:p>
          <w:p>
            <w:pPr>
              <w:spacing w:after="0" w:line="259" w:lineRule="auto"/>
            </w:pPr>
            <w:r>
              <w:rPr>
                <w:rFonts w:ascii="Aptos" w:hAnsi="Aptos"/>
                <w:color w:val="1F2724"/>
                <w:sz w:val="20"/>
              </w:rPr>
              <w:t>La interfaz principal es React + TypeScript + Vite. Existe además una interfaz Streamlit conservada como respaldo académico, pero la aplicación que se presenta y utiliza como frontend principal es la SPA de React.</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4. ¿Qué hace React en el proyecto?</w:t>
            </w:r>
          </w:p>
          <w:p>
            <w:pPr>
              <w:spacing w:after="0" w:line="259" w:lineRule="auto"/>
            </w:pPr>
            <w:r>
              <w:rPr>
                <w:rFonts w:ascii="Aptos" w:hAnsi="Aptos"/>
                <w:color w:val="1F2724"/>
                <w:sz w:val="20"/>
              </w:rPr>
              <w:t>React construye las pantallas, gestiona el estado de la interfaz y reacciona a las acciones del usuario. Por ejemplo, recoge un nuevo aviso, solicita datos a FastAPI, muestra la propuesta de triaje y actualiza bandeja, registro, panel, matriz y comparación sin recargar toda la página.</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5. ¿Qué hace TypeScript?</w:t>
            </w:r>
          </w:p>
          <w:p>
            <w:pPr>
              <w:spacing w:after="0" w:line="259" w:lineRule="auto"/>
            </w:pPr>
            <w:r>
              <w:rPr>
                <w:rFonts w:ascii="Aptos" w:hAnsi="Aptos"/>
                <w:color w:val="1F2724"/>
                <w:sz w:val="20"/>
              </w:rPr>
              <w:t>TypeScript añade tipos al código del frontend. Permite describir con precisión qué estructura tienen los datos que llegan de la API y detectar muchos errores durante el desarrollo antes de ejecutar la aplicación.</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6. ¿Qué hace Vite?</w:t>
            </w:r>
          </w:p>
          <w:p>
            <w:pPr>
              <w:spacing w:after="0" w:line="259" w:lineRule="auto"/>
            </w:pPr>
            <w:r>
              <w:rPr>
                <w:rFonts w:ascii="Aptos" w:hAnsi="Aptos"/>
                <w:color w:val="1F2724"/>
                <w:sz w:val="20"/>
              </w:rPr>
              <w:t>Vite es la herramienta que usamos para desarrollar y compilar el frontend. En desarrollo levanta el servidor de React rápidamente y redirige las llamadas a la API hacia FastAPI; en el build genera los archivos estáticos de producción.</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7. ¿Cómo se comunica el frontend con FastAPI?</w:t>
            </w:r>
          </w:p>
          <w:p>
            <w:pPr>
              <w:spacing w:after="0" w:line="259" w:lineRule="auto"/>
            </w:pPr>
            <w:r>
              <w:rPr>
                <w:rFonts w:ascii="Aptos" w:hAnsi="Aptos"/>
                <w:color w:val="1F2724"/>
                <w:sz w:val="20"/>
              </w:rPr>
              <w:t>Se comunica mediante HTTP y JSON. React llama a los endpoints REST de FastAPI, por ejemplo POST /api/v1/triage para crear un triaje, GET /api/v1/notices para consultar avisos o POST /api/v1/comparisons para comparar proveedores.</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8. ¿Qué papel tiene api.ts?</w:t>
            </w:r>
          </w:p>
          <w:p>
            <w:pPr>
              <w:spacing w:after="0" w:line="259" w:lineRule="auto"/>
            </w:pPr>
            <w:r>
              <w:rPr>
                <w:rFonts w:ascii="Aptos" w:hAnsi="Aptos"/>
                <w:color w:val="1F2724"/>
                <w:sz w:val="20"/>
              </w:rPr>
              <w:t>frontend-react/src/api.ts centraliza las llamadas HTTP del frontend. Ahí se construyen las peticiones, se convierten las respuestas en tipos TypeScript y se normalizan los errores, de modo que los componentes visuales no tienen que repetir la lógica de conexión con el backend.</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9. ¿Dónde están las pantallas de Nuevo aviso, Bandeja, Registro, Panel, Matriz y Comparación?</w:t>
            </w:r>
          </w:p>
          <w:p>
            <w:pPr>
              <w:spacing w:after="0" w:line="259" w:lineRule="auto"/>
            </w:pPr>
            <w:r>
              <w:rPr>
                <w:rFonts w:ascii="Aptos" w:hAnsi="Aptos"/>
                <w:color w:val="1F2724"/>
                <w:sz w:val="20"/>
              </w:rPr>
              <w:t>La navegación y gran parte de la lógica visual están en frontend-react/src/App.tsx, apoyadas por los tipos de src/types.ts, las llamadas de src/api.ts y los estilos de src/styles.css. React cambia de vista dentro de la misma SPA sin cargar páginas HTML independientes.</w:t>
            </w:r>
          </w:p>
        </w:tc>
      </w:tr>
    </w:tbl>
    <w:p>
      <w:pPr>
        <w:spacing w:after="40"/>
        <w:widowControl/>
      </w:pPr>
    </w:p>
    <w:p>
      <w:pPr>
        <w:spacing w:after="40"/>
        <w:widowControl/>
      </w:pPr>
    </w:p>
    <w:p>
      <w:pPr>
        <w:pStyle w:val="Heading1"/>
        <w:widowControl/>
      </w:pPr>
      <w:r>
        <w:t>3. Backend, FastAPI y Pydantic</w:t>
      </w: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1. ¿Cómo está organizado el backend?</w:t>
            </w:r>
          </w:p>
          <w:p>
            <w:pPr>
              <w:spacing w:after="0" w:line="259" w:lineRule="auto"/>
            </w:pPr>
            <w:r>
              <w:rPr>
                <w:rFonts w:ascii="Aptos" w:hAnsi="Aptos"/>
                <w:color w:val="1F2724"/>
                <w:sz w:val="20"/>
              </w:rPr>
              <w:t>El backend se divide por responsabilidades: api para rutas, schemas para contratos Pydantic, services para la lógica de negocio, providers para Ollama/Gemini, tools para la matriz, repositories para SQLite, prompts para instrucciones del modelo y core para configuración y observabilidad. Esta separación hace que cada pieza sea más fácil de probar y sustituir.</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2. ¿Qué hace FastAPI?</w:t>
            </w:r>
          </w:p>
          <w:p>
            <w:pPr>
              <w:spacing w:after="0" w:line="259" w:lineRule="auto"/>
            </w:pPr>
            <w:r>
              <w:rPr>
                <w:rFonts w:ascii="Aptos" w:hAnsi="Aptos"/>
                <w:color w:val="1F2724"/>
                <w:sz w:val="20"/>
              </w:rPr>
              <w:t>FastAPI expone la API REST de IAviso Seguro. Recibe las peticiones del frontend, aplica dependencias y validaciones, llama a los servicios correspondientes y devuelve respuestas JSON o errores HTTP controlados.</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3. ¿Qué hace Pydantic?</w:t>
            </w:r>
          </w:p>
          <w:p>
            <w:pPr>
              <w:spacing w:after="0" w:line="259" w:lineRule="auto"/>
            </w:pPr>
            <w:r>
              <w:rPr>
                <w:rFonts w:ascii="Aptos" w:hAnsi="Aptos"/>
                <w:color w:val="1F2724"/>
                <w:sz w:val="20"/>
              </w:rPr>
              <w:t>Pydantic define y valida la estructura de los datos. Comprueba tanto entradas como salidas: tipos, campos obligatorios, valores permitidos y restricciones. Así evita que datos mal formados circulen por la aplicación.</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4. ¿Qué significa que el desarrollo sea type-safe?</w:t>
            </w:r>
          </w:p>
          <w:p>
            <w:pPr>
              <w:spacing w:after="0" w:line="259" w:lineRule="auto"/>
            </w:pPr>
            <w:r>
              <w:rPr>
                <w:rFonts w:ascii="Aptos" w:hAnsi="Aptos"/>
                <w:color w:val="1F2724"/>
                <w:sz w:val="20"/>
              </w:rPr>
              <w:t>Significa que trabajamos con contratos explícitos de datos en vez de aceptar cualquier estructura. En backend Pydantic valida los modelos y en frontend TypeScript controla los tipos; esto reduce errores por campos inexistentes, tipos incorrectos o valores fuera del catálogo.</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5. ¿Dónde se valida lo que entra?</w:t>
            </w:r>
          </w:p>
          <w:p>
            <w:pPr>
              <w:spacing w:after="0" w:line="259" w:lineRule="auto"/>
            </w:pPr>
            <w:r>
              <w:rPr>
                <w:rFonts w:ascii="Aptos" w:hAnsi="Aptos"/>
                <w:color w:val="1F2724"/>
                <w:sz w:val="20"/>
              </w:rPr>
              <w:t>La entrada se valida en FastAPI mediante los schemas Pydantic asociados al endpoint. Solo después de superar ese contrato se ejecutan servicios como privacidad, triaje o persistencia.</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6. ¿Dónde se valida lo que devuelve el modelo?</w:t>
            </w:r>
          </w:p>
          <w:p>
            <w:pPr>
              <w:spacing w:after="0" w:line="259" w:lineRule="auto"/>
            </w:pPr>
            <w:r>
              <w:rPr>
                <w:rFonts w:ascii="Aptos" w:hAnsi="Aptos"/>
                <w:color w:val="1F2724"/>
                <w:sz w:val="20"/>
              </w:rPr>
              <w:t>La salida del proveedor se transforma y valida contra los schemas Pydantic de la propuesta. Además, el backend comprueba la coherencia con la observación real de la matriz PRL para categoría, urgencia y departamento.</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7. ¿Qué pasa si el modelo devuelve un JSON incorrecto?</w:t>
            </w:r>
          </w:p>
          <w:p>
            <w:pPr>
              <w:spacing w:after="0" w:line="259" w:lineRule="auto"/>
            </w:pPr>
            <w:r>
              <w:rPr>
                <w:rFonts w:ascii="Aptos" w:hAnsi="Aptos"/>
                <w:color w:val="1F2724"/>
                <w:sz w:val="20"/>
              </w:rPr>
              <w:t>Se considera una salida reparable. El sistema utiliza el mecanismo de repair dentro del límite configurado para pedir una corrección estructurada. Si después de agotar las reparaciones la salida sigue siendo inválida o incoherente, se devuelve un error controlado y esa propuesta no se persiste como aviso válido.</w:t>
            </w:r>
          </w:p>
        </w:tc>
      </w:tr>
    </w:tbl>
    <w:p>
      <w:pPr>
        <w:spacing w:after="40"/>
        <w:widowControl/>
      </w:pPr>
    </w:p>
    <w:p>
      <w:pPr>
        <w:spacing w:after="40"/>
        <w:widowControl/>
      </w:pPr>
    </w:p>
    <w:p>
      <w:pPr>
        <w:pStyle w:val="Heading1"/>
        <w:widowControl/>
      </w:pPr>
      <w:r>
        <w:t>5. Prompting</w:t>
      </w: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8. ¿Tenemos que mostrar el razonamiento interno del modelo?</w:t>
            </w:r>
          </w:p>
          <w:p>
            <w:pPr>
              <w:spacing w:after="0" w:line="259" w:lineRule="auto"/>
            </w:pPr>
            <w:r>
              <w:rPr>
                <w:rFonts w:ascii="Aptos" w:hAnsi="Aptos"/>
                <w:color w:val="1F2724"/>
                <w:sz w:val="20"/>
              </w:rPr>
              <w:t>No necesitamos exponer un Chain-of-Thought libre para que la aplicación sea explicable. IAviso Seguro muestra elementos verificables: herramienta consultada, evidencia recuperada, resultado estructurado y una justificación breve. Esto permite auditar la decisión sin almacenar ni enseñar el razonamiento interno paso a paso del modelo.</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9. ¿Podemos sustituirlo por una justificación breve y verificable?</w:t>
            </w:r>
          </w:p>
          <w:p>
            <w:pPr>
              <w:spacing w:after="0" w:line="259" w:lineRule="auto"/>
            </w:pPr>
            <w:r>
              <w:rPr>
                <w:rFonts w:ascii="Aptos" w:hAnsi="Aptos"/>
                <w:color w:val="1F2724"/>
                <w:sz w:val="20"/>
              </w:rPr>
              <w:t>Sí, y es la opción usada en el proyecto. La justificación explica por qué se ha propuesto una clasificación apoyándose en evidencia visible, mientras que la trazabilidad de matriz y RAG permite comprobar de dónde sale la decisión. En el proyecto se documenta como una alternativa controlada al CoT visible que pedía literalmente el briefing.</w:t>
            </w:r>
          </w:p>
        </w:tc>
      </w:tr>
    </w:tbl>
    <w:p>
      <w:pPr>
        <w:spacing w:after="40"/>
        <w:widowControl/>
      </w:pPr>
    </w:p>
    <w:p>
      <w:pPr>
        <w:spacing w:after="40"/>
        <w:widowControl/>
      </w:pPr>
    </w:p>
    <w:p>
      <w:pPr>
        <w:pStyle w:val="Heading1"/>
        <w:widowControl/>
      </w:pPr>
      <w:r>
        <w:t>6. ReAct y herramientas</w:t>
      </w: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1. ¿Qué es ReAct?</w:t>
            </w:r>
          </w:p>
          <w:p>
            <w:pPr>
              <w:spacing w:after="0" w:line="259" w:lineRule="auto"/>
            </w:pPr>
            <w:r>
              <w:rPr>
                <w:rFonts w:ascii="Aptos" w:hAnsi="Aptos"/>
                <w:color w:val="1F2724"/>
                <w:sz w:val="20"/>
              </w:rPr>
              <w:t>ReAct significa Reasoning + Acting. Es un patrón en el que el modelo no se limita a generar una respuesta, sino que puede ejecutar una acción mediante una herramienta, observar el resultado y usar esa observación para construir la respuesta final.</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2. ¿Cómo funciona ReAct?</w:t>
            </w:r>
          </w:p>
          <w:p>
            <w:pPr>
              <w:spacing w:after="0" w:line="259" w:lineRule="auto"/>
            </w:pPr>
            <w:r>
              <w:rPr>
                <w:rFonts w:ascii="Aptos" w:hAnsi="Aptos"/>
                <w:color w:val="1F2724"/>
                <w:sz w:val="20"/>
              </w:rPr>
              <w:t>Conceptualmente sigue el ciclo razonamiento -&gt; acción -&gt; observación -&gt; respuesta. En IAviso Seguro, el modelo solicita una consulta a la matriz PRL, el backend ejecuta esa herramienta y devuelve la observación; después el proveedor genera una propuesta utilizando ese dato y la evidencia preventiva.</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3. ¿Dónde busca ReAct?</w:t>
            </w:r>
          </w:p>
          <w:p>
            <w:pPr>
              <w:spacing w:after="0" w:line="259" w:lineRule="auto"/>
            </w:pPr>
            <w:r>
              <w:rPr>
                <w:rFonts w:ascii="Aptos" w:hAnsi="Aptos"/>
                <w:color w:val="1F2724"/>
                <w:sz w:val="20"/>
              </w:rPr>
              <w:t>ReAct no busca automáticamente en Internet. En este proyecto solo puede usar la herramienta controlada que el backend le expone para consultar la matriz PRL. La recuperación RAG también está controlada por el backend y usa un corpus local, no una búsqueda web abierta.</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4. ¿Qué herramienta utiliza en IAviso Seguro?</w:t>
            </w:r>
          </w:p>
          <w:p>
            <w:pPr>
              <w:spacing w:after="0" w:line="259" w:lineRule="auto"/>
            </w:pPr>
            <w:r>
              <w:rPr>
                <w:rFonts w:ascii="Aptos" w:hAnsi="Aptos"/>
                <w:color w:val="1F2724"/>
                <w:sz w:val="20"/>
              </w:rPr>
              <w:t>La herramienta principal es la consulta acotada de la matriz de riesgos, equivalente a consultar_matriz_riesgos. Recibe una categoría válida y devuelve la regla PRL correspondiente, con urgencia y departamento recomendados.</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5. ¿Qué significa Thought -&gt; Action -&gt; Observation?</w:t>
            </w:r>
          </w:p>
          <w:p>
            <w:pPr>
              <w:spacing w:after="0" w:line="259" w:lineRule="auto"/>
            </w:pPr>
            <w:r>
              <w:rPr>
                <w:rFonts w:ascii="Aptos" w:hAnsi="Aptos"/>
                <w:color w:val="1F2724"/>
                <w:sz w:val="20"/>
              </w:rPr>
              <w:t>Thought representa la intención de resolver qué información hace falta; Action es la llamada a una herramienta; Observation es el resultado devuelto por esa herramienta. En la aplicación no mostramos un Thought interno detallado: conservamos la parte verificable de acción, observación, evidencia y respuesta.</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6. ¿Nuestro proyecto implementa ReAct de verdad o una versión inspirada en ReAct?</w:t>
            </w:r>
          </w:p>
          <w:p>
            <w:pPr>
              <w:spacing w:after="0" w:line="259" w:lineRule="auto"/>
            </w:pPr>
            <w:r>
              <w:rPr>
                <w:rFonts w:ascii="Aptos" w:hAnsi="Aptos"/>
                <w:color w:val="1F2724"/>
                <w:sz w:val="20"/>
              </w:rPr>
              <w:t>La forma más precisa de describirlo es decir que implementa una orquestación inspirada en ReAct, restringida y verificable. Hay llamada de herramienta y observación real, pero no se expone ni se almacena un Chain-of-Thought libre. Esa restricción evita convertir el razonamiento interno en un dato operativo del sistema.</w:t>
            </w:r>
          </w:p>
        </w:tc>
      </w:tr>
    </w:tbl>
    <w:p>
      <w:pPr>
        <w:spacing w:after="40"/>
        <w:widowControl/>
      </w:pPr>
    </w:p>
    <w:p>
      <w:pPr>
        <w:spacing w:after="40"/>
        <w:widowControl/>
      </w:pPr>
    </w:p>
    <w:p>
      <w:pPr>
        <w:pStyle w:val="Heading1"/>
        <w:widowControl/>
      </w:pPr>
      <w:r>
        <w:t>7. Matriz de riesgos</w:t>
      </w: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1. ¿Qué papel tiene la matriz PRL?</w:t>
            </w:r>
          </w:p>
          <w:p>
            <w:pPr>
              <w:spacing w:after="0" w:line="259" w:lineRule="auto"/>
            </w:pPr>
            <w:r>
              <w:rPr>
                <w:rFonts w:ascii="Aptos" w:hAnsi="Aptos"/>
                <w:color w:val="1F2724"/>
                <w:sz w:val="20"/>
              </w:rPr>
              <w:t>La matriz PRL es la autoridad estructurada del dominio para la clasificación. Define, por categoría, la urgencia recomendada y el departamento asociado. El modelo puede proponer, pero el backend exige coherencia con la observación real de la matriz.</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2. ¿Cómo consulta el modelo la matriz?</w:t>
            </w:r>
          </w:p>
          <w:p>
            <w:pPr>
              <w:spacing w:after="0" w:line="259" w:lineRule="auto"/>
            </w:pPr>
            <w:r>
              <w:rPr>
                <w:rFonts w:ascii="Aptos" w:hAnsi="Aptos"/>
                <w:color w:val="1F2724"/>
                <w:sz w:val="20"/>
              </w:rPr>
              <w:t>El proveedor solicita la herramienta de matriz con una categoría. FastAPI valida los argumentos, ejecuta la consulta sobre la matriz versionada y devuelve una observación controlada al proveedor para que termine la propuesta.</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3. ¿La urgencia la decide el LLM o la matriz?</w:t>
            </w:r>
          </w:p>
          <w:p>
            <w:pPr>
              <w:spacing w:after="0" w:line="259" w:lineRule="auto"/>
            </w:pPr>
            <w:r>
              <w:rPr>
                <w:rFonts w:ascii="Aptos" w:hAnsi="Aptos"/>
                <w:color w:val="1F2724"/>
                <w:sz w:val="20"/>
              </w:rPr>
              <w:t>El LLM participa en la propuesta de categoría, pero la urgencia final debe coincidir con la urgencia recomendada por la regla de matriz realmente consultada. El backend lo verifica de forma determinista, por lo que la matriz actúa como autoridad de coherencia.</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4. ¿El departamento debe coincidir con la matriz?</w:t>
            </w:r>
          </w:p>
          <w:p>
            <w:pPr>
              <w:spacing w:after="0" w:line="259" w:lineRule="auto"/>
            </w:pPr>
            <w:r>
              <w:rPr>
                <w:rFonts w:ascii="Aptos" w:hAnsi="Aptos"/>
                <w:color w:val="1F2724"/>
                <w:sz w:val="20"/>
              </w:rPr>
              <w:t>Sí. El departamento de la propuesta final debe coincidir con el departamento de la observación de matriz utilizada en esa ejecución. Si no coincide, la salida se considera incoherente y entra en reparación.</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5. ¿Qué pasa si el modelo contradice la matriz?</w:t>
            </w:r>
          </w:p>
          <w:p>
            <w:pPr>
              <w:spacing w:after="0" w:line="259" w:lineRule="auto"/>
            </w:pPr>
            <w:r>
              <w:rPr>
                <w:rFonts w:ascii="Aptos" w:hAnsi="Aptos"/>
                <w:color w:val="1F2724"/>
                <w:sz w:val="20"/>
              </w:rPr>
              <w:t>No se corrige silenciosamente ni se acepta tal cual. La incoherencia se trata como una salida inválida reparable y se solicita al modelo que corrija únicamente los campos que contradicen la observación. Si sigue contradiciéndola tras el máximo de repairs, el flujo termina con un error controlado y no se persiste la propuesta incoherente.</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6. ¿Cómo evitamos duplicar las reglas de la matriz en el código?</w:t>
            </w:r>
          </w:p>
          <w:p>
            <w:pPr>
              <w:spacing w:after="0" w:line="259" w:lineRule="auto"/>
            </w:pPr>
            <w:r>
              <w:rPr>
                <w:rFonts w:ascii="Aptos" w:hAnsi="Aptos"/>
                <w:color w:val="1F2724"/>
                <w:sz w:val="20"/>
              </w:rPr>
              <w:t>La comprobación usa la RiskMatrixObservation obtenida en esa misma ejecución. No se vuelven a codificar las reglas de urgencia o departamento en otro sitio; se compara la salida del proveedor con la observación real ya recuperada de la matriz versionada.</w:t>
            </w:r>
          </w:p>
        </w:tc>
      </w:tr>
    </w:tbl>
    <w:p>
      <w:pPr>
        <w:spacing w:after="40"/>
        <w:widowControl/>
      </w:pPr>
    </w:p>
    <w:p>
      <w:pPr>
        <w:spacing w:after="40"/>
        <w:widowControl/>
      </w:pPr>
    </w:p>
    <w:p>
      <w:pPr>
        <w:pStyle w:val="Heading1"/>
        <w:widowControl/>
      </w:pPr>
      <w:r>
        <w:t>8. RAG</w:t>
      </w: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1. ¿Qué es RAG?</w:t>
            </w:r>
          </w:p>
          <w:p>
            <w:pPr>
              <w:spacing w:after="0" w:line="259" w:lineRule="auto"/>
            </w:pPr>
            <w:r>
              <w:rPr>
                <w:rFonts w:ascii="Aptos" w:hAnsi="Aptos"/>
                <w:color w:val="1F2724"/>
                <w:sz w:val="20"/>
              </w:rPr>
              <w:t>RAG significa Retrieval-Augmented Generation. Consiste en recuperar información relevante de una fuente antes de generar la respuesta, para que el modelo no dependa solo de lo aprendido durante su entrenamiento.</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2. ¿Para qué sirve en IAviso Seguro?</w:t>
            </w:r>
          </w:p>
          <w:p>
            <w:pPr>
              <w:spacing w:after="0" w:line="259" w:lineRule="auto"/>
            </w:pPr>
            <w:r>
              <w:rPr>
                <w:rFonts w:ascii="Aptos" w:hAnsi="Aptos"/>
                <w:color w:val="1F2724"/>
                <w:sz w:val="20"/>
              </w:rPr>
              <w:t>Sirve para aportar evidencia preventiva relacionada con la categoría del riesgo. El modelo recibe fragmentos del corpus local que ayudan a fundamentar la propuesta y la aplicación puede mostrar qué fuentes se consultaron.</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3. ¿Qué documentación consulta?</w:t>
            </w:r>
          </w:p>
          <w:p>
            <w:pPr>
              <w:spacing w:after="0" w:line="259" w:lineRule="auto"/>
            </w:pPr>
            <w:r>
              <w:rPr>
                <w:rFonts w:ascii="Aptos" w:hAnsi="Aptos"/>
                <w:color w:val="1F2724"/>
                <w:sz w:val="20"/>
              </w:rPr>
              <w:t>Consulta un corpus preventivo local y versionado incluido en el proyecto. Es documentación sintética y didáctica para la demo, no un corpus normativo preparado para uso real.</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4. ¿Cómo recupera la información?</w:t>
            </w:r>
          </w:p>
          <w:p>
            <w:pPr>
              <w:spacing w:after="0" w:line="259" w:lineRule="auto"/>
            </w:pPr>
            <w:r>
              <w:rPr>
                <w:rFonts w:ascii="Aptos" w:hAnsi="Aptos"/>
                <w:color w:val="1F2724"/>
                <w:sz w:val="20"/>
              </w:rPr>
              <w:t>Primero filtra los documentos por la categoría validada y después puntúa coincidencias léxicas de título, contenido y expresiones. Devuelve los fragmentos más relevantes hasta el máximo configurado.</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5. ¿Tenemos un RAG vectorial?</w:t>
            </w:r>
          </w:p>
          <w:p>
            <w:pPr>
              <w:spacing w:after="0" w:line="259" w:lineRule="auto"/>
            </w:pPr>
            <w:r>
              <w:rPr>
                <w:rFonts w:ascii="Aptos" w:hAnsi="Aptos"/>
                <w:color w:val="1F2724"/>
                <w:sz w:val="20"/>
              </w:rPr>
              <w:t>No. El RAG actual es local, determinista y léxico. No utiliza embeddings ni una base vectorial para recuperar la documentación preventiva.</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6. ¿Qué diferencia hay entre nuestro RAG y los embeddings?</w:t>
            </w:r>
          </w:p>
          <w:p>
            <w:pPr>
              <w:spacing w:after="0" w:line="259" w:lineRule="auto"/>
            </w:pPr>
            <w:r>
              <w:rPr>
                <w:rFonts w:ascii="Aptos" w:hAnsi="Aptos"/>
                <w:color w:val="1F2724"/>
                <w:sz w:val="20"/>
              </w:rPr>
              <w:t>El RAG busca documentación preventiva para apoyar la clasificación. Los embeddings, en cambio, convierten avisos en vectores y comparan su significado para detectar avisos históricos parecidos. Son dos funciones distintas y están separadas en la arquitectura.</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7. ¿El RAG busca avisos anteriores?</w:t>
            </w:r>
          </w:p>
          <w:p>
            <w:pPr>
              <w:spacing w:after="0" w:line="259" w:lineRule="auto"/>
            </w:pPr>
            <w:r>
              <w:rPr>
                <w:rFonts w:ascii="Aptos" w:hAnsi="Aptos"/>
                <w:color w:val="1F2724"/>
                <w:sz w:val="20"/>
              </w:rPr>
              <w:t>No. El RAG consulta el corpus preventivo de conocimiento. Los avisos anteriores se comparan mediante el servicio de similitud basado en embeddings.</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8. ¿Dónde está la base documental preventiva?</w:t>
            </w:r>
          </w:p>
          <w:p>
            <w:pPr>
              <w:spacing w:after="0" w:line="259" w:lineRule="auto"/>
            </w:pPr>
            <w:r>
              <w:rPr>
                <w:rFonts w:ascii="Aptos" w:hAnsi="Aptos"/>
                <w:color w:val="1F2724"/>
                <w:sz w:val="20"/>
              </w:rPr>
              <w:t>El corpus RAG está versionado en data/knowledge/prevention_docs.v1.json. Copiar un PDF o DOCX a la carpeta no lo indexa automáticamente: habría que extraer, fragmentar, categorizar y validar el contenido antes de generar una nueva versión del corpus.</w:t>
            </w:r>
          </w:p>
        </w:tc>
      </w:tr>
    </w:tbl>
    <w:p>
      <w:pPr>
        <w:spacing w:after="40"/>
        <w:widowControl/>
      </w:pPr>
    </w:p>
    <w:p>
      <w:pPr>
        <w:spacing w:after="40"/>
        <w:widowControl/>
      </w:pPr>
    </w:p>
    <w:p>
      <w:pPr>
        <w:pStyle w:val="Heading1"/>
        <w:widowControl/>
      </w:pPr>
      <w:r>
        <w:t>9. Embeddings y similitud</w:t>
      </w: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1. ¿Qué son los embeddings?</w:t>
            </w:r>
          </w:p>
          <w:p>
            <w:pPr>
              <w:spacing w:after="0" w:line="259" w:lineRule="auto"/>
            </w:pPr>
            <w:r>
              <w:rPr>
                <w:rFonts w:ascii="Aptos" w:hAnsi="Aptos"/>
                <w:color w:val="1F2724"/>
                <w:sz w:val="20"/>
              </w:rPr>
              <w:t>Los embeddings son representaciones numéricas de un texto que intentan conservar su significado semántico. Frases diferentes pero con un significado parecido producen vectores relativamente cercanos, lo que permite compararlas matemáticamente.</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2. ¿Para qué sirven?</w:t>
            </w:r>
          </w:p>
          <w:p>
            <w:pPr>
              <w:spacing w:after="0" w:line="259" w:lineRule="auto"/>
            </w:pPr>
            <w:r>
              <w:rPr>
                <w:rFonts w:ascii="Aptos" w:hAnsi="Aptos"/>
                <w:color w:val="1F2724"/>
                <w:sz w:val="20"/>
              </w:rPr>
              <w:t>En IAviso Seguro sirven para buscar avisos históricos semánticamente parecidos al nuevo aviso y detectar posibles recurrencias. No se usan para el RAG documental ni para decidir la clasificación principal, y su score de similitud no es una probabilidad ni una confianza del modelo.</w:t>
            </w:r>
          </w:p>
        </w:tc>
      </w:tr>
    </w:tbl>
    <w:p>
      <w:pPr>
        <w:spacing w:after="40"/>
        <w:widowControl/>
      </w:pPr>
    </w:p>
    <w:p>
      <w:pPr>
        <w:spacing w:after="40"/>
        <w:widowControl/>
      </w:pPr>
    </w:p>
    <w:p>
      <w:pPr>
        <w:pStyle w:val="Heading1"/>
        <w:widowControl/>
      </w:pPr>
      <w:r>
        <w:t>10. Privacidad</w:t>
      </w: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7. ¿Cómo evitamos que FastAPI/Pydantic muestre el contenido sensible en errores?</w:t>
            </w:r>
          </w:p>
          <w:p>
            <w:pPr>
              <w:spacing w:after="0" w:line="259" w:lineRule="auto"/>
            </w:pPr>
            <w:r>
              <w:rPr>
                <w:rFonts w:ascii="Aptos" w:hAnsi="Aptos"/>
                <w:color w:val="1F2724"/>
                <w:sz w:val="20"/>
              </w:rPr>
              <w:t>Los errores de validación 422 se devuelven mediante un manejo seguro que conserva información útil como ubicación del campo, tipo de error y mensaje, pero no refleja el valor bruto enviado por el usuario. De ese modo, un dato personal introducido en una petición inválida no aparece de vuelta en la respuesta ni se usa como contenido de diagnóstico.</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8. ¿Cómo explicamos esta capa sin decir que la app gestiona datos personales reales?</w:t>
            </w:r>
          </w:p>
          <w:p>
            <w:pPr>
              <w:spacing w:after="0" w:line="259" w:lineRule="auto"/>
            </w:pPr>
            <w:r>
              <w:rPr>
                <w:rFonts w:ascii="Aptos" w:hAnsi="Aptos"/>
                <w:color w:val="1F2724"/>
                <w:sz w:val="20"/>
              </w:rPr>
              <w:t>La frase correcta es: 'El aviso es texto libre y recomendamos no introducir datos personales, pero añadimos una capa previa de anonimización para reducir el riesgo de que información introducida accidentalmente se envíe a un proveedor externo'. Es una capa adicional de protección del prototipo, no una afirmación de que el sistema esté preparado para tratar datos personales reales.</w:t>
            </w:r>
          </w:p>
        </w:tc>
      </w:tr>
    </w:tbl>
    <w:p>
      <w:pPr>
        <w:spacing w:after="40"/>
        <w:widowControl/>
      </w:pPr>
    </w:p>
    <w:p>
      <w:pPr>
        <w:spacing w:after="40"/>
        <w:widowControl/>
      </w:pPr>
    </w:p>
    <w:p>
      <w:pPr>
        <w:pStyle w:val="Heading1"/>
        <w:widowControl/>
      </w:pPr>
      <w:r>
        <w:t>11. HITL y revisión humana</w:t>
      </w: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1. ¿Qué significa HITL?</w:t>
            </w:r>
          </w:p>
          <w:p>
            <w:pPr>
              <w:spacing w:after="0" w:line="259" w:lineRule="auto"/>
            </w:pPr>
            <w:r>
              <w:rPr>
                <w:rFonts w:ascii="Aptos" w:hAnsi="Aptos"/>
                <w:color w:val="1F2724"/>
                <w:sz w:val="20"/>
              </w:rPr>
              <w:t>HITL significa Human-in-the-Loop. En IAviso Seguro la IA genera una propuesta, pero una persona técnica conserva la decisión final: puede aprobarla, modificarla o rechazarla. La idea central es: 'La IA propone; el humano decide'.</w:t>
            </w:r>
          </w:p>
        </w:tc>
      </w:tr>
    </w:tbl>
    <w:p>
      <w:pPr>
        <w:spacing w:after="40"/>
        <w:widowControl/>
      </w:pPr>
    </w:p>
    <w:p>
      <w:pPr>
        <w:spacing w:after="40"/>
        <w:widowControl/>
      </w:pPr>
    </w:p>
    <w:p>
      <w:pPr>
        <w:pStyle w:val="Heading1"/>
        <w:widowControl/>
      </w:pPr>
      <w:r>
        <w:t>12. Incertidumbre y prioridad</w:t>
      </w: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1. ¿Ya teníamos implementada una medida de incertidumbre?</w:t>
            </w:r>
          </w:p>
          <w:p>
            <w:pPr>
              <w:spacing w:after="0" w:line="259" w:lineRule="auto"/>
            </w:pPr>
            <w:r>
              <w:rPr>
                <w:rFonts w:ascii="Aptos" w:hAnsi="Aptos"/>
                <w:color w:val="1F2724"/>
                <w:sz w:val="20"/>
              </w:rPr>
              <w:t>Sí. El proyecto calcula una incertidumbre técnica con tres niveles: low, medium y high. Es un servicio determinista que observa señales del proceso y no una puntuación inventada por el LLM.</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2. ¿Es una confianza numérica del modelo?</w:t>
            </w:r>
          </w:p>
          <w:p>
            <w:pPr>
              <w:spacing w:after="0" w:line="259" w:lineRule="auto"/>
            </w:pPr>
            <w:r>
              <w:rPr>
                <w:rFonts w:ascii="Aptos" w:hAnsi="Aptos"/>
                <w:color w:val="1F2724"/>
                <w:sz w:val="20"/>
              </w:rPr>
              <w:t>No. La incertidumbre no pregunta al modelo cuánto confía en su propia respuesta y no se presenta como probabilidad. Se calcula a partir de señales observables del sistema, como repairs, retries, categoría genérica o evidencia incompleta.</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3. ¿Qué señales utiliza la incertidumbre técnica?</w:t>
            </w:r>
          </w:p>
          <w:p>
            <w:pPr>
              <w:spacing w:after="0" w:line="259" w:lineRule="auto"/>
            </w:pPr>
            <w:r>
              <w:rPr>
                <w:rFonts w:ascii="Aptos" w:hAnsi="Aptos"/>
                <w:color w:val="1F2724"/>
                <w:sz w:val="20"/>
              </w:rPr>
              <w:t>Utiliza señales como salida reparada, múltiples reparaciones, categoría genérica 'otros', evidencia preventiva incompleta y retry del proveedor. Sin señales el nivel es bajo; una señal suele llevarlo a medio; varias señales o múltiples repairs pueden llevarlo a alto.</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4. ¿Qué diferencia hay entre incertidumbre y prioridad de revisión?</w:t>
            </w:r>
          </w:p>
          <w:p>
            <w:pPr>
              <w:spacing w:after="0" w:line="259" w:lineRule="auto"/>
            </w:pPr>
            <w:r>
              <w:rPr>
                <w:rFonts w:ascii="Aptos" w:hAnsi="Aptos"/>
                <w:color w:val="1F2724"/>
                <w:sz w:val="20"/>
              </w:rPr>
              <w:t>La incertidumbre describe la calidad técnica del proceso que produjo la propuesta. La prioridad de revisión indica qué tan pronto conviene revisar el aviso y parte principalmente de la urgencia PRL, pudiendo elevarse de forma acotada por incertidumbre alta o recurrencia en la misma zona.</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5. ¿Cómo se calcula low, medium, high?</w:t>
            </w:r>
          </w:p>
          <w:p>
            <w:pPr>
              <w:spacing w:after="0" w:line="259" w:lineRule="auto"/>
            </w:pPr>
            <w:r>
              <w:rPr>
                <w:rFonts w:ascii="Aptos" w:hAnsi="Aptos"/>
                <w:color w:val="1F2724"/>
                <w:sz w:val="20"/>
              </w:rPr>
              <w:t>La política v1 considera baja la incertidumbre sin señales técnicas, media cuando hay una señal y alta cuando hay dos o más señales o múltiples reparaciones. Son reglas deterministas y versionadas.</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6. ¿Cómo se calcula low, medium, high, critical en prioridad?</w:t>
            </w:r>
          </w:p>
          <w:p>
            <w:pPr>
              <w:spacing w:after="0" w:line="259" w:lineRule="auto"/>
            </w:pPr>
            <w:r>
              <w:rPr>
                <w:rFonts w:ascii="Aptos" w:hAnsi="Aptos"/>
                <w:color w:val="1F2724"/>
                <w:sz w:val="20"/>
              </w:rPr>
              <w:t>La prioridad base toma el mismo nivel que la urgencia preventiva: baja, media, alta o crítica. Una incertidumbre alta o una recurrencia en la misma zona puede elevar un nivel con tope en alta; una urgencia crítica permanece crítica.</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7. ¿Por qué una señal técnica no puede convertir por sí sola un aviso en crítico?</w:t>
            </w:r>
          </w:p>
          <w:p>
            <w:pPr>
              <w:spacing w:after="0" w:line="259" w:lineRule="auto"/>
            </w:pPr>
            <w:r>
              <w:rPr>
                <w:rFonts w:ascii="Aptos" w:hAnsi="Aptos"/>
                <w:color w:val="1F2724"/>
                <w:sz w:val="20"/>
              </w:rPr>
              <w:t>Porque 'crítico' tiene significado preventivo y debe reservarse a una urgencia PRL crítica. Las señales técnicas pueden pedir una revisión más rápida, pero no deben alterar artificialmente la gravedad del riesgo. Por eso las elevaciones técnicas tienen como tope la prioridad alta.</w:t>
            </w:r>
          </w:p>
        </w:tc>
      </w:tr>
    </w:tbl>
    <w:p>
      <w:pPr>
        <w:spacing w:after="40"/>
        <w:widowControl/>
      </w:pPr>
    </w:p>
    <w:p>
      <w:pPr>
        <w:spacing w:after="40"/>
        <w:widowControl/>
      </w:pPr>
    </w:p>
    <w:p>
      <w:pPr>
        <w:pStyle w:val="Heading1"/>
        <w:widowControl/>
      </w:pPr>
      <w:r>
        <w:t>14. Benchmark</w:t>
      </w: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1. ¿Qué hace el benchmark?</w:t>
            </w:r>
          </w:p>
          <w:p>
            <w:pPr>
              <w:spacing w:after="0" w:line="259" w:lineRule="auto"/>
            </w:pPr>
            <w:r>
              <w:rPr>
                <w:rFonts w:ascii="Aptos" w:hAnsi="Aptos"/>
                <w:color w:val="1F2724"/>
                <w:sz w:val="20"/>
              </w:rPr>
              <w:t>El benchmark ejecuta un conjunto de casos sintéticos con respuesta esperada sobre los proveedores y compara sus resultados con esa referencia. Sirve como un examen repetible para medir comportamiento en los mismos casos, no como una colección de avisos operativos.</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2. ¿Para qué sirve?</w:t>
            </w:r>
          </w:p>
          <w:p>
            <w:pPr>
              <w:spacing w:after="0" w:line="259" w:lineRule="auto"/>
            </w:pPr>
            <w:r>
              <w:rPr>
                <w:rFonts w:ascii="Aptos" w:hAnsi="Aptos"/>
                <w:color w:val="1F2724"/>
                <w:sz w:val="20"/>
              </w:rPr>
              <w:t>Sirve para evaluar de forma objetiva y reproducible aspectos como coincidencia con la referencia, validez estructural y métricas del proveedor. Permite comparar Ollama y Gemini con un dataset común en lugar de basarse en impresiones subjetivas.</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3. ¿Qué diferencia hay entre benchmark y comparación?</w:t>
            </w:r>
          </w:p>
          <w:p>
            <w:pPr>
              <w:spacing w:after="0" w:line="259" w:lineRule="auto"/>
            </w:pPr>
            <w:r>
              <w:rPr>
                <w:rFonts w:ascii="Aptos" w:hAnsi="Aptos"/>
                <w:color w:val="1F2724"/>
                <w:sz w:val="20"/>
              </w:rPr>
              <w:t>La comparación enfrenta Ollama y Gemini sobre un caso concreto y muestra sus resultados lado a lado. El benchmark ejecuta muchos casos ya etiquetados y calcula una evaluación global. La forma fácil de recordarlo es: comparación = un caso; benchmark = muchos casos medidos.</w:t>
            </w:r>
          </w:p>
        </w:tc>
      </w:tr>
    </w:tbl>
    <w:p>
      <w:pPr>
        <w:spacing w:after="40"/>
        <w:widowControl/>
      </w:pPr>
    </w:p>
    <w:p>
      <w:pPr>
        <w:spacing w:after="40"/>
        <w:widowControl/>
      </w:pPr>
    </w:p>
    <w:p>
      <w:pPr>
        <w:pStyle w:val="Heading1"/>
        <w:widowControl/>
      </w:pPr>
      <w:r>
        <w:t>15. Comparación Ollama vs Gemini</w:t>
      </w: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1. ¿Cómo funciona la pantalla de comparación?</w:t>
            </w:r>
          </w:p>
          <w:p>
            <w:pPr>
              <w:spacing w:after="0" w:line="259" w:lineRule="auto"/>
            </w:pPr>
            <w:r>
              <w:rPr>
                <w:rFonts w:ascii="Aptos" w:hAnsi="Aptos"/>
                <w:color w:val="1F2724"/>
                <w:sz w:val="20"/>
              </w:rPr>
              <w:t>La aplicación anonimiza una vez la entrada y lanza dos ejecuciones concurrentes: una con Ollama y otra con Gemini. Ambas reciben el mismo texto limpio y usan el mismo contrato, matriz y recuperación documental, de modo que la comparación sea lo más justa posible.</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2. ¿Qué significa enviar exactamente el mismo caso a ambos?</w:t>
            </w:r>
          </w:p>
          <w:p>
            <w:pPr>
              <w:spacing w:after="0" w:line="259" w:lineRule="auto"/>
            </w:pPr>
            <w:r>
              <w:rPr>
                <w:rFonts w:ascii="Aptos" w:hAnsi="Aptos"/>
                <w:color w:val="1F2724"/>
                <w:sz w:val="20"/>
              </w:rPr>
              <w:t>Significa que los dos proveedores trabajan con la misma entrada anonimizada y el mismo contexto de dominio. Así, las diferencias observadas se deben principalmente al comportamiento del proveedor y no a que cada modelo haya recibido un caso distinto.</w:t>
            </w:r>
          </w:p>
        </w:tc>
      </w:tr>
    </w:tbl>
    <w:p>
      <w:pPr>
        <w:spacing w:after="40"/>
        <w:widowControl/>
      </w:pPr>
    </w:p>
    <w:p>
      <w:pPr>
        <w:spacing w:after="40"/>
        <w:widowControl/>
      </w:pPr>
    </w:p>
    <w:p>
      <w:pPr>
        <w:pStyle w:val="Heading1"/>
        <w:widowControl/>
      </w:pPr>
      <w:r>
        <w:t>18. Errores, repair y retry</w:t>
      </w: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1. ¿Qué es un retry?</w:t>
            </w:r>
          </w:p>
          <w:p>
            <w:pPr>
              <w:spacing w:after="0" w:line="259" w:lineRule="auto"/>
            </w:pPr>
            <w:r>
              <w:rPr>
                <w:rFonts w:ascii="Aptos" w:hAnsi="Aptos"/>
                <w:color w:val="1F2724"/>
                <w:sz w:val="20"/>
              </w:rPr>
              <w:t>Un retry es repetir una llamada por un fallo técnico o transitorio del proveedor, por ejemplo timeout, HTTP 429 o determinados errores de red/servidor. No significa que la respuesta estuviera mal formada; significa que la comunicación no se completó correctamente.</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2. ¿Qué es un repair?</w:t>
            </w:r>
          </w:p>
          <w:p>
            <w:pPr>
              <w:spacing w:after="0" w:line="259" w:lineRule="auto"/>
            </w:pPr>
            <w:r>
              <w:rPr>
                <w:rFonts w:ascii="Aptos" w:hAnsi="Aptos"/>
                <w:color w:val="1F2724"/>
                <w:sz w:val="20"/>
              </w:rPr>
              <w:t>Un repair ocurre cuando el proveedor sí ha respondido, pero la salida no cumple el contrato o contradice una regla verificable, como la matriz. Se solicita una corrección controlada de esa salida sin confundirla con un reintento de transporte.</w:t>
            </w:r>
          </w:p>
        </w:tc>
      </w:tr>
    </w:tbl>
    <w:p>
      <w:pPr>
        <w:spacing w:after="40"/>
        <w:widowControl/>
      </w:pPr>
    </w:p>
    <w:p>
      <w:pPr>
        <w:spacing w:after="40"/>
        <w:widowControl/>
      </w:pPr>
    </w:p>
    <w:p>
      <w:pPr>
        <w:pStyle w:val="Heading1"/>
        <w:widowControl/>
      </w:pPr>
      <w:r>
        <w:t>19. Estado de servicios</w:t>
      </w: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1. ¿Qué significan los indicadores de servicio de la barra lateral?</w:t>
            </w:r>
          </w:p>
          <w:p>
            <w:pPr>
              <w:spacing w:after="0" w:line="259" w:lineRule="auto"/>
            </w:pPr>
            <w:r>
              <w:rPr>
                <w:rFonts w:ascii="Aptos" w:hAnsi="Aptos"/>
                <w:color w:val="1F2724"/>
                <w:sz w:val="20"/>
              </w:rPr>
              <w:t>Muestran el estado operativo de las piezas principales que necesita o supervisa la aplicación: FastAPI, Ollama, Gemini, SQLite, matriz PRL, RAG y embeddings. Ayudan a distinguir rápidamente qué capacidad está disponible, desactivada o no disponible.</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2. ¿Qué estamos comprobando realmente?</w:t>
            </w:r>
          </w:p>
          <w:p>
            <w:pPr>
              <w:spacing w:after="0" w:line="259" w:lineRule="auto"/>
            </w:pPr>
            <w:r>
              <w:rPr>
                <w:rFonts w:ascii="Aptos" w:hAnsi="Aptos"/>
                <w:color w:val="1F2724"/>
                <w:sz w:val="20"/>
              </w:rPr>
              <w:t>El endpoint /health comprueba API, SQLite, matriz, corpus RAG, inventario local de Ollama, disponibilidad de Gemini cuando hay clave y el modelo de embeddings cuando esa capacidad está activada. Las sondas no generan avisos ni texto y no crean vectores.</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3. ¿Cómo se comprueba FastAPI?</w:t>
            </w:r>
          </w:p>
          <w:p>
            <w:pPr>
              <w:spacing w:after="0" w:line="259" w:lineRule="auto"/>
            </w:pPr>
            <w:r>
              <w:rPr>
                <w:rFonts w:ascii="Aptos" w:hAnsi="Aptos"/>
                <w:color w:val="1F2724"/>
                <w:sz w:val="20"/>
              </w:rPr>
              <w:t>Si el navegador puede consultar correctamente /health, la propia API está respondiendo. El health incluye la entrada del servicio API y devuelve el estado agregado del sistema; el frontend usa esa respuesta para pintar los indicadores de la barra lateral.</w:t>
            </w:r>
          </w:p>
        </w:tc>
      </w:tr>
    </w:tbl>
    <w:p>
      <w:pPr>
        <w:spacing w:after="40"/>
        <w:widowControl/>
      </w:pPr>
    </w:p>
    <w:p>
      <w:pPr>
        <w:spacing w:after="40"/>
        <w:widowControl/>
      </w:pPr>
    </w:p>
    <w:p>
      <w:pPr>
        <w:pStyle w:val="Heading1"/>
        <w:widowControl/>
      </w:pPr>
      <w:r>
        <w:t>23. Auditoría contra el briefing</w:t>
      </w: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1. ¿Cumplimos realmente todos los requisitos del enunciado?</w:t>
            </w:r>
          </w:p>
          <w:p>
            <w:pPr>
              <w:spacing w:after="0" w:line="259" w:lineRule="auto"/>
            </w:pPr>
            <w:r>
              <w:rPr>
                <w:rFonts w:ascii="Aptos" w:hAnsi="Aptos"/>
                <w:color w:val="1F2724"/>
                <w:sz w:val="20"/>
              </w:rPr>
              <w:t>A nivel técnico, el proyecto cubre prácticamente todos los requisitos del briefing: API, validación, dos proveedores, métricas, reparación, retries, comparación, benchmark, HITL, sesgo y visualización. La principal diferencia literal es el requisito de mostrar Chain-of-Thought interno, que hemos sustituido por una traza verificable y una justificación breve.</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2. ¿Qué falta literalmente?</w:t>
            </w:r>
          </w:p>
          <w:p>
            <w:pPr>
              <w:spacing w:after="0" w:line="259" w:lineRule="auto"/>
            </w:pPr>
            <w:r>
              <w:rPr>
                <w:rFonts w:ascii="Aptos" w:hAnsi="Aptos"/>
                <w:color w:val="1F2724"/>
                <w:sz w:val="20"/>
              </w:rPr>
              <w:t>Falta el Chain-of-Thought visible tal y como estaba redactado en el briefing: un bloque de razonamiento interno paso a paso mostrado en la interfaz. El proyecto no lo almacena ni lo expone; en su lugar conserva acción de herramienta, observación, evidencia y justificación estructurada.</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3. ¿Tenemos FastAPI?</w:t>
            </w:r>
          </w:p>
          <w:p>
            <w:pPr>
              <w:spacing w:after="0" w:line="259" w:lineRule="auto"/>
            </w:pPr>
            <w:r>
              <w:rPr>
                <w:rFonts w:ascii="Aptos" w:hAnsi="Aptos"/>
                <w:color w:val="1F2724"/>
                <w:sz w:val="20"/>
              </w:rPr>
              <w:t>Sí. FastAPI es el backend principal y expone los endpoints REST de triaje, avisos, revisión, comparación, métricas, benchmark, matriz, knowledge base y health.</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4. ¿Tenemos Pydantic?</w:t>
            </w:r>
          </w:p>
          <w:p>
            <w:pPr>
              <w:spacing w:after="0" w:line="259" w:lineRule="auto"/>
            </w:pPr>
            <w:r>
              <w:rPr>
                <w:rFonts w:ascii="Aptos" w:hAnsi="Aptos"/>
                <w:color w:val="1F2724"/>
                <w:sz w:val="20"/>
              </w:rPr>
              <w:t>Sí. Pydantic se usa para contratos estrictos de entrada, salida y persistencia, validando tipos, catálogos y restricciones antes de continuar el flujo.</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5. ¿Tenemos modelo local y externo?</w:t>
            </w:r>
          </w:p>
          <w:p>
            <w:pPr>
              <w:spacing w:after="0" w:line="259" w:lineRule="auto"/>
            </w:pPr>
            <w:r>
              <w:rPr>
                <w:rFonts w:ascii="Aptos" w:hAnsi="Aptos"/>
                <w:color w:val="1F2724"/>
                <w:sz w:val="20"/>
              </w:rPr>
              <w:t>Sí. El proveedor local es Ollama y el proveedor externo es Gemini mediante un adaptador de API REST. Ambos usan el mismo contrato de salida y la comparación los ejecuta sobre la misma entrada anonimizada.</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6. ¿Tenemos retries?</w:t>
            </w:r>
          </w:p>
          <w:p>
            <w:pPr>
              <w:spacing w:after="0" w:line="259" w:lineRule="auto"/>
            </w:pPr>
            <w:r>
              <w:rPr>
                <w:rFonts w:ascii="Aptos" w:hAnsi="Aptos"/>
                <w:color w:val="1F2724"/>
                <w:sz w:val="20"/>
              </w:rPr>
              <w:t>Sí. El proveedor externo contempla reintentos de transporte para errores transitorios, incluidos 429, con backoff exponencial acotado. Retry está separado conceptualmente de repair.</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7. ¿Tenemos métricas?</w:t>
            </w:r>
          </w:p>
          <w:p>
            <w:pPr>
              <w:spacing w:after="0" w:line="259" w:lineRule="auto"/>
            </w:pPr>
            <w:r>
              <w:rPr>
                <w:rFonts w:ascii="Aptos" w:hAnsi="Aptos"/>
                <w:color w:val="1F2724"/>
                <w:sz w:val="20"/>
              </w:rPr>
              <w:t>Sí. Se registran y muestran métricas de ejecución y evaluación, como latencia, uso de tokens cuando está disponible, reparaciones, retries, coste estimado cuando procede y resultados de comparación/benchmark.</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8. ¿Tenemos tokens y coste?</w:t>
            </w:r>
          </w:p>
          <w:p>
            <w:pPr>
              <w:spacing w:after="0" w:line="259" w:lineRule="auto"/>
            </w:pPr>
            <w:r>
              <w:rPr>
                <w:rFonts w:ascii="Aptos" w:hAnsi="Aptos"/>
                <w:color w:val="1F2724"/>
                <w:sz w:val="20"/>
              </w:rPr>
              <w:t>Sí. El sistema recoge tokens de entrada y salida cuando el proveedor los proporciona y calcula un coste estimado solo cuando existe una tarifa configurada y compatible con el modelo utilizado. Si el proveedor no informa de tokens, no se inventan.</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9. ¿Tenemos reparación?</w:t>
            </w:r>
          </w:p>
          <w:p>
            <w:pPr>
              <w:spacing w:after="0" w:line="259" w:lineRule="auto"/>
            </w:pPr>
            <w:r>
              <w:rPr>
                <w:rFonts w:ascii="Aptos" w:hAnsi="Aptos"/>
                <w:color w:val="1F2724"/>
                <w:sz w:val="20"/>
              </w:rPr>
              <w:t>Sí. Las salidas inválidas o incoherentes pueden entrar en un flujo de repair limitado por configuración. Si el resultado sigue siendo inválido después del máximo permitido, se devuelve un error controlado y no se guarda como propuesta válida.</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10. ¿Tenemos JSON estructurado?</w:t>
            </w:r>
          </w:p>
          <w:p>
            <w:pPr>
              <w:spacing w:after="0" w:line="259" w:lineRule="auto"/>
            </w:pPr>
            <w:r>
              <w:rPr>
                <w:rFonts w:ascii="Aptos" w:hAnsi="Aptos"/>
                <w:color w:val="1F2724"/>
                <w:sz w:val="20"/>
              </w:rPr>
              <w:t>Sí. Los proveedores deben devolver una propuesta estructurada que se valida con Pydantic. Además, la interfaz puede mostrar el resultado estructurado y el backend no acepta libremente cualquier formato.</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11. ¿Tenemos HITL?</w:t>
            </w:r>
          </w:p>
          <w:p>
            <w:pPr>
              <w:spacing w:after="0" w:line="259" w:lineRule="auto"/>
            </w:pPr>
            <w:r>
              <w:rPr>
                <w:rFonts w:ascii="Aptos" w:hAnsi="Aptos"/>
                <w:color w:val="1F2724"/>
                <w:sz w:val="20"/>
              </w:rPr>
              <w:t>Sí. Toda propuesta nueva queda pendiente de revisión. Una persona técnica puede aprobarla, modificarla o rechazarla y la decisión final queda persistida y auditada.</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12. ¿Tenemos comparación de proveedores?</w:t>
            </w:r>
          </w:p>
          <w:p>
            <w:pPr>
              <w:spacing w:after="0" w:line="259" w:lineRule="auto"/>
            </w:pPr>
            <w:r>
              <w:rPr>
                <w:rFonts w:ascii="Aptos" w:hAnsi="Aptos"/>
                <w:color w:val="1F2724"/>
                <w:sz w:val="20"/>
              </w:rPr>
              <w:t>Sí. La aplicación dispone de una comparación directa Ollama/Gemini sobre el mismo caso y de un benchmark con múltiples casos sintéticos etiquetados. Las ejecuciones mantienen métricas y errores por separado.</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13. ¿Tenemos sesgos controlados?</w:t>
            </w:r>
          </w:p>
          <w:p>
            <w:pPr>
              <w:spacing w:after="0" w:line="259" w:lineRule="auto"/>
            </w:pPr>
            <w:r>
              <w:rPr>
                <w:rFonts w:ascii="Aptos" w:hAnsi="Aptos"/>
                <w:color w:val="1F2724"/>
                <w:sz w:val="20"/>
              </w:rPr>
              <w:t>Tenemos controles básicos y verificables, no una garantía de ausencia total de sesgo. El prompt indica ignorar atributos demográficos irrelevantes y el benchmark incluye pares contrafactuales donde cambia edad, género, origen, raza o barrio inferido manteniendo constante el riesgo y la etiqueta esperada.</w:t>
            </w:r>
          </w:p>
        </w:tc>
      </w:tr>
    </w:tbl>
    <w:p>
      <w:pPr>
        <w:spacing w:after="40"/>
        <w:widowControl/>
      </w:pPr>
    </w:p>
    <w:tbl>
      <w:tblPr>
        <w:tblW w:type="auto" w:w="0"/>
        <w:jc w:val="center"/>
        <w:tblLayout w:type="autofit"/>
        <w:tblLook w:firstColumn="1" w:firstRow="1" w:lastColumn="0" w:lastRow="0" w:noHBand="0" w:noVBand="1" w:val="04A0"/>
      </w:tblPr>
      <w:tblGrid>
        <w:gridCol w:w="10200"/>
      </w:tblGrid>
      <w:tr>
        <w:trPr>
          <w:cantSplit/>
        </w:trPr>
        <w:tc>
          <w:tcPr>
            <w:tcW w:type="dxa" w:w="10200"/>
            <w:shd w:fill="EAF1ED"/>
            <w:tcMar>
              <w:top w:w="115" w:type="dxa"/>
              <w:start w:w="155" w:type="dxa"/>
              <w:bottom w:w="115" w:type="dxa"/>
              <w:end w:w="155" w:type="dxa"/>
            </w:tcMar>
            <w:vAlign w:val="center"/>
          </w:tcPr>
          <w:p>
            <w:pPr>
              <w:spacing w:after="80"/>
            </w:pPr>
            <w:r>
              <w:rPr>
                <w:rFonts w:ascii="Aptos" w:hAnsi="Aptos"/>
                <w:b/>
                <w:color w:val="173B32"/>
                <w:sz w:val="21"/>
              </w:rPr>
              <w:t>14. ¿Tenemos CoT?</w:t>
            </w:r>
          </w:p>
          <w:p>
            <w:pPr>
              <w:spacing w:after="0" w:line="259" w:lineRule="auto"/>
            </w:pPr>
            <w:r>
              <w:rPr>
                <w:rFonts w:ascii="Aptos" w:hAnsi="Aptos"/>
                <w:color w:val="1F2724"/>
                <w:sz w:val="20"/>
              </w:rPr>
              <w:t>No exponemos un Chain-of-Thought libre y visible. Tenemos una orquestación inspirada en ReAct, con herramienta, observación y evidencia, más una justificación breve de la propuesta. Se documenta como una decisión deliberada de trazabilidad verificable en lugar de mostrar razonamiento interno paso a paso.</w:t>
            </w:r>
          </w:p>
        </w:tc>
      </w:tr>
    </w:tbl>
    <w:p>
      <w:pPr>
        <w:spacing w:after="40"/>
        <w:widowControl/>
      </w:pPr>
    </w:p>
    <w:p>
      <w:pPr>
        <w:pStyle w:val="Heading1"/>
        <w:widowControl/>
      </w:pPr>
      <w:r>
        <w:t>Resumen de conceptos clave</w:t>
      </w:r>
    </w:p>
    <w:p>
      <w:pPr>
        <w:spacing w:after="120"/>
        <w:widowControl/>
      </w:pPr>
      <w:r>
        <w:rPr>
          <w:b/>
          <w:color w:val="173B32"/>
        </w:rPr>
        <w:t xml:space="preserve">Arquitectura: </w:t>
      </w:r>
      <w:r>
        <w:t>React/TypeScript -&gt; FastAPI/Pydantic -&gt; privacidad -&gt; Ollama/Gemini -&gt; matriz + RAG -&gt; validación -&gt; SQLite -&gt; revisión humana.</w:t>
      </w:r>
    </w:p>
    <w:p>
      <w:pPr>
        <w:spacing w:after="120"/>
        <w:widowControl/>
      </w:pPr>
      <w:r>
        <w:rPr>
          <w:b/>
          <w:color w:val="173B32"/>
        </w:rPr>
        <w:t xml:space="preserve">RAG: </w:t>
      </w:r>
      <w:r>
        <w:t>Busca documentación preventiva. No busca avisos anteriores y no es vectorial.</w:t>
      </w:r>
    </w:p>
    <w:p>
      <w:pPr>
        <w:spacing w:after="120"/>
        <w:widowControl/>
      </w:pPr>
      <w:r>
        <w:rPr>
          <w:b/>
          <w:color w:val="173B32"/>
        </w:rPr>
        <w:t xml:space="preserve">Embeddings: </w:t>
      </w:r>
      <w:r>
        <w:t>Buscan avisos históricos parecidos por significado. Son opcionales.</w:t>
      </w:r>
    </w:p>
    <w:p>
      <w:pPr>
        <w:spacing w:after="120"/>
        <w:widowControl/>
      </w:pPr>
      <w:r>
        <w:rPr>
          <w:b/>
          <w:color w:val="173B32"/>
        </w:rPr>
        <w:t xml:space="preserve">Retry: </w:t>
      </w:r>
      <w:r>
        <w:t>Repetir por fallo técnico de comunicación.</w:t>
      </w:r>
    </w:p>
    <w:p>
      <w:pPr>
        <w:spacing w:after="120"/>
        <w:widowControl/>
      </w:pPr>
      <w:r>
        <w:rPr>
          <w:b/>
          <w:color w:val="173B32"/>
        </w:rPr>
        <w:t xml:space="preserve">Repair: </w:t>
      </w:r>
      <w:r>
        <w:t>Corregir una respuesta que llegó pero incumple el contrato.</w:t>
      </w:r>
    </w:p>
    <w:p>
      <w:pPr>
        <w:spacing w:after="120"/>
        <w:widowControl/>
      </w:pPr>
      <w:r>
        <w:rPr>
          <w:b/>
          <w:color w:val="173B32"/>
        </w:rPr>
        <w:t xml:space="preserve">Benchmark: </w:t>
      </w:r>
      <w:r>
        <w:t>Muchos casos con respuesta esperada para medir a los proveedores.</w:t>
      </w:r>
    </w:p>
    <w:p>
      <w:pPr>
        <w:spacing w:after="120"/>
        <w:widowControl/>
      </w:pPr>
      <w:r>
        <w:rPr>
          <w:b/>
          <w:color w:val="173B32"/>
        </w:rPr>
        <w:t xml:space="preserve">Comparación: </w:t>
      </w:r>
      <w:r>
        <w:t>El mismo caso enviado a Ollama y Gemini para ver diferencias lado a lado.</w:t>
      </w:r>
    </w:p>
    <w:p>
      <w:pPr>
        <w:spacing w:after="120"/>
        <w:widowControl/>
      </w:pPr>
      <w:r>
        <w:rPr>
          <w:b/>
          <w:color w:val="173B32"/>
        </w:rPr>
        <w:t xml:space="preserve">HITL: </w:t>
      </w:r>
      <w:r>
        <w:t>La IA propone; el humano decide.</w:t>
      </w:r>
    </w:p>
    <w:p>
      <w:pPr>
        <w:spacing w:after="120"/>
        <w:widowControl/>
      </w:pPr>
      <w:r>
        <w:rPr>
          <w:b/>
          <w:color w:val="173B32"/>
        </w:rPr>
        <w:t xml:space="preserve">CoT: </w:t>
      </w:r>
      <w:r>
        <w:t>No se expone razonamiento interno libre; se usa trazabilidad verificable y justificación breve.</w:t>
      </w:r>
    </w:p>
    <w:sectPr w:rsidR="00FC693F" w:rsidRPr="0006063C" w:rsidSect="00034616">
      <w:footerReference w:type="default" r:id="rId9"/>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B65"/>
        <w:sz w:val="17"/>
      </w:rPr>
      <w:t xml:space="preserve">IAviso Seguro · Preguntas y respuestas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7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b/>
      <w:bCs/>
      <w:color w:val="173B3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3B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32"/>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
    <w:name w:val="Answer"/>
    <w:pPr>
      <w:spacing w:after="180" w:line="259" w:lineRule="auto"/>
      <w:ind w:left="198" w:right="85"/>
    </w:pPr>
    <w:rPr>
      <w:rFonts w:ascii="Aptos" w:hAnsi="Aptos"/>
      <w:color w:val="1F272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IAviso Seguro - Preguntas y respuestas del proyecto</dc:title>
  <dc:subject>Guía de consulta y resolución de dudas sobre IAviso Seguro</dc:subject>
  <dc:creator>OpenAI</dc:creator>
  <cp:keywords/>
  <dc:description/>
  <cp:lastModifiedBy/>
  <cp:revision>1</cp:revision>
  <dcterms:created xsi:type="dcterms:W3CDTF">2013-12-23T23:15:00Z</dcterms:created>
  <dcterms:modified xsi:type="dcterms:W3CDTF">2013-12-23T23:15:00Z</dcterms:modified>
  <cp:category/>
</cp:coreProperties>
</file>