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D8501" w14:textId="77777777" w:rsidR="00B863A4" w:rsidRPr="00B863A4" w:rsidRDefault="00C46FE8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1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 w:rsidRPr="00B863A4">
        <w:rPr>
          <w:rFonts w:ascii="Times New Roman" w:hAnsi="Times New Roman" w:cs="Times New Roman"/>
          <w:b/>
          <w:lang w:val="en-US"/>
        </w:rPr>
        <w:t>Participants</w:t>
      </w:r>
    </w:p>
    <w:p w14:paraId="7F347337" w14:textId="77777777" w:rsidR="00C46FE8" w:rsidRPr="002036A4" w:rsidRDefault="00C46FE8" w:rsidP="00C46FE8">
      <w:pPr>
        <w:spacing w:line="480" w:lineRule="auto"/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</w:pPr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This study included </w:t>
      </w:r>
      <w:proofErr w:type="gram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a total of 13,154</w:t>
      </w:r>
      <w:proofErr w:type="gram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 participants, among whom 7,550 (57.4%) were female, and the mean age at study baseline was 86.9 (</w:t>
      </w:r>
      <w:proofErr w:type="spell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s.d.</w:t>
      </w:r>
      <w:proofErr w:type="spell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, 11.4) years (Table </w:t>
      </w:r>
      <w:hyperlink r:id="rId5" w:anchor="Tab1" w:history="1">
        <w:r w:rsidRPr="002036A4">
          <w:rPr>
            <w:rStyle w:val="Hyperlink"/>
            <w:color w:val="006699"/>
            <w:sz w:val="27"/>
            <w:szCs w:val="27"/>
            <w:shd w:val="clear" w:color="auto" w:fill="FFFFFF"/>
            <w:vertAlign w:val="superscript"/>
            <w:lang w:val="en-US"/>
          </w:rPr>
          <w:t>1</w:t>
        </w:r>
      </w:hyperlink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). During the follow-up period (mean (</w:t>
      </w:r>
      <w:proofErr w:type="spell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s.d.</w:t>
      </w:r>
      <w:proofErr w:type="spell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) = 5.7 (3.6) years) from 2008 to 2018, </w:t>
      </w:r>
      <w:proofErr w:type="gram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a total of 8,937</w:t>
      </w:r>
      <w:proofErr w:type="gram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 (67.94%) deaths were documented. Participants with higher PDI were more likely to be male, </w:t>
      </w:r>
      <w:proofErr w:type="gramStart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>better educated</w:t>
      </w:r>
      <w:proofErr w:type="gramEnd"/>
      <w:r w:rsidRPr="002036A4">
        <w:rPr>
          <w:color w:val="222222"/>
          <w:sz w:val="27"/>
          <w:szCs w:val="27"/>
          <w:shd w:val="clear" w:color="auto" w:fill="FFFFFF"/>
          <w:vertAlign w:val="superscript"/>
          <w:lang w:val="en-US"/>
        </w:rPr>
        <w:t xml:space="preserve"> and regular exercisers, compared to those with lower PDI.</w:t>
      </w:r>
    </w:p>
    <w:p w14:paraId="1A350EED" w14:textId="77777777" w:rsidR="00240453" w:rsidRPr="00240453" w:rsidRDefault="00240453" w:rsidP="00C46FE8">
      <w:pPr>
        <w:spacing w:line="480" w:lineRule="auto"/>
        <w:rPr>
          <w:rFonts w:ascii="Times New Roman" w:hAnsi="Times New Roman" w:cs="Times New Roman"/>
          <w:lang w:val="en-US"/>
        </w:rPr>
      </w:pPr>
      <w:r w:rsidRPr="00240453">
        <w:rPr>
          <w:rFonts w:ascii="Times New Roman" w:hAnsi="Times New Roman" w:cs="Times New Roman"/>
          <w:lang w:val="en-US"/>
        </w:rPr>
        <w:t xml:space="preserve">Three different samples </w:t>
      </w:r>
      <w:proofErr w:type="gramStart"/>
      <w:r w:rsidRPr="00240453">
        <w:rPr>
          <w:rFonts w:ascii="Times New Roman" w:hAnsi="Times New Roman" w:cs="Times New Roman"/>
          <w:lang w:val="en-US"/>
        </w:rPr>
        <w:t xml:space="preserve">were </w:t>
      </w:r>
      <w:r>
        <w:rPr>
          <w:rFonts w:ascii="Times New Roman" w:hAnsi="Times New Roman" w:cs="Times New Roman"/>
          <w:lang w:val="en-US"/>
        </w:rPr>
        <w:t>used</w:t>
      </w:r>
      <w:proofErr w:type="gramEnd"/>
      <w:r>
        <w:rPr>
          <w:rFonts w:ascii="Times New Roman" w:hAnsi="Times New Roman" w:cs="Times New Roman"/>
          <w:lang w:val="en-US"/>
        </w:rPr>
        <w:t xml:space="preserve"> to answer these questions: (1) </w:t>
      </w:r>
      <w:r w:rsidR="00D46EA5">
        <w:rPr>
          <w:rFonts w:ascii="Times New Roman" w:hAnsi="Times New Roman" w:cs="Times New Roman"/>
          <w:lang w:val="en-US"/>
        </w:rPr>
        <w:t>XXX</w:t>
      </w:r>
    </w:p>
    <w:tbl>
      <w:tblPr>
        <w:tblW w:w="11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0"/>
        <w:gridCol w:w="1620"/>
        <w:gridCol w:w="2258"/>
        <w:gridCol w:w="1401"/>
        <w:gridCol w:w="4091"/>
      </w:tblGrid>
      <w:tr w:rsidR="000D775B" w:rsidRPr="00AD3E59" w14:paraId="571EF76F" w14:textId="77777777" w:rsidTr="00782E87">
        <w:trPr>
          <w:trHeight w:val="454"/>
        </w:trPr>
        <w:tc>
          <w:tcPr>
            <w:tcW w:w="11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8A5D03" w14:textId="77777777" w:rsidR="000D775B" w:rsidRPr="00AD3E59" w:rsidRDefault="006A68C0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Ref100237486"/>
            <w:r w:rsidRPr="006A68C0">
              <w:rPr>
                <w:rFonts w:ascii="Times New Roman" w:hAnsi="Times New Roman" w:cs="Times New Roman"/>
              </w:rPr>
              <w:t xml:space="preserve">Table </w:t>
            </w:r>
            <w:r w:rsidRPr="006A68C0">
              <w:rPr>
                <w:rFonts w:ascii="Times New Roman" w:hAnsi="Times New Roman" w:cs="Times New Roman"/>
              </w:rPr>
              <w:fldChar w:fldCharType="begin"/>
            </w:r>
            <w:r w:rsidRPr="006A68C0">
              <w:rPr>
                <w:rFonts w:ascii="Times New Roman" w:hAnsi="Times New Roman" w:cs="Times New Roman"/>
              </w:rPr>
              <w:instrText xml:space="preserve"> SEQ Table \* ARABIC </w:instrText>
            </w:r>
            <w:r w:rsidRPr="006A68C0">
              <w:rPr>
                <w:rFonts w:ascii="Times New Roman" w:hAnsi="Times New Roman" w:cs="Times New Roman"/>
              </w:rPr>
              <w:fldChar w:fldCharType="separate"/>
            </w:r>
            <w:r w:rsidR="008C31CD">
              <w:rPr>
                <w:rFonts w:ascii="Times New Roman" w:hAnsi="Times New Roman" w:cs="Times New Roman"/>
                <w:noProof/>
              </w:rPr>
              <w:t>1</w:t>
            </w:r>
            <w:r w:rsidRPr="006A68C0">
              <w:rPr>
                <w:rFonts w:ascii="Times New Roman" w:hAnsi="Times New Roman" w:cs="Times New Roman"/>
              </w:rPr>
              <w:fldChar w:fldCharType="end"/>
            </w:r>
            <w:bookmarkEnd w:id="0"/>
            <w:r w:rsidR="000D775B" w:rsidRPr="00AD3E59">
              <w:rPr>
                <w:rFonts w:ascii="Times New Roman" w:eastAsiaTheme="minorEastAsia" w:hAnsi="Times New Roman" w:cs="Times New Roman"/>
                <w:color w:val="000000"/>
                <w:kern w:val="24"/>
                <w:lang w:val="en-US"/>
              </w:rPr>
              <w:t>. Overview of samples</w:t>
            </w:r>
          </w:p>
        </w:tc>
      </w:tr>
      <w:tr w:rsidR="000D775B" w:rsidRPr="00AD3E59" w14:paraId="0D099A72" w14:textId="77777777" w:rsidTr="006A68C0">
        <w:trPr>
          <w:gridAfter w:val="1"/>
          <w:wAfter w:w="4091" w:type="dxa"/>
          <w:trHeight w:val="227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731C5" w14:textId="77777777"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D2CB4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CN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8E2EF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AD3E59">
              <w:rPr>
                <w:rFonts w:ascii="Times New Roman" w:eastAsiaTheme="minorEastAsia" w:hAnsi="Times New Roman" w:cs="Times New Roman"/>
                <w:b/>
                <w:bCs/>
                <w:color w:val="000000"/>
                <w:kern w:val="24"/>
                <w:lang w:val="en-US"/>
              </w:rPr>
              <w:t>CN_validation</w:t>
            </w:r>
            <w:proofErr w:type="spellEnd"/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6DA18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MCI</w:t>
            </w:r>
          </w:p>
        </w:tc>
      </w:tr>
      <w:tr w:rsidR="000D775B" w:rsidRPr="00AD3E59" w14:paraId="7E670905" w14:textId="77777777" w:rsidTr="006A68C0">
        <w:trPr>
          <w:gridAfter w:val="1"/>
          <w:wAfter w:w="4091" w:type="dxa"/>
          <w:trHeight w:val="334"/>
        </w:trPr>
        <w:tc>
          <w:tcPr>
            <w:tcW w:w="2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6C515" w14:textId="77777777" w:rsidR="000D775B" w:rsidRPr="00AD3E59" w:rsidRDefault="00240453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lang w:val="en-US"/>
              </w:rPr>
              <w:t xml:space="preserve"> </w:t>
            </w:r>
            <w:r w:rsidR="000D775B" w:rsidRPr="00AD3E5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lang w:val="en-US"/>
              </w:rPr>
              <w:t xml:space="preserve">n </w:t>
            </w:r>
            <w:r w:rsidR="000D775B"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total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37CEA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367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BDF05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59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79DA1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en-US"/>
              </w:rPr>
              <w:t>513</w:t>
            </w:r>
          </w:p>
        </w:tc>
      </w:tr>
      <w:tr w:rsidR="000D775B" w:rsidRPr="00AD3E59" w14:paraId="55350994" w14:textId="77777777" w:rsidTr="006A68C0">
        <w:trPr>
          <w:gridAfter w:val="1"/>
          <w:wAfter w:w="4091" w:type="dxa"/>
          <w:trHeight w:val="434"/>
        </w:trPr>
        <w:tc>
          <w:tcPr>
            <w:tcW w:w="227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1F55C" w14:textId="77777777"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Age [avg. years (SD)]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BE9DAA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 xml:space="preserve">74.2 (5.68) 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37B64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71.7 (4.15) (PET)/</w:t>
            </w:r>
          </w:p>
          <w:p w14:paraId="0D919641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70.4 (4.17) (MRI)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3DF6E2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74.9 (5.77)</w:t>
            </w:r>
          </w:p>
        </w:tc>
      </w:tr>
      <w:tr w:rsidR="000D775B" w:rsidRPr="00AD3E59" w14:paraId="2C86016D" w14:textId="77777777" w:rsidTr="006A68C0">
        <w:trPr>
          <w:gridAfter w:val="1"/>
          <w:wAfter w:w="4091" w:type="dxa"/>
          <w:trHeight w:val="23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D458F" w14:textId="77777777" w:rsidR="000D775B" w:rsidRPr="00AD3E59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Sex [%female]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227422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51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E3FDA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59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45FA5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40</w:t>
            </w:r>
          </w:p>
        </w:tc>
      </w:tr>
      <w:tr w:rsidR="000D775B" w:rsidRPr="00AD3E59" w14:paraId="38544FC6" w14:textId="77777777" w:rsidTr="006A68C0">
        <w:trPr>
          <w:gridAfter w:val="1"/>
          <w:wAfter w:w="4091" w:type="dxa"/>
          <w:trHeight w:val="284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18D30" w14:textId="77777777" w:rsidR="000D775B" w:rsidRPr="00AD3E59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CSF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vertAlign w:val="subscript"/>
                <w:lang w:val="en-US"/>
              </w:rPr>
              <w:t>A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vertAlign w:val="subscript"/>
                <w:lang w:val="el-GR"/>
              </w:rPr>
              <w:t>β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vertAlign w:val="subscript"/>
                <w:lang w:val="en-US"/>
              </w:rPr>
              <w:t>1-42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 xml:space="preserve"> Status </w:t>
            </w: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br/>
              <w:t>(-/+/NA)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23510" w14:textId="77777777" w:rsidR="000D775B" w:rsidRPr="00AD3E59" w:rsidRDefault="000D775B" w:rsidP="000D775B">
            <w:pPr>
              <w:pStyle w:val="Standard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D3E59">
              <w:rPr>
                <w:color w:val="000000" w:themeColor="text1"/>
                <w:kern w:val="24"/>
                <w:sz w:val="22"/>
                <w:szCs w:val="22"/>
              </w:rPr>
              <w:t>171/111/85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7AA3B7" w14:textId="77777777" w:rsidR="000D775B" w:rsidRPr="00AD3E59" w:rsidRDefault="000D775B" w:rsidP="000D775B">
            <w:pPr>
              <w:pStyle w:val="Standard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D3E59">
              <w:rPr>
                <w:color w:val="000000" w:themeColor="text1"/>
                <w:kern w:val="24"/>
                <w:sz w:val="22"/>
                <w:szCs w:val="22"/>
              </w:rPr>
              <w:t>NA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E79BE5" w14:textId="77777777" w:rsidR="000D775B" w:rsidRPr="00AD3E59" w:rsidRDefault="000D775B" w:rsidP="000D775B">
            <w:pPr>
              <w:pStyle w:val="Standard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AD3E59">
              <w:rPr>
                <w:color w:val="000000" w:themeColor="text1"/>
                <w:kern w:val="24"/>
                <w:sz w:val="22"/>
                <w:szCs w:val="22"/>
              </w:rPr>
              <w:t>121/270/122</w:t>
            </w:r>
          </w:p>
        </w:tc>
      </w:tr>
      <w:tr w:rsidR="000D775B" w:rsidRPr="00AD3E59" w14:paraId="0553672F" w14:textId="77777777" w:rsidTr="006A68C0">
        <w:trPr>
          <w:gridAfter w:val="1"/>
          <w:wAfter w:w="4091" w:type="dxa"/>
          <w:trHeight w:val="286"/>
        </w:trPr>
        <w:tc>
          <w:tcPr>
            <w:tcW w:w="22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51F85" w14:textId="77777777"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MMSE [avg. score]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6FAD3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29 (1.24)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A12B66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29 (0.85)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0AAB1F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28 (1.77)</w:t>
            </w:r>
          </w:p>
        </w:tc>
      </w:tr>
      <w:tr w:rsidR="000D775B" w:rsidRPr="00AD3E59" w14:paraId="76C1B886" w14:textId="77777777" w:rsidTr="006A68C0">
        <w:trPr>
          <w:gridAfter w:val="1"/>
          <w:wAfter w:w="4091" w:type="dxa"/>
          <w:trHeight w:val="381"/>
        </w:trPr>
        <w:tc>
          <w:tcPr>
            <w:tcW w:w="2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A1BE9" w14:textId="77777777" w:rsidR="000D775B" w:rsidRPr="00AD3E59" w:rsidRDefault="000D775B" w:rsidP="00782E8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Education [avg. years (SD)]</w:t>
            </w:r>
          </w:p>
        </w:tc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DAF6E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16 (2.72)</w:t>
            </w:r>
          </w:p>
        </w:tc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3FFD7B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16 (2.70)</w:t>
            </w:r>
          </w:p>
        </w:tc>
        <w:tc>
          <w:tcPr>
            <w:tcW w:w="14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C2E86" w14:textId="77777777" w:rsidR="000D775B" w:rsidRPr="00AD3E59" w:rsidRDefault="000D775B" w:rsidP="00782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AD3E59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US"/>
              </w:rPr>
              <w:t>16 (2.70)</w:t>
            </w:r>
          </w:p>
        </w:tc>
      </w:tr>
    </w:tbl>
    <w:p w14:paraId="00D0D176" w14:textId="77777777" w:rsidR="00CE1583" w:rsidRPr="00AD3E59" w:rsidRDefault="00CE1583" w:rsidP="000D775B">
      <w:pPr>
        <w:jc w:val="both"/>
        <w:rPr>
          <w:rFonts w:ascii="Times New Roman" w:hAnsi="Times New Roman" w:cs="Times New Roman"/>
          <w:lang w:val="en-US"/>
        </w:rPr>
      </w:pPr>
    </w:p>
    <w:p w14:paraId="66005B2E" w14:textId="77777777" w:rsidR="00B863A4" w:rsidRPr="00B863A4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2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 w:rsidRPr="00B863A4">
        <w:rPr>
          <w:rFonts w:ascii="Times New Roman" w:hAnsi="Times New Roman" w:cs="Times New Roman"/>
          <w:b/>
          <w:lang w:val="en-US"/>
        </w:rPr>
        <w:t>Precision of brain-predicted age</w:t>
      </w:r>
    </w:p>
    <w:p w14:paraId="36B6E036" w14:textId="77777777" w:rsidR="00AD3E59" w:rsidRPr="00AD3E59" w:rsidRDefault="00240453" w:rsidP="00C46FE8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compare the potential of FDG-PET SUVR and GMV to predict chronological age, we used a nested five-fold cross-validation approach, yielding one test prediction for (almost) every subject in the ADNI CN sample</w:t>
      </w:r>
      <w:r w:rsidR="00D46EA5">
        <w:rPr>
          <w:rFonts w:ascii="Times New Roman" w:hAnsi="Times New Roman" w:cs="Times New Roman"/>
          <w:lang w:val="en-US"/>
        </w:rPr>
        <w:t xml:space="preserve">, and five test predictions for each subject in the </w:t>
      </w:r>
      <w:proofErr w:type="spellStart"/>
      <w:r w:rsidR="00D46EA5">
        <w:rPr>
          <w:rFonts w:ascii="Times New Roman" w:hAnsi="Times New Roman" w:cs="Times New Roman"/>
          <w:lang w:val="en-US"/>
        </w:rPr>
        <w:t>CN_validation</w:t>
      </w:r>
      <w:proofErr w:type="spellEnd"/>
      <w:r w:rsidR="00D46EA5">
        <w:rPr>
          <w:rFonts w:ascii="Times New Roman" w:hAnsi="Times New Roman" w:cs="Times New Roman"/>
          <w:lang w:val="en-US"/>
        </w:rPr>
        <w:t xml:space="preserve"> and MCI sample</w:t>
      </w:r>
      <w:r>
        <w:rPr>
          <w:rFonts w:ascii="Times New Roman" w:hAnsi="Times New Roman" w:cs="Times New Roman"/>
          <w:lang w:val="en-US"/>
        </w:rPr>
        <w:t xml:space="preserve">. </w:t>
      </w:r>
      <w:r w:rsidR="00871ECA">
        <w:rPr>
          <w:rFonts w:ascii="Times New Roman" w:hAnsi="Times New Roman" w:cs="Times New Roman"/>
          <w:lang w:val="en-US"/>
        </w:rPr>
        <w:t>Regional</w:t>
      </w:r>
      <w:r w:rsidR="00AD3E59">
        <w:rPr>
          <w:rFonts w:ascii="Times New Roman" w:hAnsi="Times New Roman" w:cs="Times New Roman"/>
          <w:lang w:val="en-US"/>
        </w:rPr>
        <w:t xml:space="preserve"> FDG-PET</w:t>
      </w:r>
      <w:r w:rsidR="00D46EA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 </w:t>
      </w:r>
      <w:r w:rsidR="00AD3E59"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lang w:val="en-US"/>
        </w:rPr>
        <w:t>MRI</w:t>
      </w:r>
      <w:r w:rsidR="00D46EA5">
        <w:rPr>
          <w:rFonts w:ascii="Times New Roman" w:hAnsi="Times New Roman" w:cs="Times New Roman"/>
          <w:lang w:val="en-US"/>
        </w:rPr>
        <w:t>-</w:t>
      </w:r>
      <w:r w:rsidR="00871ECA">
        <w:rPr>
          <w:rFonts w:ascii="Times New Roman" w:hAnsi="Times New Roman" w:cs="Times New Roman"/>
          <w:lang w:val="en-US"/>
        </w:rPr>
        <w:t>predicted chronological age</w:t>
      </w:r>
      <w:r w:rsidR="00AD3E59">
        <w:rPr>
          <w:rFonts w:ascii="Times New Roman" w:hAnsi="Times New Roman" w:cs="Times New Roman"/>
          <w:lang w:val="en-US"/>
        </w:rPr>
        <w:t xml:space="preserve"> compara</w:t>
      </w:r>
      <w:r w:rsidR="00871ECA">
        <w:rPr>
          <w:rFonts w:ascii="Times New Roman" w:hAnsi="Times New Roman" w:cs="Times New Roman"/>
          <w:lang w:val="en-US"/>
        </w:rPr>
        <w:t>bly well (</w:t>
      </w:r>
      <w:r w:rsidR="006A68C0">
        <w:rPr>
          <w:rFonts w:ascii="Times New Roman" w:hAnsi="Times New Roman" w:cs="Times New Roman"/>
          <w:lang w:val="en-US"/>
        </w:rPr>
        <w:fldChar w:fldCharType="begin"/>
      </w:r>
      <w:r w:rsidR="006A68C0">
        <w:rPr>
          <w:rFonts w:ascii="Times New Roman" w:hAnsi="Times New Roman" w:cs="Times New Roman"/>
          <w:lang w:val="en-US"/>
        </w:rPr>
        <w:instrText xml:space="preserve"> REF _Ref99105381 \h </w:instrText>
      </w:r>
      <w:r w:rsidR="00C46FE8">
        <w:rPr>
          <w:rFonts w:ascii="Times New Roman" w:hAnsi="Times New Roman" w:cs="Times New Roman"/>
          <w:lang w:val="en-US"/>
        </w:rPr>
        <w:instrText xml:space="preserve"> \* MERGEFORMAT </w:instrText>
      </w:r>
      <w:r w:rsidR="006A68C0">
        <w:rPr>
          <w:rFonts w:ascii="Times New Roman" w:hAnsi="Times New Roman" w:cs="Times New Roman"/>
          <w:lang w:val="en-US"/>
        </w:rPr>
      </w:r>
      <w:r w:rsidR="006A68C0">
        <w:rPr>
          <w:rFonts w:ascii="Times New Roman" w:hAnsi="Times New Roman" w:cs="Times New Roman"/>
          <w:lang w:val="en-US"/>
        </w:rPr>
        <w:fldChar w:fldCharType="separate"/>
      </w:r>
      <w:r w:rsidR="006A68C0" w:rsidRPr="006A68C0">
        <w:rPr>
          <w:rFonts w:ascii="Times New Roman" w:hAnsi="Times New Roman" w:cs="Times New Roman"/>
          <w:lang w:val="en-US"/>
        </w:rPr>
        <w:t xml:space="preserve">Table </w:t>
      </w:r>
      <w:r w:rsidR="006A68C0" w:rsidRPr="006A68C0">
        <w:rPr>
          <w:rFonts w:ascii="Times New Roman" w:hAnsi="Times New Roman" w:cs="Times New Roman"/>
          <w:noProof/>
          <w:lang w:val="en-US"/>
        </w:rPr>
        <w:t>2</w:t>
      </w:r>
      <w:r w:rsidR="006A68C0"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) with a mean absolute error (MAE) of 1.99 and 1.89 years, respectively. In the ADNI-derived CN test sets, individuals’ brain-predicted age as assessed with FDG-PET and MRI was on average 0.10 and 0.05 years younger than their chronological age</w:t>
      </w:r>
      <w:r w:rsidR="00D46EA5">
        <w:rPr>
          <w:rFonts w:ascii="Times New Roman" w:hAnsi="Times New Roman" w:cs="Times New Roman"/>
          <w:lang w:val="en-US"/>
        </w:rPr>
        <w:t xml:space="preserve">, respectively, thus demonstrating high average potential to capture brain aging in a CN cohort. The OASIS-derived </w:t>
      </w:r>
      <w:proofErr w:type="spellStart"/>
      <w:r w:rsidR="00D46EA5">
        <w:rPr>
          <w:rFonts w:ascii="Times New Roman" w:hAnsi="Times New Roman" w:cs="Times New Roman"/>
          <w:lang w:val="en-US"/>
        </w:rPr>
        <w:t>CN_validation</w:t>
      </w:r>
      <w:proofErr w:type="spellEnd"/>
      <w:r w:rsidR="00D46EA5">
        <w:rPr>
          <w:rFonts w:ascii="Times New Roman" w:hAnsi="Times New Roman" w:cs="Times New Roman"/>
          <w:lang w:val="en-US"/>
        </w:rPr>
        <w:t xml:space="preserve"> sample was used to validate our findings in an external dataset and showed similar MAEs as the ADNI sample, although chronological age </w:t>
      </w:r>
      <w:proofErr w:type="gramStart"/>
      <w:r w:rsidR="00D46EA5">
        <w:rPr>
          <w:rFonts w:ascii="Times New Roman" w:hAnsi="Times New Roman" w:cs="Times New Roman"/>
          <w:lang w:val="en-US"/>
        </w:rPr>
        <w:t xml:space="preserve">was slightly </w:t>
      </w:r>
      <w:r w:rsidR="00D46EA5">
        <w:rPr>
          <w:rFonts w:ascii="Times New Roman" w:hAnsi="Times New Roman" w:cs="Times New Roman"/>
          <w:lang w:val="en-US"/>
        </w:rPr>
        <w:lastRenderedPageBreak/>
        <w:t>better predicted</w:t>
      </w:r>
      <w:proofErr w:type="gramEnd"/>
      <w:r w:rsidR="00D46EA5">
        <w:rPr>
          <w:rFonts w:ascii="Times New Roman" w:hAnsi="Times New Roman" w:cs="Times New Roman"/>
          <w:lang w:val="en-US"/>
        </w:rPr>
        <w:t xml:space="preserve"> from FDG-PET as compared to MRI, reflected in a lower MAE across the five models. XXX  </w:t>
      </w:r>
    </w:p>
    <w:tbl>
      <w:tblPr>
        <w:tblW w:w="908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6"/>
        <w:gridCol w:w="1134"/>
        <w:gridCol w:w="1134"/>
        <w:gridCol w:w="1134"/>
        <w:gridCol w:w="1134"/>
        <w:gridCol w:w="1134"/>
        <w:gridCol w:w="1136"/>
      </w:tblGrid>
      <w:tr w:rsidR="000D775B" w:rsidRPr="00EB3526" w14:paraId="2284D492" w14:textId="77777777" w:rsidTr="00D5634D">
        <w:trPr>
          <w:trHeight w:val="479"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43729" w14:textId="77777777" w:rsidR="000D775B" w:rsidRPr="000D775B" w:rsidRDefault="006A68C0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1" w:name="_Ref99105381"/>
            <w:r w:rsidRPr="002036A4">
              <w:rPr>
                <w:rFonts w:ascii="Times New Roman" w:hAnsi="Times New Roman" w:cs="Times New Roman"/>
                <w:lang w:val="en-US"/>
              </w:rPr>
              <w:t xml:space="preserve">Table </w:t>
            </w:r>
            <w:r w:rsidRPr="006A68C0">
              <w:rPr>
                <w:rFonts w:ascii="Times New Roman" w:hAnsi="Times New Roman" w:cs="Times New Roman"/>
              </w:rPr>
              <w:fldChar w:fldCharType="begin"/>
            </w:r>
            <w:r w:rsidRPr="002036A4">
              <w:rPr>
                <w:rFonts w:ascii="Times New Roman" w:hAnsi="Times New Roman" w:cs="Times New Roman"/>
                <w:lang w:val="en-US"/>
              </w:rPr>
              <w:instrText xml:space="preserve"> SEQ Table \* ARABIC </w:instrText>
            </w:r>
            <w:r w:rsidRPr="006A68C0">
              <w:rPr>
                <w:rFonts w:ascii="Times New Roman" w:hAnsi="Times New Roman" w:cs="Times New Roman"/>
              </w:rPr>
              <w:fldChar w:fldCharType="separate"/>
            </w:r>
            <w:r w:rsidR="008C31CD">
              <w:rPr>
                <w:rFonts w:ascii="Times New Roman" w:hAnsi="Times New Roman" w:cs="Times New Roman"/>
                <w:noProof/>
                <w:lang w:val="en-US"/>
              </w:rPr>
              <w:t>2</w:t>
            </w:r>
            <w:r w:rsidRPr="006A68C0">
              <w:rPr>
                <w:rFonts w:ascii="Times New Roman" w:hAnsi="Times New Roman" w:cs="Times New Roman"/>
              </w:rPr>
              <w:fldChar w:fldCharType="end"/>
            </w:r>
            <w:bookmarkEnd w:id="1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 xml:space="preserve">. Precision of predicting chronological age from FDG-PET and MRI scans. For </w:t>
            </w:r>
            <w:proofErr w:type="spellStart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CN_validation</w:t>
            </w:r>
            <w:proofErr w:type="spellEnd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 xml:space="preserve"> and MCI, results of the first model and metrics over all five models </w:t>
            </w:r>
            <w:proofErr w:type="gramStart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are shown</w:t>
            </w:r>
            <w:proofErr w:type="gramEnd"/>
            <w:r w:rsidR="000D775B"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.</w:t>
            </w:r>
          </w:p>
        </w:tc>
      </w:tr>
      <w:tr w:rsidR="00D5634D" w:rsidRPr="00AD3E59" w14:paraId="2D839675" w14:textId="77777777" w:rsidTr="006A68C0">
        <w:trPr>
          <w:trHeight w:val="473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BB31D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343B6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CN</w:t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997B4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CN_validation</w:t>
            </w:r>
            <w:proofErr w:type="spellEnd"/>
          </w:p>
        </w:tc>
        <w:tc>
          <w:tcPr>
            <w:tcW w:w="2270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D8E29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MCI</w:t>
            </w:r>
          </w:p>
        </w:tc>
      </w:tr>
      <w:tr w:rsidR="00D5634D" w:rsidRPr="00AD3E59" w14:paraId="3CFE9402" w14:textId="77777777" w:rsidTr="006A68C0">
        <w:trPr>
          <w:trHeight w:val="516"/>
        </w:trPr>
        <w:tc>
          <w:tcPr>
            <w:tcW w:w="2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FDEFF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AA3F8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FDG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C137F0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MRI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BB9AB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FDG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EB9E6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MRI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E9229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FDG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9EE0F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MRI</w:t>
            </w:r>
          </w:p>
        </w:tc>
      </w:tr>
      <w:tr w:rsidR="00D5634D" w:rsidRPr="00AD3E59" w14:paraId="46E6491E" w14:textId="77777777" w:rsidTr="006A68C0">
        <w:trPr>
          <w:trHeight w:val="483"/>
        </w:trPr>
        <w:tc>
          <w:tcPr>
            <w:tcW w:w="22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0F369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lang w:val="en-US"/>
              </w:rPr>
              <w:t xml:space="preserve">n </w:t>
            </w: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total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06BF17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345⁺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DD94D2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345⁺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A3105B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B76B9E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A87048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513</w:t>
            </w:r>
          </w:p>
        </w:tc>
        <w:tc>
          <w:tcPr>
            <w:tcW w:w="113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83280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513</w:t>
            </w:r>
          </w:p>
        </w:tc>
      </w:tr>
      <w:tr w:rsidR="00D5634D" w:rsidRPr="00AD3E59" w14:paraId="36D9B7AE" w14:textId="77777777" w:rsidTr="006A68C0">
        <w:trPr>
          <w:trHeight w:val="488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FDDF7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MAE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30CF2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46CF2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1.89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E428E7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01E71B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2.43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0BD1B2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1.96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8802A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2.68</w:t>
            </w:r>
          </w:p>
        </w:tc>
      </w:tr>
      <w:tr w:rsidR="00D5634D" w:rsidRPr="00AD3E59" w14:paraId="503E65D2" w14:textId="77777777" w:rsidTr="006A68C0">
        <w:trPr>
          <w:trHeight w:val="468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861C1" w14:textId="77777777" w:rsidR="000D775B" w:rsidRPr="000D775B" w:rsidRDefault="000D775B" w:rsidP="000D775B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MAE before bias correction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7B1743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4.04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81944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3.97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2E1AD2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7D151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5E0FA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849469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D5634D" w:rsidRPr="00AD3E59" w14:paraId="64617EB4" w14:textId="77777777" w:rsidTr="006A68C0">
        <w:trPr>
          <w:trHeight w:val="468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515CA" w14:textId="77777777" w:rsidR="000D775B" w:rsidRPr="000D775B" w:rsidRDefault="000D775B" w:rsidP="000D775B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Mean (SD) over 5 models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B19A74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F5D90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3515E3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2.04 (0.30)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955E43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2.45 (0.19)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4DFE0B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2.18 (0.43)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17AD55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2.50 (0.12)</w:t>
            </w:r>
          </w:p>
        </w:tc>
      </w:tr>
      <w:tr w:rsidR="00D5634D" w:rsidRPr="00AD3E59" w14:paraId="6D20CEB5" w14:textId="77777777" w:rsidTr="006A68C0">
        <w:trPr>
          <w:trHeight w:val="497"/>
        </w:trPr>
        <w:tc>
          <w:tcPr>
            <w:tcW w:w="2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69DA7" w14:textId="77777777" w:rsidR="000D775B" w:rsidRPr="000D775B" w:rsidRDefault="000D775B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val="en-US"/>
              </w:rPr>
              <w:t>Mean difference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AD67A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2D2C0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-0.05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7BCDB8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FC7A4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-0.80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EA901A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0.78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A7381F" w14:textId="77777777" w:rsidR="000D775B" w:rsidRPr="000D775B" w:rsidRDefault="000D775B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1.75</w:t>
            </w:r>
          </w:p>
        </w:tc>
      </w:tr>
      <w:tr w:rsidR="00D5634D" w:rsidRPr="00AD3E59" w14:paraId="754320F9" w14:textId="77777777" w:rsidTr="006A68C0">
        <w:trPr>
          <w:trHeight w:val="459"/>
        </w:trPr>
        <w:tc>
          <w:tcPr>
            <w:tcW w:w="2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6E09B" w14:textId="77777777" w:rsidR="00D5634D" w:rsidRPr="000D775B" w:rsidRDefault="00D5634D" w:rsidP="000D775B">
            <w:pPr>
              <w:spacing w:after="0" w:line="240" w:lineRule="auto"/>
              <w:ind w:left="432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Mean (SD) over 5 models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34EB0" w14:textId="77777777"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E6824" w14:textId="77777777"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1DFB61" w14:textId="77777777"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-0.66 (0.41)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1A1F7" w14:textId="77777777"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-0.92 (0.16)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F3F86" w14:textId="77777777"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0.77 (0.26)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4B366" w14:textId="77777777" w:rsidR="00D5634D" w:rsidRPr="000D775B" w:rsidRDefault="00D5634D" w:rsidP="000D7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1.57 (0.16)</w:t>
            </w:r>
          </w:p>
        </w:tc>
      </w:tr>
      <w:tr w:rsidR="006A68C0" w:rsidRPr="00EB3526" w14:paraId="759E49C2" w14:textId="77777777" w:rsidTr="006A68C0">
        <w:trPr>
          <w:trHeight w:val="673"/>
        </w:trPr>
        <w:tc>
          <w:tcPr>
            <w:tcW w:w="9082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4F741" w14:textId="77777777" w:rsidR="006A68C0" w:rsidRPr="000D775B" w:rsidRDefault="006A68C0" w:rsidP="000D77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D775B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lang w:val="en-US"/>
              </w:rPr>
              <w:t xml:space="preserve">Notes. </w:t>
            </w:r>
            <w:r w:rsidRPr="00871ECA">
              <w:rPr>
                <w:rFonts w:ascii="Times New Roman" w:eastAsia="Times New Roman" w:hAnsi="Times New Roman" w:cs="Times New Roman"/>
                <w:color w:val="000000"/>
                <w:kern w:val="24"/>
                <w:vertAlign w:val="superscript"/>
                <w:lang w:val="en-US"/>
              </w:rPr>
              <w:t>+</w:t>
            </w:r>
            <w:r w:rsidRPr="000D775B">
              <w:rPr>
                <w:rFonts w:ascii="Times New Roman" w:eastAsia="Times New Roman" w:hAnsi="Times New Roman" w:cs="Times New Roman"/>
                <w:color w:val="000000"/>
                <w:kern w:val="24"/>
                <w:lang w:val="en-US"/>
              </w:rPr>
              <w:t>After outlier exclusion using CN train set (IQR &gt; 6)</w:t>
            </w:r>
          </w:p>
        </w:tc>
      </w:tr>
    </w:tbl>
    <w:p w14:paraId="54808CD0" w14:textId="77777777" w:rsidR="000D775B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3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 w:rsidRPr="00B863A4">
        <w:rPr>
          <w:rFonts w:ascii="Times New Roman" w:hAnsi="Times New Roman" w:cs="Times New Roman"/>
          <w:b/>
          <w:lang w:val="en-US"/>
        </w:rPr>
        <w:t>BPAD in CN</w:t>
      </w:r>
    </w:p>
    <w:p w14:paraId="62A6F2C8" w14:textId="77777777" w:rsidR="00C46FE8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3.1 BPAD and Cognitive Performance</w:t>
      </w:r>
    </w:p>
    <w:p w14:paraId="39BCE016" w14:textId="77777777" w:rsidR="00C46FE8" w:rsidRDefault="00C217DE" w:rsidP="000D775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3.2 BPAD and AD Neuropathology</w:t>
      </w:r>
    </w:p>
    <w:p w14:paraId="1DED8862" w14:textId="77777777" w:rsidR="00C217DE" w:rsidRDefault="00C217DE" w:rsidP="000D775B">
      <w:pPr>
        <w:jc w:val="both"/>
        <w:rPr>
          <w:rFonts w:ascii="Times New Roman" w:hAnsi="Times New Roman" w:cs="Times New Roman"/>
          <w:b/>
          <w:lang w:val="en-US"/>
        </w:rPr>
      </w:pPr>
    </w:p>
    <w:p w14:paraId="3C95C9A7" w14:textId="77777777" w:rsidR="00B863A4" w:rsidRDefault="00C46FE8" w:rsidP="000D775B">
      <w:pPr>
        <w:jc w:val="both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4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B863A4">
        <w:rPr>
          <w:rFonts w:ascii="Times New Roman" w:hAnsi="Times New Roman" w:cs="Times New Roman"/>
          <w:b/>
          <w:lang w:val="en-US"/>
        </w:rPr>
        <w:t>BPAD in MCI</w:t>
      </w:r>
    </w:p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01"/>
        <w:gridCol w:w="1833"/>
        <w:gridCol w:w="1843"/>
        <w:gridCol w:w="1843"/>
        <w:gridCol w:w="1842"/>
      </w:tblGrid>
      <w:tr w:rsidR="00B863A4" w:rsidRPr="00EB3526" w14:paraId="3710E7A8" w14:textId="77777777" w:rsidTr="00C46FE8">
        <w:trPr>
          <w:trHeight w:val="584"/>
        </w:trPr>
        <w:tc>
          <w:tcPr>
            <w:tcW w:w="9062" w:type="dxa"/>
            <w:gridSpan w:val="5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5F265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Table 3. Correlation strength (rho or r) between BPAD and neuropathology/cognitive function across five different models </w:t>
            </w:r>
          </w:p>
        </w:tc>
      </w:tr>
      <w:tr w:rsidR="00C46FE8" w:rsidRPr="00B863A4" w14:paraId="1A4DDA44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3DF24" w14:textId="77777777" w:rsidR="00C46FE8" w:rsidRPr="00B863A4" w:rsidRDefault="00C46FE8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676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42A04" w14:textId="77777777" w:rsidR="00C46FE8" w:rsidRPr="00B863A4" w:rsidRDefault="00C46FE8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bCs/>
                <w:lang w:val="en-US"/>
              </w:rPr>
              <w:t>FDG-PET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CAF4D" w14:textId="77777777" w:rsidR="00C46FE8" w:rsidRPr="00B863A4" w:rsidRDefault="00C46FE8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bCs/>
                <w:lang w:val="en-US"/>
              </w:rPr>
              <w:t>MRI</w:t>
            </w:r>
          </w:p>
        </w:tc>
      </w:tr>
      <w:tr w:rsidR="00B863A4" w:rsidRPr="00B863A4" w14:paraId="622727B5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B2C82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74DD9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Zero-order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2306A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Partial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7F6EC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Zero-order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8A037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Partial</w:t>
            </w:r>
          </w:p>
        </w:tc>
      </w:tr>
      <w:tr w:rsidR="00B863A4" w:rsidRPr="00B863A4" w14:paraId="06F8044F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B40C5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CSF ABETA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07C43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-0.222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[-0.237; -0.172]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C071B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-0.186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[-0.224; -0.135]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97EE3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-0.316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[-0.319; 0.305]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5897A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-0.269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[-0.279; -0.266]</w:t>
            </w:r>
          </w:p>
        </w:tc>
      </w:tr>
      <w:tr w:rsidR="00B863A4" w:rsidRPr="00B863A4" w14:paraId="174787D1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A0F41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AV45 (global SUVR)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83889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0.137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[0.113; 0.154]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DA66E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68873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0.197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[0.176; 0.217]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D9059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0.173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[0.163; 0.202]</w:t>
            </w:r>
          </w:p>
        </w:tc>
      </w:tr>
      <w:tr w:rsidR="00B863A4" w:rsidRPr="00B863A4" w14:paraId="3B12DC4C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21C77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lastRenderedPageBreak/>
              <w:t>CSF Tau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ADC44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11125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B7642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0.127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[0.121; 0.138]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49633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0.124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[0.114; 0.138]</w:t>
            </w:r>
          </w:p>
        </w:tc>
      </w:tr>
      <w:tr w:rsidR="00B863A4" w:rsidRPr="00B863A4" w14:paraId="4D3087C5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A2B2C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CSF </w:t>
            </w:r>
            <w:proofErr w:type="spellStart"/>
            <w:r w:rsidRPr="00B863A4">
              <w:rPr>
                <w:rFonts w:ascii="Times New Roman" w:hAnsi="Times New Roman" w:cs="Times New Roman"/>
                <w:b/>
                <w:lang w:val="en-US"/>
              </w:rPr>
              <w:t>PTau</w:t>
            </w:r>
            <w:proofErr w:type="spellEnd"/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70F79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982A7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--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61782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0.146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[0.141; 0.157]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0C412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0.139</w:t>
            </w:r>
          </w:p>
          <w:p w14:paraId="1BDECB78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[0.131; 0.153]</w:t>
            </w:r>
          </w:p>
        </w:tc>
      </w:tr>
      <w:tr w:rsidR="00B863A4" w:rsidRPr="00B863A4" w14:paraId="6D6A4705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56DDA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ADNI-MEM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42380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-0.279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[-0.321; -0.234]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2E781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-0.250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[-0.257; -0.234]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7F908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-0.455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[-0.459; -0.443]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99873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-0.409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[-0.420; -0.397]</w:t>
            </w:r>
          </w:p>
        </w:tc>
      </w:tr>
      <w:tr w:rsidR="00B863A4" w:rsidRPr="00B863A4" w14:paraId="337A9DD2" w14:textId="77777777" w:rsidTr="00C46FE8">
        <w:trPr>
          <w:trHeight w:val="584"/>
        </w:trPr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38374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ADNI-EF</w:t>
            </w:r>
          </w:p>
        </w:tc>
        <w:tc>
          <w:tcPr>
            <w:tcW w:w="1833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6BDB3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>-0.272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[-0.323; -0.241]*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85D96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-0.255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[-0.258; -0.219]*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0A00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-0.325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[-0.339; -0.307]*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B78EB" w14:textId="77777777" w:rsidR="00B863A4" w:rsidRPr="00B863A4" w:rsidRDefault="00B863A4" w:rsidP="00C46FE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-0.290 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br/>
              <w:t>[-0.301; -0.286]*</w:t>
            </w:r>
          </w:p>
        </w:tc>
      </w:tr>
      <w:tr w:rsidR="00B863A4" w:rsidRPr="00EB3526" w14:paraId="238B66E5" w14:textId="77777777" w:rsidTr="00C46FE8">
        <w:trPr>
          <w:trHeight w:val="584"/>
        </w:trPr>
        <w:tc>
          <w:tcPr>
            <w:tcW w:w="9062" w:type="dxa"/>
            <w:gridSpan w:val="5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561F3" w14:textId="77777777" w:rsidR="00B863A4" w:rsidRPr="00B863A4" w:rsidRDefault="00B863A4" w:rsidP="00B863A4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B863A4">
              <w:rPr>
                <w:rFonts w:ascii="Times New Roman" w:hAnsi="Times New Roman" w:cs="Times New Roman"/>
                <w:b/>
                <w:i/>
                <w:iCs/>
                <w:lang w:val="en-US"/>
              </w:rPr>
              <w:t>Notes.</w:t>
            </w:r>
            <w:r w:rsidRPr="00B863A4">
              <w:rPr>
                <w:rFonts w:ascii="Times New Roman" w:hAnsi="Times New Roman" w:cs="Times New Roman"/>
                <w:b/>
                <w:lang w:val="en-US"/>
              </w:rPr>
              <w:t xml:space="preserve"> Median [range] of correlation coefficients are displayed when significant (p&lt;0.05) correlation existed in brain-predicted age according to all five models. Coefficients are Spearman Rho unless marked by an asterisk (*: Pearson’s r coefficient).</w:t>
            </w:r>
          </w:p>
        </w:tc>
      </w:tr>
    </w:tbl>
    <w:p w14:paraId="35F71AD6" w14:textId="77777777" w:rsidR="00B863A4" w:rsidRDefault="00B863A4" w:rsidP="000D775B">
      <w:pPr>
        <w:jc w:val="both"/>
        <w:rPr>
          <w:rFonts w:ascii="Times New Roman" w:hAnsi="Times New Roman" w:cs="Times New Roman"/>
          <w:b/>
          <w:lang w:val="en-US"/>
        </w:rPr>
      </w:pPr>
    </w:p>
    <w:p w14:paraId="63CD64B3" w14:textId="77777777" w:rsidR="00481A9A" w:rsidRDefault="00481A9A" w:rsidP="000D775B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CONV</w:t>
      </w:r>
    </w:p>
    <w:p w14:paraId="599D0283" w14:textId="77777777" w:rsidR="00EB3526" w:rsidRDefault="00C56B49" w:rsidP="00C56B4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B3526">
        <w:rPr>
          <w:rFonts w:ascii="Times New Roman" w:hAnsi="Times New Roman" w:cs="Times New Roman"/>
          <w:lang w:val="en-US"/>
        </w:rPr>
        <w:t>assess the potential of BPAD in the two modalities to serve as an indicator of cognitive decline</w:t>
      </w:r>
      <w:r w:rsidR="00714E39">
        <w:rPr>
          <w:rFonts w:ascii="Times New Roman" w:hAnsi="Times New Roman" w:cs="Times New Roman"/>
          <w:lang w:val="en-US"/>
        </w:rPr>
        <w:t xml:space="preserve"> (CD)</w:t>
      </w:r>
      <w:r w:rsidR="00EB3526">
        <w:rPr>
          <w:rFonts w:ascii="Times New Roman" w:hAnsi="Times New Roman" w:cs="Times New Roman"/>
          <w:lang w:val="en-US"/>
        </w:rPr>
        <w:t xml:space="preserve">, as well as to compare BPAD to existing risk factors, individuals’ diagnosis at year two </w:t>
      </w:r>
      <w:proofErr w:type="gramStart"/>
      <w:r w:rsidR="00EB3526">
        <w:rPr>
          <w:rFonts w:ascii="Times New Roman" w:hAnsi="Times New Roman" w:cs="Times New Roman"/>
          <w:lang w:val="en-US"/>
        </w:rPr>
        <w:t>was predicted</w:t>
      </w:r>
      <w:proofErr w:type="gramEnd"/>
      <w:r w:rsidR="00EB3526">
        <w:rPr>
          <w:rFonts w:ascii="Times New Roman" w:hAnsi="Times New Roman" w:cs="Times New Roman"/>
          <w:lang w:val="en-US"/>
        </w:rPr>
        <w:t xml:space="preserve"> from PET-BPAD, MRI-BPAD, APOE-e4 carriership, amyloid status and years of. To achieve reliable results, 10-fold </w:t>
      </w:r>
      <w:proofErr w:type="gramStart"/>
      <w:r w:rsidR="00EB3526">
        <w:rPr>
          <w:rFonts w:ascii="Times New Roman" w:hAnsi="Times New Roman" w:cs="Times New Roman"/>
          <w:lang w:val="en-US"/>
        </w:rPr>
        <w:t>cross-validated</w:t>
      </w:r>
      <w:proofErr w:type="gramEnd"/>
      <w:r w:rsidR="00EB3526">
        <w:rPr>
          <w:rFonts w:ascii="Times New Roman" w:hAnsi="Times New Roman" w:cs="Times New Roman"/>
          <w:lang w:val="en-US"/>
        </w:rPr>
        <w:t xml:space="preserve"> logistic regression was performed in two subsamples per group (CN/MCI), matched for age and sex. As amyloid status was not available for all individuals, analyses were conducted in two ways, once including individuals with missing amyloid information </w:t>
      </w:r>
      <w:r w:rsidR="00AA1A5F">
        <w:rPr>
          <w:rFonts w:ascii="Times New Roman" w:hAnsi="Times New Roman" w:cs="Times New Roman"/>
          <w:lang w:val="en-US"/>
        </w:rPr>
        <w:t>(NA values coded as separate category</w:t>
      </w:r>
      <w:r w:rsidR="00714E39">
        <w:rPr>
          <w:rFonts w:ascii="Times New Roman" w:hAnsi="Times New Roman" w:cs="Times New Roman"/>
          <w:lang w:val="en-US"/>
        </w:rPr>
        <w:t>; “whole samples”</w:t>
      </w:r>
      <w:r w:rsidR="00EB3526">
        <w:rPr>
          <w:rFonts w:ascii="Times New Roman" w:hAnsi="Times New Roman" w:cs="Times New Roman"/>
          <w:lang w:val="en-US"/>
        </w:rPr>
        <w:t>), and once excluding these individuals</w:t>
      </w:r>
      <w:r w:rsidR="00714E39">
        <w:rPr>
          <w:rFonts w:ascii="Times New Roman" w:hAnsi="Times New Roman" w:cs="Times New Roman"/>
          <w:lang w:val="en-US"/>
        </w:rPr>
        <w:t xml:space="preserve"> (“reduced samples”)</w:t>
      </w:r>
      <w:r w:rsidR="00EB3526">
        <w:rPr>
          <w:rFonts w:ascii="Times New Roman" w:hAnsi="Times New Roman" w:cs="Times New Roman"/>
          <w:lang w:val="en-US"/>
        </w:rPr>
        <w:t>.</w:t>
      </w:r>
    </w:p>
    <w:p w14:paraId="77765379" w14:textId="77777777" w:rsidR="0061565F" w:rsidRDefault="0092120A" w:rsidP="0061565F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REF _Ref100237495 \h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Pr="008C31CD">
        <w:rPr>
          <w:rFonts w:ascii="Times New Roman" w:hAnsi="Times New Roman" w:cs="Times New Roman"/>
          <w:lang w:val="en-US"/>
        </w:rPr>
        <w:t xml:space="preserve">Table </w:t>
      </w:r>
      <w:r w:rsidRPr="008C31CD">
        <w:rPr>
          <w:rFonts w:ascii="Times New Roman" w:hAnsi="Times New Roman" w:cs="Times New Roman"/>
          <w:noProof/>
          <w:lang w:val="en-US"/>
        </w:rPr>
        <w:t>3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 </w:t>
      </w:r>
      <w:r w:rsidR="00714E39">
        <w:rPr>
          <w:rFonts w:ascii="Times New Roman" w:hAnsi="Times New Roman" w:cs="Times New Roman"/>
          <w:lang w:val="en-US"/>
        </w:rPr>
        <w:t>p</w:t>
      </w:r>
      <w:r w:rsidR="00714E39">
        <w:rPr>
          <w:rFonts w:ascii="Times New Roman" w:hAnsi="Times New Roman" w:cs="Times New Roman"/>
          <w:lang w:val="en-US"/>
        </w:rPr>
        <w:t>resents an overview of logistic regression estimates (XX) and p-</w:t>
      </w:r>
      <w:proofErr w:type="gramStart"/>
      <w:r w:rsidR="00714E39">
        <w:rPr>
          <w:rFonts w:ascii="Times New Roman" w:hAnsi="Times New Roman" w:cs="Times New Roman"/>
          <w:lang w:val="en-US"/>
        </w:rPr>
        <w:t>values on the whole</w:t>
      </w:r>
      <w:proofErr w:type="gramEnd"/>
      <w:r w:rsidR="00714E39">
        <w:rPr>
          <w:rFonts w:ascii="Times New Roman" w:hAnsi="Times New Roman" w:cs="Times New Roman"/>
          <w:lang w:val="en-US"/>
        </w:rPr>
        <w:t xml:space="preserve"> samples. </w:t>
      </w:r>
      <w:r w:rsidR="00B14508">
        <w:rPr>
          <w:rFonts w:ascii="Times New Roman" w:hAnsi="Times New Roman" w:cs="Times New Roman"/>
          <w:lang w:val="en-US"/>
        </w:rPr>
        <w:t>Two hundred ninety eight</w:t>
      </w:r>
      <w:r w:rsidR="00EA53AA">
        <w:rPr>
          <w:rFonts w:ascii="Times New Roman" w:hAnsi="Times New Roman" w:cs="Times New Roman"/>
          <w:lang w:val="en-US"/>
        </w:rPr>
        <w:t xml:space="preserve"> individuals from the baseline CN sample received </w:t>
      </w:r>
      <w:r w:rsidR="00B14508">
        <w:rPr>
          <w:rFonts w:ascii="Times New Roman" w:hAnsi="Times New Roman" w:cs="Times New Roman"/>
          <w:lang w:val="en-US"/>
        </w:rPr>
        <w:t xml:space="preserve">either a CN diagnosis at year two (“stables”; n = 269), or a diagnosis of cognitive impairment (MCI or AD) six months to two years after baseline (“decliners”; n = 29). </w:t>
      </w:r>
      <w:r w:rsidR="00EB3526">
        <w:rPr>
          <w:rFonts w:ascii="Times New Roman" w:hAnsi="Times New Roman" w:cs="Times New Roman"/>
          <w:lang w:val="en-US"/>
        </w:rPr>
        <w:t>Accordingly, the two</w:t>
      </w:r>
      <w:r w:rsidR="00B14508">
        <w:rPr>
          <w:rFonts w:ascii="Times New Roman" w:hAnsi="Times New Roman" w:cs="Times New Roman"/>
          <w:lang w:val="en-US"/>
        </w:rPr>
        <w:t xml:space="preserve"> matched sub-samples included 58</w:t>
      </w:r>
      <w:r w:rsidR="00EB3526">
        <w:rPr>
          <w:rFonts w:ascii="Times New Roman" w:hAnsi="Times New Roman" w:cs="Times New Roman"/>
          <w:lang w:val="en-US"/>
        </w:rPr>
        <w:t xml:space="preserve"> </w:t>
      </w:r>
      <w:r w:rsidR="00714E39">
        <w:rPr>
          <w:rFonts w:ascii="Times New Roman" w:hAnsi="Times New Roman" w:cs="Times New Roman"/>
          <w:lang w:val="en-US"/>
        </w:rPr>
        <w:t xml:space="preserve">individuals </w:t>
      </w:r>
      <w:r w:rsidR="00B14508">
        <w:rPr>
          <w:rFonts w:ascii="Times New Roman" w:hAnsi="Times New Roman" w:cs="Times New Roman"/>
          <w:lang w:val="en-US"/>
        </w:rPr>
        <w:t>(29</w:t>
      </w:r>
      <w:r w:rsidR="00EB3526">
        <w:rPr>
          <w:rFonts w:ascii="Times New Roman" w:hAnsi="Times New Roman" w:cs="Times New Roman"/>
          <w:lang w:val="en-US"/>
        </w:rPr>
        <w:t xml:space="preserve"> </w:t>
      </w:r>
      <w:r w:rsidR="00714E39">
        <w:rPr>
          <w:rFonts w:ascii="Times New Roman" w:hAnsi="Times New Roman" w:cs="Times New Roman"/>
          <w:lang w:val="en-US"/>
        </w:rPr>
        <w:t>decliners and 2</w:t>
      </w:r>
      <w:r w:rsidR="00B14508">
        <w:rPr>
          <w:rFonts w:ascii="Times New Roman" w:hAnsi="Times New Roman" w:cs="Times New Roman"/>
          <w:lang w:val="en-US"/>
        </w:rPr>
        <w:t>9</w:t>
      </w:r>
      <w:r w:rsidR="00714E39">
        <w:rPr>
          <w:rFonts w:ascii="Times New Roman" w:hAnsi="Times New Roman" w:cs="Times New Roman"/>
          <w:lang w:val="en-US"/>
        </w:rPr>
        <w:t xml:space="preserve"> stables). Across these two samples, PET- and MRI-BPAD </w:t>
      </w:r>
      <w:proofErr w:type="gramStart"/>
      <w:r w:rsidR="00714E39">
        <w:rPr>
          <w:rFonts w:ascii="Times New Roman" w:hAnsi="Times New Roman" w:cs="Times New Roman"/>
          <w:lang w:val="en-US"/>
        </w:rPr>
        <w:t>were not significantly correlated</w:t>
      </w:r>
      <w:proofErr w:type="gramEnd"/>
      <w:r w:rsidR="00714E39">
        <w:rPr>
          <w:rFonts w:ascii="Times New Roman" w:hAnsi="Times New Roman" w:cs="Times New Roman"/>
          <w:lang w:val="en-US"/>
        </w:rPr>
        <w:t xml:space="preserve">. </w:t>
      </w:r>
      <w:r w:rsidR="007107EA">
        <w:rPr>
          <w:rFonts w:ascii="Times New Roman" w:hAnsi="Times New Roman" w:cs="Times New Roman"/>
          <w:lang w:val="en-US"/>
        </w:rPr>
        <w:t xml:space="preserve">In sample 1, </w:t>
      </w:r>
      <w:r w:rsidR="00B14508">
        <w:rPr>
          <w:rFonts w:ascii="Times New Roman" w:hAnsi="Times New Roman" w:cs="Times New Roman"/>
          <w:lang w:val="en-US"/>
        </w:rPr>
        <w:t xml:space="preserve">the odds of CD were significantly increased by 40% per one year PET-BPAD (OR = 1.404, 95% CI [1.113, 1.874], </w:t>
      </w:r>
      <w:r w:rsidR="00B14508" w:rsidRPr="007107EA">
        <w:rPr>
          <w:rFonts w:ascii="Times New Roman" w:hAnsi="Times New Roman" w:cs="Times New Roman"/>
          <w:lang w:val="en-US"/>
        </w:rPr>
        <w:t xml:space="preserve">see </w:t>
      </w:r>
      <w:r w:rsidR="00B14508" w:rsidRPr="007107EA">
        <w:rPr>
          <w:rFonts w:ascii="Times New Roman" w:hAnsi="Times New Roman" w:cs="Times New Roman"/>
          <w:lang w:val="en-US"/>
        </w:rPr>
        <w:fldChar w:fldCharType="begin"/>
      </w:r>
      <w:r w:rsidR="00B14508" w:rsidRPr="007107EA">
        <w:rPr>
          <w:rFonts w:ascii="Times New Roman" w:hAnsi="Times New Roman" w:cs="Times New Roman"/>
          <w:lang w:val="en-US"/>
        </w:rPr>
        <w:instrText xml:space="preserve"> REF _Ref100237495 \h </w:instrText>
      </w:r>
      <w:r w:rsidR="00B14508" w:rsidRPr="007107EA">
        <w:rPr>
          <w:rFonts w:ascii="Times New Roman" w:hAnsi="Times New Roman" w:cs="Times New Roman"/>
          <w:lang w:val="en-US"/>
        </w:rPr>
      </w:r>
      <w:r w:rsidR="00B14508">
        <w:rPr>
          <w:rFonts w:ascii="Times New Roman" w:hAnsi="Times New Roman" w:cs="Times New Roman"/>
          <w:lang w:val="en-US"/>
        </w:rPr>
        <w:instrText xml:space="preserve"> \* MERGEFORMAT </w:instrText>
      </w:r>
      <w:r w:rsidR="00B14508" w:rsidRPr="007107EA">
        <w:rPr>
          <w:rFonts w:ascii="Times New Roman" w:hAnsi="Times New Roman" w:cs="Times New Roman"/>
          <w:lang w:val="en-US"/>
        </w:rPr>
        <w:fldChar w:fldCharType="separate"/>
      </w:r>
      <w:r w:rsidR="00B14508" w:rsidRPr="007107EA">
        <w:rPr>
          <w:rFonts w:ascii="Times New Roman" w:hAnsi="Times New Roman" w:cs="Times New Roman"/>
          <w:lang w:val="en-US"/>
        </w:rPr>
        <w:t xml:space="preserve">Table </w:t>
      </w:r>
      <w:r w:rsidR="00B14508" w:rsidRPr="007107EA">
        <w:rPr>
          <w:rFonts w:ascii="Times New Roman" w:hAnsi="Times New Roman" w:cs="Times New Roman"/>
          <w:noProof/>
          <w:lang w:val="en-US"/>
        </w:rPr>
        <w:t>3</w:t>
      </w:r>
      <w:r w:rsidR="00B14508" w:rsidRPr="007107EA">
        <w:rPr>
          <w:rFonts w:ascii="Times New Roman" w:hAnsi="Times New Roman" w:cs="Times New Roman"/>
          <w:lang w:val="en-US"/>
        </w:rPr>
        <w:fldChar w:fldCharType="end"/>
      </w:r>
      <w:r w:rsidR="00B14508" w:rsidRPr="007107EA">
        <w:rPr>
          <w:rFonts w:ascii="Times New Roman" w:hAnsi="Times New Roman" w:cs="Times New Roman"/>
          <w:lang w:val="en-US"/>
        </w:rPr>
        <w:t xml:space="preserve"> for p-values</w:t>
      </w:r>
      <w:r w:rsidR="00B14508">
        <w:rPr>
          <w:rFonts w:ascii="Times New Roman" w:hAnsi="Times New Roman" w:cs="Times New Roman"/>
          <w:lang w:val="en-US"/>
        </w:rPr>
        <w:t xml:space="preserve">). In sample 2, PET-BPAD (OR = 1.298, 96% CI [1.013, 1.734]) and amyloid status (OR = 5.011, 95% CI [1.197, 25.363]) marginally to significantly predicted CD. </w:t>
      </w:r>
      <w:r w:rsidR="00F04193">
        <w:rPr>
          <w:rFonts w:ascii="Times New Roman" w:hAnsi="Times New Roman" w:cs="Times New Roman"/>
          <w:lang w:val="en-US"/>
        </w:rPr>
        <w:t>Predictions in this sample were predominantly driven by amyloid status (see Figure XX</w:t>
      </w:r>
      <w:r w:rsidR="0061565F">
        <w:rPr>
          <w:rFonts w:ascii="Times New Roman" w:hAnsi="Times New Roman" w:cs="Times New Roman"/>
          <w:lang w:val="en-US"/>
        </w:rPr>
        <w:t xml:space="preserve"> a)</w:t>
      </w:r>
      <w:r w:rsidR="00F04193">
        <w:rPr>
          <w:rFonts w:ascii="Times New Roman" w:hAnsi="Times New Roman" w:cs="Times New Roman"/>
          <w:lang w:val="en-US"/>
        </w:rPr>
        <w:t xml:space="preserve">). </w:t>
      </w:r>
      <w:r w:rsidR="00FF1DB1">
        <w:rPr>
          <w:rFonts w:ascii="Times New Roman" w:hAnsi="Times New Roman" w:cs="Times New Roman"/>
          <w:lang w:val="en-US"/>
        </w:rPr>
        <w:t>To determine a clinically relevant threshold of BPAD, we approximated the PET-BPAD corresponding to 50% disease probability</w:t>
      </w:r>
      <w:r w:rsidR="00B14508">
        <w:rPr>
          <w:rFonts w:ascii="Times New Roman" w:hAnsi="Times New Roman" w:cs="Times New Roman"/>
          <w:lang w:val="en-US"/>
        </w:rPr>
        <w:t>, which was 0.2 and 0.9</w:t>
      </w:r>
      <w:r w:rsidR="00FF1DB1">
        <w:rPr>
          <w:rFonts w:ascii="Times New Roman" w:hAnsi="Times New Roman" w:cs="Times New Roman"/>
          <w:lang w:val="en-US"/>
        </w:rPr>
        <w:t xml:space="preserve"> years, respectively</w:t>
      </w:r>
      <w:r w:rsidR="0061565F">
        <w:rPr>
          <w:rFonts w:ascii="Times New Roman" w:hAnsi="Times New Roman" w:cs="Times New Roman"/>
          <w:lang w:val="en-US"/>
        </w:rPr>
        <w:t xml:space="preserve"> (see Figure XX)</w:t>
      </w:r>
      <w:r w:rsidR="00FF1DB1">
        <w:rPr>
          <w:rFonts w:ascii="Times New Roman" w:hAnsi="Times New Roman" w:cs="Times New Roman"/>
          <w:lang w:val="en-US"/>
        </w:rPr>
        <w:t>.</w:t>
      </w:r>
      <w:r w:rsidR="003B48D1">
        <w:rPr>
          <w:rFonts w:ascii="Times New Roman" w:hAnsi="Times New Roman" w:cs="Times New Roman"/>
          <w:lang w:val="en-US"/>
        </w:rPr>
        <w:t xml:space="preserve"> </w:t>
      </w:r>
      <w:r w:rsidR="00F04193">
        <w:rPr>
          <w:rFonts w:ascii="Times New Roman" w:hAnsi="Times New Roman" w:cs="Times New Roman"/>
          <w:lang w:val="en-US"/>
        </w:rPr>
        <w:t xml:space="preserve">Sensitivity and specificity of the PET-BPAD to indicate CD were 68% and 68% in sample 1 and 62% and 66% in sample 2. After removing those individuals who did not have information on amyloid status available, a reduced sample of 23 decliners remained, thus constituting a sample size of 46 (23 decliners and 23 stables). </w:t>
      </w:r>
      <w:r w:rsidR="0061565F">
        <w:rPr>
          <w:rFonts w:ascii="Times New Roman" w:hAnsi="Times New Roman" w:cs="Times New Roman"/>
          <w:lang w:val="en-US"/>
        </w:rPr>
        <w:t>Comparable</w:t>
      </w:r>
      <w:r w:rsidR="00F04193">
        <w:rPr>
          <w:rFonts w:ascii="Times New Roman" w:hAnsi="Times New Roman" w:cs="Times New Roman"/>
          <w:lang w:val="en-US"/>
        </w:rPr>
        <w:t xml:space="preserve"> results as in the whole sample </w:t>
      </w:r>
      <w:proofErr w:type="gramStart"/>
      <w:r w:rsidR="00F04193">
        <w:rPr>
          <w:rFonts w:ascii="Times New Roman" w:hAnsi="Times New Roman" w:cs="Times New Roman"/>
          <w:lang w:val="en-US"/>
        </w:rPr>
        <w:t xml:space="preserve">were </w:t>
      </w:r>
      <w:r w:rsidR="0061565F">
        <w:rPr>
          <w:rFonts w:ascii="Times New Roman" w:hAnsi="Times New Roman" w:cs="Times New Roman"/>
          <w:lang w:val="en-US"/>
        </w:rPr>
        <w:t>found</w:t>
      </w:r>
      <w:proofErr w:type="gramEnd"/>
      <w:r w:rsidR="0061565F">
        <w:rPr>
          <w:rFonts w:ascii="Times New Roman" w:hAnsi="Times New Roman" w:cs="Times New Roman"/>
          <w:lang w:val="en-US"/>
        </w:rPr>
        <w:t xml:space="preserve">: In one sample, higher PET-BPAD significantly predicted CD (OR = 1.46, 95% CI [1.101, 2.106], p = 0.018) and in the other sample, a positive amyloid status significantly predicted CD (OR = 4.704, 95% CI [1.135, 23.604], p = 0.041), while neither PET- nor MRI-BPAD reached significance levels. </w:t>
      </w:r>
      <w:proofErr w:type="gramStart"/>
      <w:r w:rsidR="0061565F">
        <w:rPr>
          <w:rFonts w:ascii="Times New Roman" w:hAnsi="Times New Roman" w:cs="Times New Roman"/>
          <w:lang w:val="en-US"/>
        </w:rPr>
        <w:t>50%</w:t>
      </w:r>
      <w:proofErr w:type="gramEnd"/>
      <w:r w:rsidR="0061565F">
        <w:rPr>
          <w:rFonts w:ascii="Times New Roman" w:hAnsi="Times New Roman" w:cs="Times New Roman"/>
          <w:lang w:val="en-US"/>
        </w:rPr>
        <w:t xml:space="preserve"> disease probability in sample 1 corresponded to a PET-BPAD of 0 years, yielding a sensitivity and specificity of 65 and 74%. </w:t>
      </w:r>
      <w:r w:rsidR="0061565F">
        <w:rPr>
          <w:rFonts w:ascii="Times New Roman" w:hAnsi="Times New Roman" w:cs="Times New Roman"/>
          <w:lang w:val="en-US"/>
        </w:rPr>
        <w:t>T</w:t>
      </w:r>
      <w:r w:rsidR="0061565F">
        <w:rPr>
          <w:rFonts w:ascii="Times New Roman" w:hAnsi="Times New Roman" w:cs="Times New Roman"/>
          <w:lang w:val="en-US"/>
        </w:rPr>
        <w:t>aken t</w:t>
      </w:r>
      <w:r w:rsidR="0061565F">
        <w:rPr>
          <w:rFonts w:ascii="Times New Roman" w:hAnsi="Times New Roman" w:cs="Times New Roman"/>
          <w:lang w:val="en-US"/>
        </w:rPr>
        <w:t xml:space="preserve">ogether, these findings show that in combination with other information such as e.g. amyloid status PET-BPAD offers potential in identifying individuals at risk of CD in a CN stage.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1559"/>
        <w:gridCol w:w="1570"/>
      </w:tblGrid>
      <w:tr w:rsidR="003B48D1" w:rsidRPr="00EB3526" w14:paraId="26749479" w14:textId="77777777" w:rsidTr="0079578B">
        <w:tc>
          <w:tcPr>
            <w:tcW w:w="8500" w:type="dxa"/>
            <w:gridSpan w:val="5"/>
          </w:tcPr>
          <w:p w14:paraId="116D3AC7" w14:textId="77777777" w:rsidR="003B48D1" w:rsidRDefault="003B48D1" w:rsidP="003B48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8C31CD">
              <w:rPr>
                <w:rFonts w:ascii="Times New Roman" w:hAnsi="Times New Roman" w:cs="Times New Roman"/>
                <w:lang w:val="en-US"/>
              </w:rPr>
              <w:lastRenderedPageBreak/>
              <w:t xml:space="preserve">Table </w:t>
            </w:r>
            <w:r w:rsidRPr="008C31CD">
              <w:rPr>
                <w:rFonts w:ascii="Times New Roman" w:hAnsi="Times New Roman" w:cs="Times New Roman"/>
              </w:rPr>
              <w:fldChar w:fldCharType="begin"/>
            </w:r>
            <w:r w:rsidRPr="008C31CD">
              <w:rPr>
                <w:rFonts w:ascii="Times New Roman" w:hAnsi="Times New Roman" w:cs="Times New Roman"/>
                <w:lang w:val="en-US"/>
              </w:rPr>
              <w:instrText xml:space="preserve"> SEQ Table \* ARABIC </w:instrText>
            </w:r>
            <w:r w:rsidRPr="008C31CD">
              <w:rPr>
                <w:rFonts w:ascii="Times New Roman" w:hAnsi="Times New Roman" w:cs="Times New Roman"/>
              </w:rPr>
              <w:fldChar w:fldCharType="separate"/>
            </w:r>
            <w:r w:rsidRPr="008C31CD">
              <w:rPr>
                <w:rFonts w:ascii="Times New Roman" w:hAnsi="Times New Roman" w:cs="Times New Roman"/>
                <w:noProof/>
                <w:lang w:val="en-US"/>
              </w:rPr>
              <w:t>3</w:t>
            </w:r>
            <w:r w:rsidRPr="008C31CD">
              <w:rPr>
                <w:rFonts w:ascii="Times New Roman" w:hAnsi="Times New Roman" w:cs="Times New Roman"/>
              </w:rPr>
              <w:fldChar w:fldCharType="end"/>
            </w:r>
            <w:r w:rsidRPr="008C31C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Estimates (p</w:t>
            </w:r>
            <w:r>
              <w:rPr>
                <w:rFonts w:ascii="Times New Roman" w:hAnsi="Times New Roman" w:cs="Times New Roman"/>
                <w:lang w:val="en-US"/>
              </w:rPr>
              <w:t>-values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 of logistic regression for prediction of cognitive decline.</w:t>
            </w:r>
          </w:p>
        </w:tc>
      </w:tr>
      <w:tr w:rsidR="003B48D1" w14:paraId="1E0F754C" w14:textId="77777777" w:rsidTr="0079578B">
        <w:tc>
          <w:tcPr>
            <w:tcW w:w="2263" w:type="dxa"/>
          </w:tcPr>
          <w:p w14:paraId="6170B7ED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C4CF45C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</w:t>
            </w:r>
          </w:p>
        </w:tc>
        <w:tc>
          <w:tcPr>
            <w:tcW w:w="3118" w:type="dxa"/>
            <w:gridSpan w:val="2"/>
          </w:tcPr>
          <w:p w14:paraId="6F475186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MCI</w:t>
            </w:r>
          </w:p>
        </w:tc>
      </w:tr>
      <w:tr w:rsidR="003B48D1" w14:paraId="4A108059" w14:textId="77777777" w:rsidTr="0079578B">
        <w:tc>
          <w:tcPr>
            <w:tcW w:w="2263" w:type="dxa"/>
          </w:tcPr>
          <w:p w14:paraId="5213A293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14:paraId="5650C38F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1</w:t>
            </w:r>
          </w:p>
        </w:tc>
        <w:tc>
          <w:tcPr>
            <w:tcW w:w="1559" w:type="dxa"/>
          </w:tcPr>
          <w:p w14:paraId="736B1CD6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2</w:t>
            </w:r>
          </w:p>
        </w:tc>
        <w:tc>
          <w:tcPr>
            <w:tcW w:w="1559" w:type="dxa"/>
          </w:tcPr>
          <w:p w14:paraId="6F3E406A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1</w:t>
            </w:r>
          </w:p>
        </w:tc>
        <w:tc>
          <w:tcPr>
            <w:tcW w:w="1559" w:type="dxa"/>
          </w:tcPr>
          <w:p w14:paraId="423A1A51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2</w:t>
            </w:r>
          </w:p>
        </w:tc>
      </w:tr>
      <w:tr w:rsidR="003B48D1" w:rsidRPr="003B48D1" w14:paraId="61F0994E" w14:textId="77777777" w:rsidTr="0079578B">
        <w:tc>
          <w:tcPr>
            <w:tcW w:w="2263" w:type="dxa"/>
          </w:tcPr>
          <w:p w14:paraId="7618B7E3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PET-BPAD [Years]</w:t>
            </w:r>
          </w:p>
        </w:tc>
        <w:tc>
          <w:tcPr>
            <w:tcW w:w="1560" w:type="dxa"/>
          </w:tcPr>
          <w:p w14:paraId="2D536C56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0.340 (0.008)</w:t>
            </w:r>
          </w:p>
        </w:tc>
        <w:tc>
          <w:tcPr>
            <w:tcW w:w="1559" w:type="dxa"/>
          </w:tcPr>
          <w:p w14:paraId="746FF63B" w14:textId="77777777" w:rsidR="003B48D1" w:rsidRDefault="00D53997" w:rsidP="003B48D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0.261 (</w:t>
            </w:r>
            <w:r w:rsidR="003B48D1">
              <w:rPr>
                <w:rFonts w:ascii="Times New Roman" w:hAnsi="Times New Roman" w:cs="Times New Roman"/>
                <w:lang w:val="en-US"/>
              </w:rPr>
              <w:t>0.0</w:t>
            </w:r>
            <w:r w:rsidR="003B48D1">
              <w:rPr>
                <w:rFonts w:ascii="Times New Roman" w:hAnsi="Times New Roman" w:cs="Times New Roman"/>
                <w:lang w:val="en-US"/>
              </w:rPr>
              <w:t>52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559" w:type="dxa"/>
          </w:tcPr>
          <w:p w14:paraId="06463138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4D60CF">
              <w:rPr>
                <w:rFonts w:ascii="Times New Roman" w:hAnsi="Times New Roman" w:cs="Times New Roman"/>
                <w:lang w:val="en-US"/>
              </w:rPr>
              <w:t>.151 (0.057)</w:t>
            </w:r>
          </w:p>
        </w:tc>
        <w:tc>
          <w:tcPr>
            <w:tcW w:w="1559" w:type="dxa"/>
          </w:tcPr>
          <w:p w14:paraId="4DDAE784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0.189 (0.017)</w:t>
            </w:r>
          </w:p>
        </w:tc>
      </w:tr>
      <w:tr w:rsidR="003B48D1" w:rsidRPr="003B48D1" w14:paraId="62B611DD" w14:textId="77777777" w:rsidTr="0079578B">
        <w:tc>
          <w:tcPr>
            <w:tcW w:w="2263" w:type="dxa"/>
          </w:tcPr>
          <w:p w14:paraId="663623D2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560" w:type="dxa"/>
          </w:tcPr>
          <w:p w14:paraId="46090B00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0.037 (0.784)</w:t>
            </w:r>
          </w:p>
        </w:tc>
        <w:tc>
          <w:tcPr>
            <w:tcW w:w="1559" w:type="dxa"/>
          </w:tcPr>
          <w:p w14:paraId="63F7E56D" w14:textId="77777777" w:rsidR="003B48D1" w:rsidRDefault="00D53997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0.032 (0.769)</w:t>
            </w:r>
          </w:p>
        </w:tc>
        <w:tc>
          <w:tcPr>
            <w:tcW w:w="1559" w:type="dxa"/>
          </w:tcPr>
          <w:p w14:paraId="38296C0D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0.350 (&lt;0.0</w:t>
            </w:r>
            <w:r w:rsidR="003B48D1">
              <w:rPr>
                <w:rFonts w:ascii="Times New Roman" w:hAnsi="Times New Roman" w:cs="Times New Roman"/>
                <w:lang w:val="en-US"/>
              </w:rPr>
              <w:t>01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559" w:type="dxa"/>
          </w:tcPr>
          <w:p w14:paraId="28230651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0.337 (&lt;0.001)</w:t>
            </w:r>
          </w:p>
        </w:tc>
      </w:tr>
      <w:tr w:rsidR="003B48D1" w:rsidRPr="003B48D1" w14:paraId="0736ADEF" w14:textId="77777777" w:rsidTr="0079578B">
        <w:tc>
          <w:tcPr>
            <w:tcW w:w="2263" w:type="dxa"/>
          </w:tcPr>
          <w:p w14:paraId="7DD82D37" w14:textId="77777777" w:rsidR="003B48D1" w:rsidRPr="004D60CF" w:rsidRDefault="003B48D1" w:rsidP="0079578B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A</w:t>
            </w:r>
            <w:r w:rsidRPr="004D60CF">
              <w:rPr>
                <w:rFonts w:ascii="Helvetica" w:hAnsi="Helvetica" w:cs="Times New Roman"/>
                <w:highlight w:val="yellow"/>
                <w:lang w:val="en-US"/>
              </w:rPr>
              <w:t>β</w:t>
            </w: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+</w:t>
            </w:r>
          </w:p>
        </w:tc>
        <w:tc>
          <w:tcPr>
            <w:tcW w:w="1560" w:type="dxa"/>
          </w:tcPr>
          <w:p w14:paraId="694B8054" w14:textId="77777777" w:rsidR="003B48D1" w:rsidRPr="004D60CF" w:rsidRDefault="003B48D1" w:rsidP="0079578B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0.026 (0.973)</w:t>
            </w:r>
          </w:p>
        </w:tc>
        <w:tc>
          <w:tcPr>
            <w:tcW w:w="1559" w:type="dxa"/>
          </w:tcPr>
          <w:p w14:paraId="1086FF58" w14:textId="77777777" w:rsidR="003B48D1" w:rsidRDefault="00D53997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1.612 (0.036)</w:t>
            </w:r>
          </w:p>
        </w:tc>
        <w:tc>
          <w:tcPr>
            <w:tcW w:w="1559" w:type="dxa"/>
          </w:tcPr>
          <w:p w14:paraId="25FE8ADE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1.577 (0.002)</w:t>
            </w:r>
          </w:p>
        </w:tc>
        <w:tc>
          <w:tcPr>
            <w:tcW w:w="1559" w:type="dxa"/>
          </w:tcPr>
          <w:p w14:paraId="31222D75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commentRangeStart w:id="2"/>
            <w:commentRangeStart w:id="3"/>
            <w:r>
              <w:rPr>
                <w:rFonts w:ascii="Times New Roman" w:hAnsi="Times New Roman" w:cs="Times New Roman"/>
                <w:lang w:val="en-US"/>
              </w:rPr>
              <w:t>0.888 (0.078)</w:t>
            </w:r>
            <w:commentRangeEnd w:id="2"/>
            <w:r>
              <w:rPr>
                <w:rStyle w:val="Kommentarzeichen"/>
              </w:rPr>
              <w:commentReference w:id="2"/>
            </w:r>
            <w:commentRangeEnd w:id="3"/>
            <w:r>
              <w:rPr>
                <w:rStyle w:val="Kommentarzeichen"/>
              </w:rPr>
              <w:commentReference w:id="3"/>
            </w:r>
          </w:p>
        </w:tc>
      </w:tr>
      <w:tr w:rsidR="003B48D1" w:rsidRPr="003B48D1" w14:paraId="3D987831" w14:textId="77777777" w:rsidTr="0079578B">
        <w:tc>
          <w:tcPr>
            <w:tcW w:w="2263" w:type="dxa"/>
          </w:tcPr>
          <w:p w14:paraId="57BB67CA" w14:textId="77777777" w:rsidR="003B48D1" w:rsidRPr="004D60CF" w:rsidRDefault="003B48D1" w:rsidP="0079578B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APOE-</w:t>
            </w:r>
            <w:r w:rsidRPr="004D60CF">
              <w:rPr>
                <w:rFonts w:ascii="Helvetica" w:hAnsi="Helvetica" w:cs="Times New Roman"/>
                <w:highlight w:val="yellow"/>
                <w:lang w:val="en-US"/>
              </w:rPr>
              <w:t>ε</w:t>
            </w: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4+</w:t>
            </w:r>
          </w:p>
        </w:tc>
        <w:tc>
          <w:tcPr>
            <w:tcW w:w="1560" w:type="dxa"/>
          </w:tcPr>
          <w:p w14:paraId="4B89928A" w14:textId="77777777" w:rsidR="003B48D1" w:rsidRPr="004D60CF" w:rsidRDefault="00D53997" w:rsidP="0079578B">
            <w:pPr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1.464 (</w:t>
            </w:r>
            <w:r w:rsidR="003B48D1" w:rsidRPr="004D60CF">
              <w:rPr>
                <w:rFonts w:ascii="Times New Roman" w:hAnsi="Times New Roman" w:cs="Times New Roman"/>
                <w:highlight w:val="yellow"/>
                <w:lang w:val="en-US"/>
              </w:rPr>
              <w:t>0.104</w:t>
            </w:r>
            <w:r w:rsidRPr="004D60CF">
              <w:rPr>
                <w:rFonts w:ascii="Times New Roman" w:hAnsi="Times New Roman" w:cs="Times New Roman"/>
                <w:highlight w:val="yellow"/>
                <w:lang w:val="en-US"/>
              </w:rPr>
              <w:t>)</w:t>
            </w:r>
          </w:p>
        </w:tc>
        <w:tc>
          <w:tcPr>
            <w:tcW w:w="1559" w:type="dxa"/>
          </w:tcPr>
          <w:p w14:paraId="77C79005" w14:textId="77777777" w:rsidR="003B48D1" w:rsidRDefault="00D53997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-0.066 (0.923)</w:t>
            </w:r>
          </w:p>
        </w:tc>
        <w:tc>
          <w:tcPr>
            <w:tcW w:w="1559" w:type="dxa"/>
          </w:tcPr>
          <w:p w14:paraId="3DED127E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0.774 (0.034)</w:t>
            </w:r>
          </w:p>
        </w:tc>
        <w:tc>
          <w:tcPr>
            <w:tcW w:w="1559" w:type="dxa"/>
          </w:tcPr>
          <w:p w14:paraId="4AEB3D38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1.433 (&lt;0.001)</w:t>
            </w:r>
          </w:p>
        </w:tc>
      </w:tr>
      <w:tr w:rsidR="003B48D1" w14:paraId="365CAEE6" w14:textId="77777777" w:rsidTr="0079578B">
        <w:tc>
          <w:tcPr>
            <w:tcW w:w="2263" w:type="dxa"/>
          </w:tcPr>
          <w:p w14:paraId="1D47CA64" w14:textId="77777777" w:rsidR="003B48D1" w:rsidRDefault="003B48D1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560" w:type="dxa"/>
          </w:tcPr>
          <w:p w14:paraId="662C28F4" w14:textId="77777777" w:rsidR="003B48D1" w:rsidRDefault="00D53997" w:rsidP="00D5399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-0.136 (0.221)</w:t>
            </w:r>
          </w:p>
        </w:tc>
        <w:tc>
          <w:tcPr>
            <w:tcW w:w="1559" w:type="dxa"/>
          </w:tcPr>
          <w:p w14:paraId="472C158C" w14:textId="77777777" w:rsidR="003B48D1" w:rsidRDefault="00D53997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-0.060 (0.571)</w:t>
            </w:r>
          </w:p>
        </w:tc>
        <w:tc>
          <w:tcPr>
            <w:tcW w:w="1559" w:type="dxa"/>
          </w:tcPr>
          <w:p w14:paraId="01436DD6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-0.014 (0.833)</w:t>
            </w:r>
          </w:p>
        </w:tc>
        <w:tc>
          <w:tcPr>
            <w:tcW w:w="1559" w:type="dxa"/>
          </w:tcPr>
          <w:p w14:paraId="12D95348" w14:textId="77777777" w:rsidR="003B48D1" w:rsidRDefault="004D60CF" w:rsidP="0079578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-0.048 (0.445)</w:t>
            </w:r>
          </w:p>
        </w:tc>
      </w:tr>
    </w:tbl>
    <w:p w14:paraId="1CAE864F" w14:textId="77777777" w:rsidR="003B48D1" w:rsidRDefault="003B48D1" w:rsidP="00FF1DB1">
      <w:pPr>
        <w:ind w:firstLine="708"/>
        <w:jc w:val="both"/>
        <w:rPr>
          <w:rFonts w:ascii="Times New Roman" w:hAnsi="Times New Roman" w:cs="Times New Roman"/>
          <w:lang w:val="en-US"/>
        </w:rPr>
      </w:pPr>
    </w:p>
    <w:p w14:paraId="6E635146" w14:textId="77777777" w:rsidR="008C31CD" w:rsidRDefault="008C31CD" w:rsidP="008C31CD">
      <w:pPr>
        <w:pStyle w:val="Beschriftung"/>
        <w:keepNext/>
      </w:pPr>
    </w:p>
    <w:p w14:paraId="7331DCB1" w14:textId="273B283C" w:rsidR="0092120A" w:rsidRDefault="00556449" w:rsidP="0092120A">
      <w:pPr>
        <w:keepNext/>
        <w:jc w:val="both"/>
      </w:pPr>
      <w:r>
        <w:rPr>
          <w:rFonts w:ascii="Times New Roman" w:hAnsi="Times New Roman" w:cs="Times New Roman"/>
          <w:lang w:val="en-US"/>
        </w:rPr>
        <w:t>FIGURE CN</w:t>
      </w:r>
    </w:p>
    <w:p w14:paraId="5AEC72A7" w14:textId="77777777" w:rsidR="00922061" w:rsidRPr="0092120A" w:rsidRDefault="0092120A" w:rsidP="0092120A">
      <w:pPr>
        <w:pStyle w:val="Beschriftung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</w:pPr>
      <w:bookmarkStart w:id="4" w:name="_Ref100239059"/>
      <w:r w:rsidRPr="0092120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 xml:space="preserve">Fig. </w:t>
      </w:r>
      <w:r w:rsidRPr="0092120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begin"/>
      </w:r>
      <w:r w:rsidRPr="0092120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instrText xml:space="preserve"> SEQ Abbildung \* ARABIC </w:instrText>
      </w:r>
      <w:r w:rsidRPr="0092120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separate"/>
      </w:r>
      <w:r w:rsidRPr="0092120A">
        <w:rPr>
          <w:rFonts w:ascii="Times New Roman" w:hAnsi="Times New Roman" w:cs="Times New Roman"/>
          <w:b/>
          <w:i w:val="0"/>
          <w:noProof/>
          <w:color w:val="000000" w:themeColor="text1"/>
          <w:sz w:val="22"/>
          <w:szCs w:val="22"/>
          <w:lang w:val="en-US"/>
        </w:rPr>
        <w:t>1</w:t>
      </w:r>
      <w:r w:rsidRPr="0092120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fldChar w:fldCharType="end"/>
      </w:r>
      <w:bookmarkEnd w:id="4"/>
      <w:r w:rsidRPr="0092120A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  <w:lang w:val="en-US"/>
        </w:rPr>
        <w:t>. Cross-validated probability of cognitive impairment at Year 2 with a baseline diagnosis of CN by PET-BPAD.</w:t>
      </w:r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 xml:space="preserve"> PET-BPAD marginally (p = 0.05; a)) </w:t>
      </w:r>
      <w:proofErr w:type="gramStart"/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>to</w:t>
      </w:r>
      <w:proofErr w:type="gramEnd"/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 xml:space="preserve"> significantly (p &lt; 0.05; b)) predicted progression to cognitive impairment after two years. a) APOE-e4 carriership-predominant prediction </w:t>
      </w:r>
      <w:proofErr w:type="gramStart"/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>was observed</w:t>
      </w:r>
      <w:proofErr w:type="gramEnd"/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 xml:space="preserve"> in sample 1, given that all but one APOE-e4 carriers in this sample showed cognitive impairment at year 2. The PET-BPAD-derived decision boundary in sample 1 (50% probability of disease progression; dotted line) was 0.33 years. b) PET-BPAD-predominant prediction </w:t>
      </w:r>
      <w:proofErr w:type="gramStart"/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>was observed</w:t>
      </w:r>
      <w:proofErr w:type="gramEnd"/>
      <w:r w:rsidRPr="0092120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 xml:space="preserve"> in sample 2. The PET-BPAD-derived decision boundary in sample 2 was 0.44 years. </w:t>
      </w:r>
      <w:r w:rsidRPr="00EA53AA">
        <w:rPr>
          <w:rFonts w:ascii="Times New Roman" w:hAnsi="Times New Roman" w:cs="Times New Roman"/>
          <w:i w:val="0"/>
          <w:color w:val="000000" w:themeColor="text1"/>
          <w:sz w:val="22"/>
          <w:szCs w:val="22"/>
          <w:lang w:val="en-US"/>
        </w:rPr>
        <w:t>DX = diagnosis.</w:t>
      </w:r>
    </w:p>
    <w:p w14:paraId="3BF7505A" w14:textId="46EB667D" w:rsidR="00EA53AA" w:rsidRDefault="00EA53AA" w:rsidP="004D60CF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D46C99">
        <w:rPr>
          <w:rFonts w:ascii="Times New Roman" w:hAnsi="Times New Roman" w:cs="Times New Roman"/>
          <w:lang w:val="en-US"/>
        </w:rPr>
        <w:t>In the whole samples</w:t>
      </w:r>
      <w:r w:rsidRPr="00D46C99">
        <w:rPr>
          <w:rFonts w:ascii="Times New Roman" w:hAnsi="Times New Roman" w:cs="Times New Roman"/>
          <w:lang w:val="en-US"/>
        </w:rPr>
        <w:t xml:space="preserve"> of MCI</w:t>
      </w:r>
      <w:r w:rsidRPr="00D46C99">
        <w:rPr>
          <w:rFonts w:ascii="Times New Roman" w:hAnsi="Times New Roman" w:cs="Times New Roman"/>
          <w:lang w:val="en-US"/>
        </w:rPr>
        <w:t xml:space="preserve">, </w:t>
      </w:r>
      <w:r w:rsidR="004D60CF" w:rsidRPr="00D46C99">
        <w:rPr>
          <w:rFonts w:ascii="Times New Roman" w:hAnsi="Times New Roman" w:cs="Times New Roman"/>
          <w:lang w:val="en-US"/>
        </w:rPr>
        <w:t>476 individuals either maintained an MCI diagnosis until year two (“stables”; n = 362) or received a diagnosis of AD six months to two years after baseline (“decliners”; n = 114).</w:t>
      </w:r>
      <w:r w:rsidRPr="00D46C99">
        <w:rPr>
          <w:rFonts w:ascii="Times New Roman" w:hAnsi="Times New Roman" w:cs="Times New Roman"/>
          <w:lang w:val="en-US"/>
        </w:rPr>
        <w:t xml:space="preserve"> </w:t>
      </w:r>
      <w:r w:rsidR="003F57E2" w:rsidRPr="00D46C99">
        <w:rPr>
          <w:rFonts w:ascii="Times New Roman" w:hAnsi="Times New Roman" w:cs="Times New Roman"/>
          <w:lang w:val="en-US"/>
        </w:rPr>
        <w:t>Thus</w:t>
      </w:r>
      <w:r w:rsidR="003F57E2" w:rsidRPr="00D46C99">
        <w:rPr>
          <w:rFonts w:ascii="Times New Roman" w:hAnsi="Times New Roman" w:cs="Times New Roman"/>
          <w:lang w:val="en-US"/>
        </w:rPr>
        <w:t xml:space="preserve">, the two matched sub-samples included </w:t>
      </w:r>
      <w:r w:rsidR="004D60CF" w:rsidRPr="00D46C99">
        <w:rPr>
          <w:rFonts w:ascii="Times New Roman" w:hAnsi="Times New Roman" w:cs="Times New Roman"/>
          <w:lang w:val="en-US"/>
        </w:rPr>
        <w:t>228</w:t>
      </w:r>
      <w:r w:rsidR="003F57E2" w:rsidRPr="00D46C99">
        <w:rPr>
          <w:rFonts w:ascii="Times New Roman" w:hAnsi="Times New Roman" w:cs="Times New Roman"/>
          <w:lang w:val="en-US"/>
        </w:rPr>
        <w:t xml:space="preserve"> individuals </w:t>
      </w:r>
      <w:r w:rsidR="004D60CF" w:rsidRPr="00D46C99">
        <w:rPr>
          <w:rFonts w:ascii="Times New Roman" w:hAnsi="Times New Roman" w:cs="Times New Roman"/>
          <w:lang w:val="en-US"/>
        </w:rPr>
        <w:t xml:space="preserve">(114 </w:t>
      </w:r>
      <w:r w:rsidR="003F57E2" w:rsidRPr="00D46C99">
        <w:rPr>
          <w:rFonts w:ascii="Times New Roman" w:hAnsi="Times New Roman" w:cs="Times New Roman"/>
          <w:lang w:val="en-US"/>
        </w:rPr>
        <w:t xml:space="preserve">decliners and </w:t>
      </w:r>
      <w:r w:rsidR="004D60CF" w:rsidRPr="00D46C99">
        <w:rPr>
          <w:rFonts w:ascii="Times New Roman" w:hAnsi="Times New Roman" w:cs="Times New Roman"/>
          <w:lang w:val="en-US"/>
        </w:rPr>
        <w:t>114</w:t>
      </w:r>
      <w:r w:rsidR="003F57E2" w:rsidRPr="00D46C99">
        <w:rPr>
          <w:rFonts w:ascii="Times New Roman" w:hAnsi="Times New Roman" w:cs="Times New Roman"/>
          <w:lang w:val="en-US"/>
        </w:rPr>
        <w:t xml:space="preserve"> stables).</w:t>
      </w:r>
      <w:r w:rsidR="003F57E2" w:rsidRPr="00D46C99">
        <w:rPr>
          <w:rFonts w:ascii="Times New Roman" w:hAnsi="Times New Roman" w:cs="Times New Roman"/>
          <w:lang w:val="en-US"/>
        </w:rPr>
        <w:t xml:space="preserve"> </w:t>
      </w:r>
      <w:r w:rsidR="003F57E2" w:rsidRPr="00D46C99">
        <w:rPr>
          <w:rFonts w:ascii="Times New Roman" w:hAnsi="Times New Roman" w:cs="Times New Roman"/>
          <w:lang w:val="en-US"/>
        </w:rPr>
        <w:t xml:space="preserve">Across these two samples, PET- and MRI-BPAD </w:t>
      </w:r>
      <w:r w:rsidR="003F57E2" w:rsidRPr="00D46C99">
        <w:rPr>
          <w:rFonts w:ascii="Times New Roman" w:hAnsi="Times New Roman" w:cs="Times New Roman"/>
          <w:lang w:val="en-US"/>
        </w:rPr>
        <w:t>were moderately strongly correlated (r</w:t>
      </w:r>
      <w:r w:rsidR="003F57E2" w:rsidRPr="00D46C99">
        <w:rPr>
          <w:rFonts w:ascii="Times New Roman" w:hAnsi="Times New Roman" w:cs="Times New Roman"/>
          <w:lang w:val="en-US"/>
        </w:rPr>
        <w:softHyphen/>
      </w:r>
      <w:r w:rsidR="003F57E2" w:rsidRPr="00D46C99">
        <w:rPr>
          <w:rFonts w:ascii="Times New Roman" w:hAnsi="Times New Roman" w:cs="Times New Roman"/>
          <w:vertAlign w:val="subscript"/>
          <w:lang w:val="en-US"/>
        </w:rPr>
        <w:t>sample1</w:t>
      </w:r>
      <w:r w:rsidR="003F57E2" w:rsidRPr="00D46C99">
        <w:rPr>
          <w:rFonts w:ascii="Times New Roman" w:hAnsi="Times New Roman" w:cs="Times New Roman"/>
          <w:lang w:val="en-US"/>
        </w:rPr>
        <w:t xml:space="preserve"> = 0.4</w:t>
      </w:r>
      <w:r w:rsidR="004D60CF" w:rsidRPr="00D46C99">
        <w:rPr>
          <w:rFonts w:ascii="Times New Roman" w:hAnsi="Times New Roman" w:cs="Times New Roman"/>
          <w:lang w:val="en-US"/>
        </w:rPr>
        <w:t>06</w:t>
      </w:r>
      <w:r w:rsidR="003F57E2" w:rsidRPr="00D46C99">
        <w:rPr>
          <w:rFonts w:ascii="Times New Roman" w:hAnsi="Times New Roman" w:cs="Times New Roman"/>
          <w:lang w:val="en-US"/>
        </w:rPr>
        <w:t>; p</w:t>
      </w:r>
      <w:r w:rsidR="003F57E2" w:rsidRPr="00D46C99">
        <w:rPr>
          <w:rFonts w:ascii="Times New Roman" w:hAnsi="Times New Roman" w:cs="Times New Roman"/>
          <w:vertAlign w:val="subscript"/>
          <w:lang w:val="en-US"/>
        </w:rPr>
        <w:t>sample1</w:t>
      </w:r>
      <w:r w:rsidR="003F57E2" w:rsidRPr="00D46C99">
        <w:rPr>
          <w:rFonts w:ascii="Times New Roman" w:hAnsi="Times New Roman" w:cs="Times New Roman"/>
          <w:lang w:val="en-US"/>
        </w:rPr>
        <w:t xml:space="preserve"> &lt; 0.0001; r</w:t>
      </w:r>
      <w:r w:rsidR="003F57E2" w:rsidRPr="00D46C99">
        <w:rPr>
          <w:rFonts w:ascii="Times New Roman" w:hAnsi="Times New Roman" w:cs="Times New Roman"/>
          <w:vertAlign w:val="subscript"/>
          <w:lang w:val="en-US"/>
        </w:rPr>
        <w:t>sample2</w:t>
      </w:r>
      <w:r w:rsidR="004D60CF" w:rsidRPr="00D46C99">
        <w:rPr>
          <w:rFonts w:ascii="Times New Roman" w:hAnsi="Times New Roman" w:cs="Times New Roman"/>
          <w:lang w:val="en-US"/>
        </w:rPr>
        <w:t xml:space="preserve"> = 0.348</w:t>
      </w:r>
      <w:r w:rsidR="003F57E2" w:rsidRPr="00D46C99">
        <w:rPr>
          <w:rFonts w:ascii="Times New Roman" w:hAnsi="Times New Roman" w:cs="Times New Roman"/>
          <w:lang w:val="en-US"/>
        </w:rPr>
        <w:t>; p</w:t>
      </w:r>
      <w:r w:rsidR="003F57E2" w:rsidRPr="00D46C99">
        <w:rPr>
          <w:rFonts w:ascii="Times New Roman" w:hAnsi="Times New Roman" w:cs="Times New Roman"/>
          <w:vertAlign w:val="subscript"/>
          <w:lang w:val="en-US"/>
        </w:rPr>
        <w:t xml:space="preserve">sample2 </w:t>
      </w:r>
      <w:r w:rsidR="003F57E2" w:rsidRPr="00D46C99">
        <w:rPr>
          <w:rFonts w:ascii="Times New Roman" w:hAnsi="Times New Roman" w:cs="Times New Roman"/>
          <w:lang w:val="en-US"/>
        </w:rPr>
        <w:t>&lt; 0.0001). In both samples, higher MRI-BPAD very significantly predicted CD together with a positive amyloid status</w:t>
      </w:r>
      <w:r w:rsidR="004D60CF" w:rsidRPr="00D46C99">
        <w:rPr>
          <w:rFonts w:ascii="Times New Roman" w:hAnsi="Times New Roman" w:cs="Times New Roman"/>
          <w:lang w:val="en-US"/>
        </w:rPr>
        <w:t xml:space="preserve">, </w:t>
      </w:r>
      <w:r w:rsidR="003F57E2" w:rsidRPr="00D46C99">
        <w:rPr>
          <w:rFonts w:ascii="Times New Roman" w:hAnsi="Times New Roman" w:cs="Times New Roman"/>
          <w:lang w:val="en-US"/>
        </w:rPr>
        <w:t>APOE-e4 carriership</w:t>
      </w:r>
      <w:r w:rsidR="004D60CF" w:rsidRPr="00D46C99">
        <w:rPr>
          <w:rFonts w:ascii="Times New Roman" w:hAnsi="Times New Roman" w:cs="Times New Roman"/>
          <w:lang w:val="en-US"/>
        </w:rPr>
        <w:t>, as well as higher PET-BPAD, although the latter was only marginally significant in one of the samples</w:t>
      </w:r>
      <w:r w:rsidR="003F57E2" w:rsidRPr="00D46C99">
        <w:rPr>
          <w:rFonts w:ascii="Times New Roman" w:hAnsi="Times New Roman" w:cs="Times New Roman"/>
          <w:lang w:val="en-US"/>
        </w:rPr>
        <w:t xml:space="preserve">. Notably, MRI-BPAD showed considerably higher significance compared to other risk factors (see </w:t>
      </w:r>
      <w:r w:rsidR="003F57E2" w:rsidRPr="00D46C99">
        <w:rPr>
          <w:rFonts w:ascii="Times New Roman" w:hAnsi="Times New Roman" w:cs="Times New Roman"/>
          <w:lang w:val="en-US"/>
        </w:rPr>
        <w:fldChar w:fldCharType="begin"/>
      </w:r>
      <w:r w:rsidR="003F57E2" w:rsidRPr="00D46C99">
        <w:rPr>
          <w:rFonts w:ascii="Times New Roman" w:hAnsi="Times New Roman" w:cs="Times New Roman"/>
          <w:lang w:val="en-US"/>
        </w:rPr>
        <w:instrText xml:space="preserve"> REF _Ref100237495 \h </w:instrText>
      </w:r>
      <w:r w:rsidR="003F57E2" w:rsidRPr="00D46C99">
        <w:rPr>
          <w:rFonts w:ascii="Times New Roman" w:hAnsi="Times New Roman" w:cs="Times New Roman"/>
          <w:lang w:val="en-US"/>
        </w:rPr>
      </w:r>
      <w:r w:rsidR="00D46C99">
        <w:rPr>
          <w:rFonts w:ascii="Times New Roman" w:hAnsi="Times New Roman" w:cs="Times New Roman"/>
          <w:lang w:val="en-US"/>
        </w:rPr>
        <w:instrText xml:space="preserve"> \* MERGEFORMAT </w:instrText>
      </w:r>
      <w:r w:rsidR="003F57E2" w:rsidRPr="00D46C99">
        <w:rPr>
          <w:rFonts w:ascii="Times New Roman" w:hAnsi="Times New Roman" w:cs="Times New Roman"/>
          <w:lang w:val="en-US"/>
        </w:rPr>
        <w:fldChar w:fldCharType="separate"/>
      </w:r>
      <w:r w:rsidR="003F57E2" w:rsidRPr="00D46C99">
        <w:rPr>
          <w:rFonts w:ascii="Times New Roman" w:hAnsi="Times New Roman" w:cs="Times New Roman"/>
          <w:lang w:val="en-US"/>
        </w:rPr>
        <w:t xml:space="preserve">Table </w:t>
      </w:r>
      <w:r w:rsidR="003F57E2" w:rsidRPr="00D46C99">
        <w:rPr>
          <w:rFonts w:ascii="Times New Roman" w:hAnsi="Times New Roman" w:cs="Times New Roman"/>
          <w:noProof/>
          <w:lang w:val="en-US"/>
        </w:rPr>
        <w:t>3</w:t>
      </w:r>
      <w:r w:rsidR="003F57E2" w:rsidRPr="00D46C99">
        <w:rPr>
          <w:rFonts w:ascii="Times New Roman" w:hAnsi="Times New Roman" w:cs="Times New Roman"/>
          <w:lang w:val="en-US"/>
        </w:rPr>
        <w:fldChar w:fldCharType="end"/>
      </w:r>
      <w:r w:rsidR="003F57E2" w:rsidRPr="00D46C99">
        <w:rPr>
          <w:rFonts w:ascii="Times New Roman" w:hAnsi="Times New Roman" w:cs="Times New Roman"/>
          <w:lang w:val="en-US"/>
        </w:rPr>
        <w:t>)</w:t>
      </w:r>
      <w:r w:rsidR="00D46C99" w:rsidRPr="00D46C99">
        <w:rPr>
          <w:rFonts w:ascii="Times New Roman" w:hAnsi="Times New Roman" w:cs="Times New Roman"/>
          <w:lang w:val="en-US"/>
        </w:rPr>
        <w:t xml:space="preserve">; the odds of CD </w:t>
      </w:r>
      <w:proofErr w:type="gramStart"/>
      <w:r w:rsidR="00D46C99" w:rsidRPr="00D46C99">
        <w:rPr>
          <w:rFonts w:ascii="Times New Roman" w:hAnsi="Times New Roman" w:cs="Times New Roman"/>
          <w:lang w:val="en-US"/>
        </w:rPr>
        <w:t>were increased</w:t>
      </w:r>
      <w:proofErr w:type="gramEnd"/>
      <w:r w:rsidR="00D46C99" w:rsidRPr="00D46C99">
        <w:rPr>
          <w:rFonts w:ascii="Times New Roman" w:hAnsi="Times New Roman" w:cs="Times New Roman"/>
          <w:lang w:val="en-US"/>
        </w:rPr>
        <w:t xml:space="preserve"> by 42% per one year MRI-BPAD for individuals with MCI</w:t>
      </w:r>
      <w:r w:rsidR="00D46C99">
        <w:rPr>
          <w:rFonts w:ascii="Times New Roman" w:hAnsi="Times New Roman" w:cs="Times New Roman"/>
          <w:lang w:val="en-US"/>
        </w:rPr>
        <w:t xml:space="preserve">. </w:t>
      </w:r>
      <w:r w:rsidR="001D5BA0">
        <w:rPr>
          <w:rFonts w:ascii="Times New Roman" w:hAnsi="Times New Roman" w:cs="Times New Roman"/>
          <w:lang w:val="en-US"/>
        </w:rPr>
        <w:t xml:space="preserve">Odds ratios and confidence intervals of both samples </w:t>
      </w:r>
      <w:proofErr w:type="gramStart"/>
      <w:r w:rsidR="001D5BA0">
        <w:rPr>
          <w:rFonts w:ascii="Times New Roman" w:hAnsi="Times New Roman" w:cs="Times New Roman"/>
          <w:lang w:val="en-US"/>
        </w:rPr>
        <w:t>are presented</w:t>
      </w:r>
      <w:proofErr w:type="gramEnd"/>
      <w:r w:rsidR="001D5BA0">
        <w:rPr>
          <w:rFonts w:ascii="Times New Roman" w:hAnsi="Times New Roman" w:cs="Times New Roman"/>
          <w:lang w:val="en-US"/>
        </w:rPr>
        <w:t xml:space="preserve"> in Figure XX.</w:t>
      </w:r>
      <w:r w:rsidR="000927CE">
        <w:rPr>
          <w:rFonts w:ascii="Times New Roman" w:hAnsi="Times New Roman" w:cs="Times New Roman"/>
          <w:lang w:val="en-US"/>
        </w:rPr>
        <w:t xml:space="preserve"> Based on these two samples, a clinica</w:t>
      </w:r>
      <w:r w:rsidR="00D956C1">
        <w:rPr>
          <w:rFonts w:ascii="Times New Roman" w:hAnsi="Times New Roman" w:cs="Times New Roman"/>
          <w:lang w:val="en-US"/>
        </w:rPr>
        <w:t>lly relevant MRI-BPAD threshold, where 50% probability of disease progression is reached lie</w:t>
      </w:r>
      <w:r w:rsidR="000927CE">
        <w:rPr>
          <w:rFonts w:ascii="Times New Roman" w:hAnsi="Times New Roman" w:cs="Times New Roman"/>
          <w:lang w:val="en-US"/>
        </w:rPr>
        <w:t>s between 2.1 (sample 1) and 2.2 years</w:t>
      </w:r>
      <w:r w:rsidR="00D956C1">
        <w:rPr>
          <w:rFonts w:ascii="Times New Roman" w:hAnsi="Times New Roman" w:cs="Times New Roman"/>
          <w:lang w:val="en-US"/>
        </w:rPr>
        <w:t xml:space="preserve"> (sample </w:t>
      </w:r>
      <w:proofErr w:type="gramStart"/>
      <w:r w:rsidR="00D956C1">
        <w:rPr>
          <w:rFonts w:ascii="Times New Roman" w:hAnsi="Times New Roman" w:cs="Times New Roman"/>
          <w:lang w:val="en-US"/>
        </w:rPr>
        <w:t>2</w:t>
      </w:r>
      <w:proofErr w:type="gramEnd"/>
      <w:r w:rsidR="00556449">
        <w:rPr>
          <w:rFonts w:ascii="Times New Roman" w:hAnsi="Times New Roman" w:cs="Times New Roman"/>
          <w:lang w:val="en-US"/>
        </w:rPr>
        <w:t>, see Figure XX</w:t>
      </w:r>
      <w:r w:rsidR="00D956C1">
        <w:rPr>
          <w:rFonts w:ascii="Times New Roman" w:hAnsi="Times New Roman" w:cs="Times New Roman"/>
          <w:lang w:val="en-US"/>
        </w:rPr>
        <w:t>)</w:t>
      </w:r>
      <w:r w:rsidR="000927CE">
        <w:rPr>
          <w:rFonts w:ascii="Times New Roman" w:hAnsi="Times New Roman" w:cs="Times New Roman"/>
          <w:lang w:val="en-US"/>
        </w:rPr>
        <w:t>.</w:t>
      </w:r>
    </w:p>
    <w:p w14:paraId="4FC7AD24" w14:textId="729AB58E" w:rsidR="00556449" w:rsidRPr="00556449" w:rsidRDefault="00556449" w:rsidP="00556449">
      <w:pPr>
        <w:keepNext/>
        <w:jc w:val="both"/>
      </w:pPr>
      <w:r>
        <w:rPr>
          <w:rFonts w:ascii="Times New Roman" w:hAnsi="Times New Roman" w:cs="Times New Roman"/>
          <w:lang w:val="en-US"/>
        </w:rPr>
        <w:lastRenderedPageBreak/>
        <w:t>FIGURE MCI</w:t>
      </w:r>
    </w:p>
    <w:p w14:paraId="19D264D0" w14:textId="77777777" w:rsidR="001D5BA0" w:rsidRDefault="001D5BA0" w:rsidP="004D60CF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106F3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pt;height:255pt">
            <v:imagedata r:id="rId8" o:title="MCI_MRI_CONV_both_odds"/>
          </v:shape>
        </w:pict>
      </w:r>
    </w:p>
    <w:p w14:paraId="37724A6B" w14:textId="1D37814F" w:rsidR="00D46C99" w:rsidRDefault="00D46C99" w:rsidP="004D60CF">
      <w:pPr>
        <w:ind w:firstLine="708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Due to the correlation between PET- and MRI-BPAD, we additionally assessed logistic regression models with unimodal BPAD. XX</w:t>
      </w:r>
      <w:r w:rsidR="00E20A63">
        <w:rPr>
          <w:rFonts w:ascii="Times New Roman" w:hAnsi="Times New Roman" w:cs="Times New Roman"/>
          <w:lang w:val="en-US"/>
        </w:rPr>
        <w:t xml:space="preserve"> REFERENCE IN CODE XX</w:t>
      </w:r>
      <w:bookmarkStart w:id="5" w:name="_GoBack"/>
      <w:bookmarkEnd w:id="5"/>
    </w:p>
    <w:p w14:paraId="369DAFF5" w14:textId="77777777" w:rsidR="00575177" w:rsidRDefault="00575177" w:rsidP="000D775B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ellenraster"/>
        <w:tblpPr w:leftFromText="180" w:rightFromText="180" w:vertAnchor="text" w:horzAnchor="margin" w:tblpY="932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559"/>
        <w:gridCol w:w="1559"/>
        <w:gridCol w:w="1559"/>
      </w:tblGrid>
      <w:tr w:rsidR="004D60CF" w:rsidRPr="00EB3526" w14:paraId="3187CA0F" w14:textId="77777777" w:rsidTr="004D60CF">
        <w:tc>
          <w:tcPr>
            <w:tcW w:w="8500" w:type="dxa"/>
            <w:gridSpan w:val="5"/>
          </w:tcPr>
          <w:p w14:paraId="5A740F9C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bookmarkStart w:id="6" w:name="_Ref100237477"/>
            <w:r w:rsidRPr="003B48D1">
              <w:rPr>
                <w:rFonts w:ascii="Times New Roman" w:hAnsi="Times New Roman" w:cs="Times New Roman"/>
                <w:lang w:val="en-US"/>
              </w:rPr>
              <w:t>OLD</w:t>
            </w:r>
            <w:r w:rsidRPr="008C31CD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P-values of logistic regression for prediction of cognitive decline.</w:t>
            </w:r>
            <w:bookmarkEnd w:id="6"/>
            <w:r>
              <w:rPr>
                <w:rFonts w:ascii="Times New Roman" w:hAnsi="Times New Roman" w:cs="Times New Roman"/>
                <w:lang w:val="en-US"/>
              </w:rPr>
              <w:t xml:space="preserve"> OLD</w:t>
            </w:r>
          </w:p>
        </w:tc>
      </w:tr>
      <w:tr w:rsidR="004D60CF" w14:paraId="3E29333C" w14:textId="77777777" w:rsidTr="004D60CF">
        <w:tc>
          <w:tcPr>
            <w:tcW w:w="2263" w:type="dxa"/>
          </w:tcPr>
          <w:p w14:paraId="415F7AFD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06FE1813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</w:t>
            </w:r>
          </w:p>
        </w:tc>
        <w:tc>
          <w:tcPr>
            <w:tcW w:w="3118" w:type="dxa"/>
            <w:gridSpan w:val="2"/>
          </w:tcPr>
          <w:p w14:paraId="5CEE5469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MCI</w:t>
            </w:r>
          </w:p>
        </w:tc>
      </w:tr>
      <w:tr w:rsidR="004D60CF" w14:paraId="6776AFCC" w14:textId="77777777" w:rsidTr="004D60CF">
        <w:tc>
          <w:tcPr>
            <w:tcW w:w="2263" w:type="dxa"/>
          </w:tcPr>
          <w:p w14:paraId="4D9F5EA3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</w:tcPr>
          <w:p w14:paraId="75FE64E2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1</w:t>
            </w:r>
          </w:p>
        </w:tc>
        <w:tc>
          <w:tcPr>
            <w:tcW w:w="1559" w:type="dxa"/>
          </w:tcPr>
          <w:p w14:paraId="3B7131DB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2</w:t>
            </w:r>
          </w:p>
        </w:tc>
        <w:tc>
          <w:tcPr>
            <w:tcW w:w="1559" w:type="dxa"/>
          </w:tcPr>
          <w:p w14:paraId="00926CDD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1</w:t>
            </w:r>
          </w:p>
        </w:tc>
        <w:tc>
          <w:tcPr>
            <w:tcW w:w="1559" w:type="dxa"/>
          </w:tcPr>
          <w:p w14:paraId="0C6706A5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Sample 2</w:t>
            </w:r>
          </w:p>
        </w:tc>
      </w:tr>
      <w:tr w:rsidR="004D60CF" w14:paraId="53530229" w14:textId="77777777" w:rsidTr="004D60CF">
        <w:tc>
          <w:tcPr>
            <w:tcW w:w="2263" w:type="dxa"/>
          </w:tcPr>
          <w:p w14:paraId="4F4311DE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PET-BPAD [Years]</w:t>
            </w:r>
          </w:p>
        </w:tc>
        <w:tc>
          <w:tcPr>
            <w:tcW w:w="1560" w:type="dxa"/>
          </w:tcPr>
          <w:p w14:paraId="5B115141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0.05</w:t>
            </w:r>
          </w:p>
        </w:tc>
        <w:tc>
          <w:tcPr>
            <w:tcW w:w="1559" w:type="dxa"/>
          </w:tcPr>
          <w:p w14:paraId="42672220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559" w:type="dxa"/>
          </w:tcPr>
          <w:p w14:paraId="0994F49A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0.157</w:t>
            </w:r>
          </w:p>
        </w:tc>
        <w:tc>
          <w:tcPr>
            <w:tcW w:w="1559" w:type="dxa"/>
          </w:tcPr>
          <w:p w14:paraId="32787CA8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0.002</w:t>
            </w:r>
          </w:p>
        </w:tc>
      </w:tr>
      <w:tr w:rsidR="004D60CF" w14:paraId="0755F758" w14:textId="77777777" w:rsidTr="004D60CF">
        <w:tc>
          <w:tcPr>
            <w:tcW w:w="2263" w:type="dxa"/>
          </w:tcPr>
          <w:p w14:paraId="3286C386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MRI-BPAD [Years]</w:t>
            </w:r>
          </w:p>
        </w:tc>
        <w:tc>
          <w:tcPr>
            <w:tcW w:w="1560" w:type="dxa"/>
          </w:tcPr>
          <w:p w14:paraId="7707C358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0.80</w:t>
            </w:r>
          </w:p>
        </w:tc>
        <w:tc>
          <w:tcPr>
            <w:tcW w:w="1559" w:type="dxa"/>
          </w:tcPr>
          <w:p w14:paraId="7FDDF4BC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0.88</w:t>
            </w:r>
          </w:p>
        </w:tc>
        <w:tc>
          <w:tcPr>
            <w:tcW w:w="1559" w:type="dxa"/>
          </w:tcPr>
          <w:p w14:paraId="0102D48D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&lt;0.0001</w:t>
            </w:r>
          </w:p>
        </w:tc>
        <w:tc>
          <w:tcPr>
            <w:tcW w:w="1559" w:type="dxa"/>
          </w:tcPr>
          <w:p w14:paraId="64A0C943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0.0001</w:t>
            </w:r>
          </w:p>
        </w:tc>
      </w:tr>
      <w:tr w:rsidR="004D60CF" w14:paraId="2102079E" w14:textId="77777777" w:rsidTr="004D60CF">
        <w:tc>
          <w:tcPr>
            <w:tcW w:w="2263" w:type="dxa"/>
          </w:tcPr>
          <w:p w14:paraId="07FEAE68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Helvetica" w:hAnsi="Helvetica" w:cs="Times New Roman"/>
                <w:lang w:val="en-US"/>
              </w:rPr>
              <w:t>β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</w:tcPr>
          <w:p w14:paraId="5075918A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0.88</w:t>
            </w:r>
          </w:p>
        </w:tc>
        <w:tc>
          <w:tcPr>
            <w:tcW w:w="1559" w:type="dxa"/>
          </w:tcPr>
          <w:p w14:paraId="495D3918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559" w:type="dxa"/>
          </w:tcPr>
          <w:p w14:paraId="18641F05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0.006</w:t>
            </w:r>
          </w:p>
        </w:tc>
        <w:tc>
          <w:tcPr>
            <w:tcW w:w="1559" w:type="dxa"/>
          </w:tcPr>
          <w:p w14:paraId="5406B95D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0.011</w:t>
            </w:r>
          </w:p>
        </w:tc>
      </w:tr>
      <w:tr w:rsidR="004D60CF" w14:paraId="7EC3D846" w14:textId="77777777" w:rsidTr="004D60CF">
        <w:tc>
          <w:tcPr>
            <w:tcW w:w="2263" w:type="dxa"/>
          </w:tcPr>
          <w:p w14:paraId="65EB0247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APOE-</w:t>
            </w:r>
            <w:r>
              <w:rPr>
                <w:rFonts w:ascii="Helvetica" w:hAnsi="Helvetica" w:cs="Times New Roman"/>
                <w:lang w:val="en-US"/>
              </w:rPr>
              <w:t>ε</w:t>
            </w:r>
            <w:r>
              <w:rPr>
                <w:rFonts w:ascii="Times New Roman" w:hAnsi="Times New Roman" w:cs="Times New Roman"/>
                <w:lang w:val="en-US"/>
              </w:rPr>
              <w:t>4+</w:t>
            </w:r>
          </w:p>
        </w:tc>
        <w:tc>
          <w:tcPr>
            <w:tcW w:w="1560" w:type="dxa"/>
          </w:tcPr>
          <w:p w14:paraId="03C33B62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559" w:type="dxa"/>
          </w:tcPr>
          <w:p w14:paraId="73C9CD0E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0.36</w:t>
            </w:r>
          </w:p>
        </w:tc>
        <w:tc>
          <w:tcPr>
            <w:tcW w:w="1559" w:type="dxa"/>
          </w:tcPr>
          <w:p w14:paraId="1FCC839B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0.062</w:t>
            </w:r>
          </w:p>
        </w:tc>
        <w:tc>
          <w:tcPr>
            <w:tcW w:w="1559" w:type="dxa"/>
          </w:tcPr>
          <w:p w14:paraId="03E18BFB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0.019</w:t>
            </w:r>
          </w:p>
        </w:tc>
      </w:tr>
      <w:tr w:rsidR="004D60CF" w14:paraId="056BC909" w14:textId="77777777" w:rsidTr="004D60CF">
        <w:tc>
          <w:tcPr>
            <w:tcW w:w="2263" w:type="dxa"/>
          </w:tcPr>
          <w:p w14:paraId="3A4CE932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Education [Years]</w:t>
            </w:r>
          </w:p>
        </w:tc>
        <w:tc>
          <w:tcPr>
            <w:tcW w:w="1560" w:type="dxa"/>
          </w:tcPr>
          <w:p w14:paraId="339AEF11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0.73</w:t>
            </w:r>
          </w:p>
        </w:tc>
        <w:tc>
          <w:tcPr>
            <w:tcW w:w="1559" w:type="dxa"/>
          </w:tcPr>
          <w:p w14:paraId="59D23917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0.51</w:t>
            </w:r>
          </w:p>
        </w:tc>
        <w:tc>
          <w:tcPr>
            <w:tcW w:w="1559" w:type="dxa"/>
          </w:tcPr>
          <w:p w14:paraId="70E4FFFE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0.817</w:t>
            </w:r>
          </w:p>
        </w:tc>
        <w:tc>
          <w:tcPr>
            <w:tcW w:w="1559" w:type="dxa"/>
          </w:tcPr>
          <w:p w14:paraId="1C3DAEE8" w14:textId="77777777" w:rsidR="004D60CF" w:rsidRDefault="004D60CF" w:rsidP="004D60C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0.238</w:t>
            </w:r>
          </w:p>
        </w:tc>
      </w:tr>
    </w:tbl>
    <w:p w14:paraId="130C0E14" w14:textId="77777777" w:rsidR="00575177" w:rsidRPr="00481A9A" w:rsidRDefault="00575177" w:rsidP="000D775B">
      <w:pPr>
        <w:jc w:val="both"/>
        <w:rPr>
          <w:rFonts w:ascii="Times New Roman" w:hAnsi="Times New Roman" w:cs="Times New Roman"/>
          <w:lang w:val="en-US"/>
        </w:rPr>
      </w:pPr>
    </w:p>
    <w:sectPr w:rsidR="00575177" w:rsidRPr="00481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Elena Doering" w:date="2022-04-07T22:07:00Z" w:initials="ED">
    <w:p w14:paraId="7BD2069F" w14:textId="77777777" w:rsidR="004D60CF" w:rsidRDefault="004D60CF">
      <w:pPr>
        <w:pStyle w:val="Kommentartext"/>
      </w:pPr>
      <w:r>
        <w:rPr>
          <w:rStyle w:val="Kommentarzeichen"/>
        </w:rPr>
        <w:annotationRef/>
      </w:r>
      <w:proofErr w:type="spellStart"/>
      <w:r>
        <w:t>Discuss</w:t>
      </w:r>
      <w:proofErr w:type="spellEnd"/>
      <w:r>
        <w:t>!</w:t>
      </w:r>
    </w:p>
  </w:comment>
  <w:comment w:id="3" w:author="Elena Doering" w:date="2022-04-07T22:08:00Z" w:initials="ED">
    <w:p w14:paraId="4354FFA4" w14:textId="77777777" w:rsidR="004D60CF" w:rsidRPr="004D60CF" w:rsidRDefault="004D60C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D60CF">
        <w:rPr>
          <w:lang w:val="en-US"/>
        </w:rPr>
        <w:t>Due to coding of missing values</w:t>
      </w:r>
      <w:r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D2069F" w15:done="0"/>
  <w15:commentEx w15:paraId="4354FFA4" w15:paraIdParent="7BD2069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ena Doering">
    <w15:presenceInfo w15:providerId="AD" w15:userId="S-1-5-21-2309000503-369074700-3897819681-224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5B"/>
    <w:rsid w:val="000927CE"/>
    <w:rsid w:val="000D775B"/>
    <w:rsid w:val="00181F78"/>
    <w:rsid w:val="001D5BA0"/>
    <w:rsid w:val="002036A4"/>
    <w:rsid w:val="0020748D"/>
    <w:rsid w:val="00240453"/>
    <w:rsid w:val="00246E96"/>
    <w:rsid w:val="00252D69"/>
    <w:rsid w:val="002844A7"/>
    <w:rsid w:val="003019BE"/>
    <w:rsid w:val="003B48D1"/>
    <w:rsid w:val="003F57E2"/>
    <w:rsid w:val="004555CD"/>
    <w:rsid w:val="00481A9A"/>
    <w:rsid w:val="004D344C"/>
    <w:rsid w:val="004D60CF"/>
    <w:rsid w:val="00556449"/>
    <w:rsid w:val="00575177"/>
    <w:rsid w:val="0061565F"/>
    <w:rsid w:val="006A68C0"/>
    <w:rsid w:val="00706DAC"/>
    <w:rsid w:val="007107EA"/>
    <w:rsid w:val="00714E39"/>
    <w:rsid w:val="008655C1"/>
    <w:rsid w:val="00871ECA"/>
    <w:rsid w:val="008C31CD"/>
    <w:rsid w:val="0092120A"/>
    <w:rsid w:val="00922061"/>
    <w:rsid w:val="00A56238"/>
    <w:rsid w:val="00AA1A5F"/>
    <w:rsid w:val="00AD3E59"/>
    <w:rsid w:val="00AE49F0"/>
    <w:rsid w:val="00B14508"/>
    <w:rsid w:val="00B43969"/>
    <w:rsid w:val="00B863A4"/>
    <w:rsid w:val="00C217DE"/>
    <w:rsid w:val="00C46FE8"/>
    <w:rsid w:val="00C50D6C"/>
    <w:rsid w:val="00C56B49"/>
    <w:rsid w:val="00CC4831"/>
    <w:rsid w:val="00CE1583"/>
    <w:rsid w:val="00D46C99"/>
    <w:rsid w:val="00D46EA5"/>
    <w:rsid w:val="00D53997"/>
    <w:rsid w:val="00D5634D"/>
    <w:rsid w:val="00D956C1"/>
    <w:rsid w:val="00E20A63"/>
    <w:rsid w:val="00EA53AA"/>
    <w:rsid w:val="00EB3526"/>
    <w:rsid w:val="00F0419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1092"/>
  <w15:chartTrackingRefBased/>
  <w15:docId w15:val="{64BCA051-CFAE-42D1-851D-8B7FF5AB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D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6A68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C46FE8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92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4D60C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0C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0C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0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0C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www.nature.com/articles/s43587-022-00180-5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7C0-31C6-4A5C-BC69-4555A559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Köln (AöR)</Company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Doering</dc:creator>
  <cp:keywords/>
  <dc:description/>
  <cp:lastModifiedBy>Elena Doering</cp:lastModifiedBy>
  <cp:revision>19</cp:revision>
  <dcterms:created xsi:type="dcterms:W3CDTF">2022-03-25T09:33:00Z</dcterms:created>
  <dcterms:modified xsi:type="dcterms:W3CDTF">2022-04-07T20:46:00Z</dcterms:modified>
</cp:coreProperties>
</file>