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13A205A" w:rsidR="002A03C1" w:rsidRPr="001E2A19" w:rsidRDefault="002A03C1" w:rsidP="002F1EF8">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 xml:space="preserve">We would like to thank the reviewers for their valuable input and overall appreciation of our work. We have revised the manuscript </w:t>
      </w:r>
      <w:r w:rsidR="002F1EF8">
        <w:rPr>
          <w:rFonts w:ascii="Arial" w:hAnsi="Arial" w:cs="Arial"/>
          <w:color w:val="000000" w:themeColor="text1"/>
          <w:szCs w:val="24"/>
          <w:lang w:val="en-GB"/>
        </w:rPr>
        <w:t xml:space="preserve">thoroughly. The main changes include: 1) training </w:t>
      </w:r>
      <w:proofErr w:type="gramStart"/>
      <w:r w:rsidR="002F1EF8">
        <w:rPr>
          <w:rFonts w:ascii="Arial" w:hAnsi="Arial" w:cs="Arial"/>
          <w:color w:val="000000" w:themeColor="text1"/>
          <w:szCs w:val="24"/>
          <w:lang w:val="en-GB"/>
        </w:rPr>
        <w:t>was now done</w:t>
      </w:r>
      <w:proofErr w:type="gramEnd"/>
      <w:r w:rsidR="002F1EF8">
        <w:rPr>
          <w:rFonts w:ascii="Arial" w:hAnsi="Arial" w:cs="Arial"/>
          <w:color w:val="000000" w:themeColor="text1"/>
          <w:szCs w:val="24"/>
          <w:lang w:val="en-GB"/>
        </w:rPr>
        <w:t xml:space="preserve"> only on individuals who were cognitively normal, i.e., who had no subjective or clinical indication of cognitive impairment. 2) The focus on our manuscript </w:t>
      </w:r>
      <w:proofErr w:type="gramStart"/>
      <w:r w:rsidR="002F1EF8">
        <w:rPr>
          <w:rFonts w:ascii="Arial" w:hAnsi="Arial" w:cs="Arial"/>
          <w:color w:val="000000" w:themeColor="text1"/>
          <w:szCs w:val="24"/>
          <w:lang w:val="en-GB"/>
        </w:rPr>
        <w:t>was shifted</w:t>
      </w:r>
      <w:proofErr w:type="gramEnd"/>
      <w:r w:rsidR="002F1EF8">
        <w:rPr>
          <w:rFonts w:ascii="Arial" w:hAnsi="Arial" w:cs="Arial"/>
          <w:color w:val="000000" w:themeColor="text1"/>
          <w:szCs w:val="24"/>
          <w:lang w:val="en-GB"/>
        </w:rPr>
        <w:t xml:space="preserve"> more towards describing the cognitive, pathological and prognostic profiles of MRI- or FDG-PET-derived brain age, rather than recommending these brain ages for prognostic purposes, as is reflected in the new title. 3) Accordingly, the logistic regression part of our analyses </w:t>
      </w:r>
      <w:proofErr w:type="gramStart"/>
      <w:r w:rsidR="002F1EF8">
        <w:rPr>
          <w:rFonts w:ascii="Arial" w:hAnsi="Arial" w:cs="Arial"/>
          <w:color w:val="000000" w:themeColor="text1"/>
          <w:szCs w:val="24"/>
          <w:lang w:val="en-GB"/>
        </w:rPr>
        <w:t>was extensively edited</w:t>
      </w:r>
      <w:proofErr w:type="gramEnd"/>
      <w:r w:rsidR="002F1EF8">
        <w:rPr>
          <w:rFonts w:ascii="Arial" w:hAnsi="Arial" w:cs="Arial"/>
          <w:color w:val="000000" w:themeColor="text1"/>
          <w:szCs w:val="24"/>
          <w:lang w:val="en-GB"/>
        </w:rPr>
        <w:t xml:space="preserve"> to put brain age measures into a comparative context with other Alzheimer’s disease biomarkers. </w:t>
      </w:r>
      <w:r w:rsidRPr="001E2A19">
        <w:rPr>
          <w:rFonts w:ascii="Arial" w:hAnsi="Arial" w:cs="Arial"/>
          <w:color w:val="000000" w:themeColor="text1"/>
          <w:szCs w:val="24"/>
          <w:lang w:val="en-GB"/>
        </w:rPr>
        <w:t>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D46062F" w14:textId="62EB603B" w:rsidR="002F1EF8"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2F1EF8">
        <w:rPr>
          <w:rFonts w:ascii="Arial" w:eastAsia="Times New Roman" w:hAnsi="Arial" w:cs="Arial"/>
          <w:color w:val="000000" w:themeColor="text1"/>
          <w:szCs w:val="24"/>
          <w:lang w:val="en-US"/>
        </w:rPr>
        <w:t xml:space="preserve">In the previous version of the manuscript, we used matching to control for the effects of age and sex. Instead, in the new version of the manuscript, we used the whole cohorts of decliners and stables, but we computed standardized residuals of predictor variables to correct them for not only age and sex, but also years of education and APOE-e4 carriership, as was done in the prior correlation analyses. This </w:t>
      </w:r>
      <w:proofErr w:type="gramStart"/>
      <w:r w:rsidR="002F1EF8">
        <w:rPr>
          <w:rFonts w:ascii="Arial" w:eastAsia="Times New Roman" w:hAnsi="Arial" w:cs="Arial"/>
          <w:color w:val="000000" w:themeColor="text1"/>
          <w:szCs w:val="24"/>
          <w:lang w:val="en-US"/>
        </w:rPr>
        <w:t>is described</w:t>
      </w:r>
      <w:proofErr w:type="gramEnd"/>
      <w:r w:rsidR="002F1EF8">
        <w:rPr>
          <w:rFonts w:ascii="Arial" w:eastAsia="Times New Roman" w:hAnsi="Arial" w:cs="Arial"/>
          <w:color w:val="000000" w:themeColor="text1"/>
          <w:szCs w:val="24"/>
          <w:lang w:val="en-US"/>
        </w:rPr>
        <w:t xml:space="preserve"> on p. 7.</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7F431F25"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w:t>
      </w:r>
      <w:r w:rsidR="002F1EF8">
        <w:rPr>
          <w:rFonts w:ascii="Arial" w:eastAsia="Times New Roman" w:hAnsi="Arial" w:cs="Arial"/>
          <w:color w:val="000000" w:themeColor="text1"/>
          <w:szCs w:val="24"/>
          <w:lang w:val="en-US"/>
        </w:rPr>
        <w:t>p</w:t>
      </w:r>
      <w:r w:rsidR="00941014">
        <w:rPr>
          <w:rFonts w:ascii="Arial" w:eastAsia="Times New Roman" w:hAnsi="Arial" w:cs="Arial"/>
          <w:color w:val="000000" w:themeColor="text1"/>
          <w:szCs w:val="24"/>
          <w:lang w:val="en-US"/>
        </w:rPr>
        <w:t xml:space="preserve">. </w:t>
      </w:r>
      <w:r w:rsidR="002F1EF8">
        <w:rPr>
          <w:rFonts w:ascii="Arial" w:eastAsia="Times New Roman" w:hAnsi="Arial" w:cs="Arial"/>
          <w:color w:val="000000" w:themeColor="text1"/>
          <w:szCs w:val="24"/>
          <w:lang w:val="en-US"/>
        </w:rPr>
        <w:t>6-</w:t>
      </w:r>
      <w:r w:rsidR="00941014">
        <w:rPr>
          <w:rFonts w:ascii="Arial" w:eastAsia="Times New Roman" w:hAnsi="Arial" w:cs="Arial"/>
          <w:color w:val="000000" w:themeColor="text1"/>
          <w:szCs w:val="24"/>
          <w:lang w:val="en-US"/>
        </w:rPr>
        <w:t>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derive a BAG cutoff, authors intercept of the logistic regression curve at 50% probability. However, the use of this cutoff might be arbitrary. Instead, you </w:t>
      </w:r>
      <w:r w:rsidRPr="001E2A19">
        <w:rPr>
          <w:rFonts w:ascii="Arial" w:eastAsia="Times New Roman" w:hAnsi="Arial" w:cs="Arial"/>
          <w:b/>
          <w:color w:val="000000" w:themeColor="text1"/>
          <w:szCs w:val="24"/>
          <w:lang w:val="en-US"/>
        </w:rPr>
        <w:lastRenderedPageBreak/>
        <w:t>should use AUC ROC graphs for optimal cutoff of maximal sensitivity and specificity.</w:t>
      </w:r>
    </w:p>
    <w:p w14:paraId="0ADEED10" w14:textId="5AEF1362" w:rsidR="001209CD" w:rsidRPr="001E2A19" w:rsidRDefault="007A2100"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To compare different biomarkers, we now used a priori probabilities of cognitive decline in the training data. </w:t>
      </w:r>
      <w:proofErr w:type="gramStart"/>
      <w:r>
        <w:rPr>
          <w:rFonts w:ascii="Arial" w:eastAsia="Times New Roman" w:hAnsi="Arial" w:cs="Arial"/>
          <w:color w:val="000000" w:themeColor="text1"/>
          <w:szCs w:val="24"/>
          <w:lang w:val="en-US"/>
        </w:rPr>
        <w:t>This yielded comparable thresholds</w:t>
      </w:r>
      <w:proofErr w:type="gramEnd"/>
      <w:r>
        <w:rPr>
          <w:rFonts w:ascii="Arial" w:eastAsia="Times New Roman" w:hAnsi="Arial" w:cs="Arial"/>
          <w:color w:val="000000" w:themeColor="text1"/>
          <w:szCs w:val="24"/>
          <w:lang w:val="en-US"/>
        </w:rPr>
        <w:t xml:space="preserve"> across all folds (see p. XX).</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31C02318"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 xml:space="preserve">present the mean difference and confidence interval </w:t>
      </w:r>
      <w:r w:rsidR="00611CD8">
        <w:rPr>
          <w:rFonts w:ascii="Arial" w:eastAsia="Times New Roman" w:hAnsi="Arial" w:cs="Arial"/>
          <w:color w:val="000000" w:themeColor="text1"/>
          <w:szCs w:val="24"/>
          <w:lang w:val="en-US"/>
        </w:rPr>
        <w:t>in addition to the</w:t>
      </w:r>
      <w:r w:rsidRPr="00941014">
        <w:rPr>
          <w:rFonts w:ascii="Arial" w:eastAsia="Times New Roman" w:hAnsi="Arial" w:cs="Arial"/>
          <w:color w:val="000000" w:themeColor="text1"/>
          <w:szCs w:val="24"/>
          <w:lang w:val="en-US"/>
        </w:rPr>
        <w:t xml:space="preserve"> t-statistic.</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FF586CA"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w:t>
      </w:r>
      <w:r w:rsidR="00AF5E4D">
        <w:rPr>
          <w:rFonts w:ascii="Arial" w:eastAsia="Times New Roman" w:hAnsi="Arial" w:cs="Arial"/>
          <w:color w:val="000000" w:themeColor="text1"/>
          <w:szCs w:val="24"/>
          <w:highlight w:val="yellow"/>
          <w:lang w:val="en-US"/>
        </w:rPr>
        <w:t>p</w:t>
      </w:r>
      <w:r w:rsidR="00941014" w:rsidRPr="00941014">
        <w:rPr>
          <w:rFonts w:ascii="Arial" w:eastAsia="Times New Roman" w:hAnsi="Arial" w:cs="Arial"/>
          <w:color w:val="000000" w:themeColor="text1"/>
          <w:szCs w:val="24"/>
          <w:highlight w:val="yellow"/>
          <w:lang w:val="en-US"/>
        </w:rPr>
        <w:t xml:space="preserve">. </w:t>
      </w:r>
      <w:r w:rsidR="00AF5E4D">
        <w:rPr>
          <w:rFonts w:ascii="Arial" w:eastAsia="Times New Roman" w:hAnsi="Arial" w:cs="Arial"/>
          <w:color w:val="000000" w:themeColor="text1"/>
          <w:szCs w:val="24"/>
          <w:lang w:val="en-US"/>
        </w:rPr>
        <w:t>6-7</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w:t>
      </w:r>
      <w:r w:rsidR="00AF5E4D">
        <w:rPr>
          <w:rFonts w:ascii="Arial" w:eastAsia="Times New Roman" w:hAnsi="Arial" w:cs="Arial"/>
          <w:color w:val="000000" w:themeColor="text1"/>
          <w:szCs w:val="24"/>
          <w:lang w:val="en-US"/>
        </w:rPr>
        <w:t xml:space="preserve">trend </w:t>
      </w:r>
      <w:r w:rsidRPr="001E2A19">
        <w:rPr>
          <w:rFonts w:ascii="Arial" w:eastAsia="Times New Roman" w:hAnsi="Arial" w:cs="Arial"/>
          <w:color w:val="000000" w:themeColor="text1"/>
          <w:szCs w:val="24"/>
          <w:lang w:val="en-US"/>
        </w:rPr>
        <w:t>significant”, p &lt; .05 = “significant”, p &lt; Bonferroni correction = “significant after Bonferroni correction”. Due to the multitude of analyses conducted and JNM’s word limitation, we did not incorporate the whole term “very weak but almost significant”.</w:t>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13E5FF2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w:t>
      </w:r>
      <w:r w:rsidR="00AF5E4D">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xml:space="preserve">PET BAG” was referred </w:t>
      </w:r>
      <w:r w:rsidR="00AF5E4D">
        <w:rPr>
          <w:rFonts w:ascii="Arial" w:eastAsia="Times New Roman" w:hAnsi="Arial" w:cs="Arial"/>
          <w:color w:val="000000" w:themeColor="text1"/>
          <w:szCs w:val="24"/>
          <w:lang w:val="en-US"/>
        </w:rPr>
        <w:t>to, to “FDG-</w:t>
      </w:r>
      <w:r w:rsidRPr="001E2A19">
        <w:rPr>
          <w:rFonts w:ascii="Arial" w:eastAsia="Times New Roman" w:hAnsi="Arial" w:cs="Arial"/>
          <w:color w:val="000000" w:themeColor="text1"/>
          <w:szCs w:val="24"/>
          <w:lang w:val="en-US"/>
        </w:rPr>
        <w:t>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1F993CD"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w:t>
      </w:r>
      <w:r w:rsidR="008973DE">
        <w:rPr>
          <w:rFonts w:ascii="Arial" w:eastAsia="Times New Roman" w:hAnsi="Arial" w:cs="Arial"/>
          <w:color w:val="000000" w:themeColor="text1"/>
          <w:szCs w:val="24"/>
          <w:lang w:val="en-US"/>
        </w:rPr>
        <w:t xml:space="preserve"> (see answer to comment #14)</w:t>
      </w:r>
      <w:r w:rsidRPr="001E2A19">
        <w:rPr>
          <w:rFonts w:ascii="Arial" w:eastAsia="Times New Roman" w:hAnsi="Arial" w:cs="Arial"/>
          <w:color w:val="000000" w:themeColor="text1"/>
          <w:szCs w:val="24"/>
          <w:lang w:val="en-US"/>
        </w:rPr>
        <w:t xml:space="preserv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lastRenderedPageBreak/>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1A8D9A38"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475CEE">
        <w:rPr>
          <w:rFonts w:ascii="Arial" w:eastAsia="Times New Roman" w:hAnsi="Arial" w:cs="Arial"/>
          <w:color w:val="000000" w:themeColor="text1"/>
          <w:szCs w:val="24"/>
          <w:lang w:val="en-US"/>
        </w:rPr>
        <w:t>Indeed, r</w:t>
      </w:r>
      <w:r w:rsidR="000444D7" w:rsidRPr="001E2A19">
        <w:rPr>
          <w:rFonts w:ascii="Arial" w:eastAsia="Times New Roman" w:hAnsi="Arial" w:cs="Arial"/>
          <w:color w:val="000000" w:themeColor="text1"/>
          <w:szCs w:val="24"/>
          <w:lang w:val="en-US"/>
        </w:rPr>
        <w:t xml:space="preserve">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r w:rsidR="00475CEE">
        <w:rPr>
          <w:rFonts w:ascii="Arial" w:eastAsia="Times New Roman" w:hAnsi="Arial" w:cs="Arial"/>
          <w:color w:val="000000" w:themeColor="text1"/>
          <w:szCs w:val="24"/>
          <w:lang w:val="en-US"/>
        </w:rPr>
        <w:t>reflects not only tau and amyloid pathology, the two primary hallmarks of AD, but also the risk of impending cognitive decline, well</w:t>
      </w:r>
      <w:r w:rsidR="00475CEE">
        <w:rPr>
          <w:rFonts w:ascii="Arial" w:eastAsia="Times New Roman" w:hAnsi="Arial" w:cs="Arial"/>
          <w:color w:val="000000" w:themeColor="text1"/>
          <w:szCs w:val="24"/>
          <w:lang w:val="en-US"/>
        </w:rPr>
        <w:fldChar w:fldCharType="begin" w:fldLock="1"/>
      </w:r>
      <w:r w:rsidR="0035378A">
        <w:rPr>
          <w:rFonts w:ascii="Arial" w:eastAsia="Times New Roman" w:hAnsi="Arial" w:cs="Arial"/>
          <w:color w:val="000000" w:themeColor="text1"/>
          <w:szCs w:val="24"/>
          <w:lang w:val="en-US"/>
        </w:rPr>
        <w:instrText>ADDIN CSL_CITATION {"citationItems":[{"id":"ITEM-1","itemData":{"abstract":"INTRODUCTION The most well-studied biomarkers in AD are CSF amyloid beta-42 (Aβ42), tau, p-tau, and the ratio p-tau/Aβ42. The ratiometric measure of p-tau/Aβ42 shows the best diagnostic accuracy, and correlates reliably with metrics of cognition in unimpaired participants. However, no study has examined the impact of the CSF p-tau/Aβ42 ratio in predicting cognitive decline in both healthy and AD individuals in one sample. The goal of this study was to examine whether CSF-based p-tau/Aβ42 predicts changes in global cognitive functioning, episodic memory, and executive functioning over a two-year period in cognitively impaired older adults (CU), and in individuals with Mild Cognitive Impairment (MCI) and Alzheimer’s disease (AD).METHODS This study involves secondary analysis of data from 1215 older adults available in the Alzheimer’s Disease Neuroimaging Initiative (ADNI). Neuropsychological variables, collected at baseline, 6-month, 12-month, and 24-month follow-ups, included the Preclinical Alzheimer’s Cognitive Composite (PACC) to assess global cognitive functioning, ADNI-MEM to assess episodic memory functioning, and ADNI-EF to assess executive functioning. Linear mixed models were constructed to examine the effect of CSF p-tau/Aβ42, diagnostic group, and change over time (baseline, 6-month, 12-month, and 24-month) on cognitive scores.RESULTS CSF p-tau/Aβ42 ratios predicted worsening cognitive impairment, both on global cognition and episodic memory in individuals with MCI and AD, but not in CU older adults and predicted decline in executive functioning for all three diagnostic groups.DISCUSSION Our study, including CU, MCI, and AD individuals, provides evidence for differential cognitive consequences of accumulated AD pathology based on diagnostic groups.Competing Interest StatementThe authors have declared no competing interest.Funding StatementThe project described in this publication was supported by Award Number UL1TR002733 from the National Center For Advancing Translational Sciences and Award Number R01AG054427 from the National Institute On Aging of the National Institutes of Health. The content is solely the responsibility of the authors and does not necessarily represent the official views of the National Center For Advancing Translational Sciences, the National Institute on Aging or the National Institutes of Health. Data collection and sharing for this project was funded by the Alzheimer&amp;#039;s Disease Neuroimaging Initiative (ADNI) (Natio…","author":[{"dropping-particle":"","family":"Prakash","given":"Ruchika Shaurya","non-dropping-particle":"","parse-names":false,"suffix":""},{"dropping-particle":"","family":"McKenna","given":"Michael R","non-dropping-particle":"","parse-names":false,"suffix":""},{"dropping-particle":"","family":"Gbadeyan","given":"Oyetunde","non-dropping-particle":"","parse-names":false,"suffix":""},{"dropping-particle":"","family":"Andridge","given":"Rebecca","non-dropping-particle":"","parse-names":false,"suffix":""},{"dropping-particle":"","family":"Scharre","given":"Douglas W","non-dropping-particle":"","parse-names":false,"suffix":""}],"container-title":"medRxiv","id":"ITEM-1","issued":{"date-parts":[["2020"]]},"title":"p-tau/Aβ42 Ratio Associates with Cognitive Decline in Alzheimer’s disease, Mild Cognitive Impairment, and Cognitively Unimpaired Older Adults","type":"article-journal"},"uris":["http://www.mendeley.com/documents/?uuid=9b74088d-c4f9-3d72-b0ba-bf3350b43c77"]}],"mendeley":{"formattedCitation":"&lt;sup&gt;1&lt;/sup&gt;","plainTextFormattedCitation":"1","previouslyFormattedCitation":"&lt;sup&gt;1&lt;/sup&gt;"},"properties":{"noteIndex":0},"schema":"https://github.com/citation-style-language/schema/raw/master/csl-citation.json"}</w:instrText>
      </w:r>
      <w:r w:rsidR="00475CEE">
        <w:rPr>
          <w:rFonts w:ascii="Arial" w:eastAsia="Times New Roman" w:hAnsi="Arial" w:cs="Arial"/>
          <w:color w:val="000000" w:themeColor="text1"/>
          <w:szCs w:val="24"/>
          <w:lang w:val="en-US"/>
        </w:rPr>
        <w:fldChar w:fldCharType="separate"/>
      </w:r>
      <w:r w:rsidR="00475CEE" w:rsidRPr="00475CEE">
        <w:rPr>
          <w:rFonts w:ascii="Arial" w:eastAsia="Times New Roman" w:hAnsi="Arial" w:cs="Arial"/>
          <w:noProof/>
          <w:color w:val="000000" w:themeColor="text1"/>
          <w:szCs w:val="24"/>
          <w:vertAlign w:val="superscript"/>
          <w:lang w:val="en-US"/>
        </w:rPr>
        <w:t>1</w:t>
      </w:r>
      <w:r w:rsidR="00475CEE">
        <w:rPr>
          <w:rFonts w:ascii="Arial" w:eastAsia="Times New Roman" w:hAnsi="Arial" w:cs="Arial"/>
          <w:color w:val="000000" w:themeColor="text1"/>
          <w:szCs w:val="24"/>
          <w:lang w:val="en-US"/>
        </w:rPr>
        <w:fldChar w:fldCharType="end"/>
      </w:r>
      <w:r w:rsidR="00475CEE">
        <w:rPr>
          <w:rFonts w:ascii="Arial" w:eastAsia="Times New Roman" w:hAnsi="Arial" w:cs="Arial"/>
          <w:color w:val="000000" w:themeColor="text1"/>
          <w:szCs w:val="24"/>
          <w:lang w:val="en-US"/>
        </w:rPr>
        <w:t>.</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7C855D82" w14:textId="64833DAD" w:rsidR="00DF4760" w:rsidRDefault="00475CEE" w:rsidP="00DF4760">
      <w:pPr>
        <w:spacing w:after="0" w:line="315" w:lineRule="atLeast"/>
        <w:jc w:val="both"/>
        <w:textAlignment w:val="baseline"/>
        <w:rPr>
          <w:rFonts w:ascii="Arial" w:eastAsia="Times New Roman" w:hAnsi="Arial" w:cs="Arial"/>
          <w:color w:val="000000" w:themeColor="text1"/>
          <w:szCs w:val="24"/>
          <w:lang w:val="en-US"/>
        </w:rPr>
      </w:pPr>
      <w:bookmarkStart w:id="0" w:name="m_-7624428976341028451_m_-62026818509083"/>
      <w:r>
        <w:rPr>
          <w:rFonts w:ascii="Arial" w:eastAsia="Times New Roman" w:hAnsi="Arial" w:cs="Arial"/>
          <w:color w:val="000000" w:themeColor="text1"/>
          <w:szCs w:val="24"/>
          <w:lang w:val="en-US"/>
        </w:rPr>
        <w:t>Rather than providing a classifier for cognitive decline, the purpose of the current study is to explore the two different brain ages yielded from MRI or FDG-PET. Therefore, it is not surprising that not all brain substrates found to be age-associated in our study also hold prognostic potential. However, the re-trained brain age estimation algorithm based on MRI now extensively made use of hippocampal signal, which resulted in strong associations with cognitive performance, AD neuropathology and cognitive outcome. We briefly discuss this on p. 15:</w:t>
      </w:r>
    </w:p>
    <w:p w14:paraId="19E1F862" w14:textId="5ABED6E1" w:rsidR="00475CEE" w:rsidRPr="00475CEE" w:rsidRDefault="00475CEE" w:rsidP="00475CEE">
      <w:pPr>
        <w:spacing w:after="0" w:line="315" w:lineRule="atLeast"/>
        <w:ind w:left="708" w:right="708"/>
        <w:jc w:val="both"/>
        <w:textAlignment w:val="baseline"/>
        <w:rPr>
          <w:rFonts w:ascii="Arial" w:eastAsia="Times New Roman" w:hAnsi="Arial" w:cs="Arial"/>
          <w:i/>
          <w:color w:val="000000" w:themeColor="text1"/>
          <w:szCs w:val="24"/>
          <w:bdr w:val="none" w:sz="0" w:space="0" w:color="auto" w:frame="1"/>
          <w:lang w:val="en-US"/>
        </w:rPr>
      </w:pPr>
      <w:r w:rsidRPr="00475CEE">
        <w:rPr>
          <w:rFonts w:ascii="Arial" w:eastAsia="Times New Roman" w:hAnsi="Arial" w:cs="Arial"/>
          <w:i/>
          <w:color w:val="000000" w:themeColor="text1"/>
          <w:szCs w:val="24"/>
          <w:lang w:val="en-US"/>
        </w:rPr>
        <w:t>“</w:t>
      </w:r>
      <w:r w:rsidRPr="00475CEE">
        <w:rPr>
          <w:rFonts w:ascii="Arial" w:hAnsi="Arial" w:cs="Arial"/>
          <w:i/>
          <w:lang w:val="en-US"/>
        </w:rPr>
        <w:t>Since MRI BAG was mostly estimated from hippocampal volume and predictive of conversion from MCI to dementia, biological processes underlying MRI BAG may be more closely related to AD etiology than those captured by FDG-PET BAG, as it has repeatedly been shown that hippocampal volume plays a pivotal role in memory, and AD-related decline thereof</w:t>
      </w:r>
      <w:r w:rsidRPr="00475CEE">
        <w:rPr>
          <w:rFonts w:ascii="Arial" w:hAnsi="Arial" w:cs="Arial"/>
          <w:i/>
          <w:lang w:val="en-US"/>
        </w:rPr>
        <w:fldChar w:fldCharType="begin" w:fldLock="1"/>
      </w:r>
      <w:r w:rsidR="0035378A">
        <w:rPr>
          <w:rFonts w:ascii="Arial" w:hAnsi="Arial" w:cs="Arial"/>
          <w:i/>
          <w:lang w:val="en-US"/>
        </w:rPr>
        <w:instrText>ADDIN CSL_CITATION {"citationItems":[{"id":"ITEM-1","itemData":{"DOI":"10.1212/wnl.52.7.1397","ISSN":"00283878","abstract":"Objective: To test the hypothesis that MRI-based measurements of hippocampal volume are related to the risk of future conversion to Alzheimer's disease (AD) in older patients with a mild cognitive impairment (MCI). Background: Patients who develop AD pass through a transitional state, which can be characterized as MCI. In some patients, however, MCI is a more benign condition, which may not progress to AD or may do so slowly. Patients: Eighty consecutive patients who met criteria for the diagnosis of MCI were recruited from the Mayo Clinic Alzheimer's Disease Center/Alzheimer's Disease Patient Registry. Methods: At entry into the study, each patient received an MRI examination of the head, from which the volumes of both hippocampi were measured. Patients were followed longitudinally with approximately annual clinical/cognitive assessments. The primary endpoint was the crossover of individual MCI patients to the clinical diagnosis of AD during longitudinal clinical follow-up. Results: During the period of longitudinal observation, which averaged 32.6 months, 27 of the 80 MCI patients became demented. Hippocampal atrophy at baseline was associated with crossover from MCI to AD (relative risk [RR], 0.69, p = 0.015). When hippocampal volume was entered into bivariate models-using age, postmenopausal estrogen replacement, standard neuropsychological tests, apolipoprotein E (APOE) genotype, history of ischemic heart disease, and hypertension-the RRs were not substantially different from that found univariately, and the associations between hippocampal volume and crossover remained significant. Conclusion: In older patients with MCI, hippocampal atrophy determined by premorbid MRI-based volume measurements is predictive of subsequent conversion to AD.","author":[{"dropping-particle":"","family":"Jack","given":"Clifford R.","non-dropping-particle":"","parse-names":false,"suffix":""},{"dropping-particle":"","family":"Petersen","given":"R. C.","non-dropping-particle":"","parse-names":false,"suffix":""},{"dropping-particle":"","family":"Xu","given":"Y. C.","non-dropping-particle":"","parse-names":false,"suffix":""},{"dropping-particle":"","family":"O'Brien","given":"P. C.","non-dropping-particle":"","parse-names":false,"suffix":""},{"dropping-particle":"","family":"Smith","given":"G. E.","non-dropping-particle":"","parse-names":false,"suffix":""},{"dropping-particle":"","family":"Ivnik","given":"R. J.","non-dropping-particle":"","parse-names":false,"suffix":""},{"dropping-particle":"","family":"Boeve","given":"B. F.","non-dropping-particle":"","parse-names":false,"suffix":""},{"dropping-particle":"","family":"Waring","given":"S. C.","non-dropping-particle":"","parse-names":false,"suffix":""},{"dropping-particle":"","family":"Tangalos","given":"E. G.","non-dropping-particle":"","parse-names":false,"suffix":""},{"dropping-particle":"","family":"Kokmen","given":"E.","non-dropping-particle":"","parse-names":false,"suffix":""}],"container-title":"Neurology","id":"ITEM-1","issue":"7","issued":{"date-parts":[["1999"]]},"title":"Prediction of AD with MRI-based hippocampal volume in mild cognitive impairment","type":"article-journal","volume":"52"},"uris":["http://www.mendeley.com/documents/?uuid=6a71431e-7297-37ea-81de-4e768037b180"]}],"mendeley":{"formattedCitation":"&lt;sup&gt;2&lt;/sup&gt;","plainTextFormattedCitation":"2","previouslyFormattedCitation":"&lt;sup&gt;2&lt;/sup&gt;"},"properties":{"noteIndex":0},"schema":"https://github.com/citation-style-language/schema/raw/master/csl-citation.json"}</w:instrText>
      </w:r>
      <w:r w:rsidRPr="00475CEE">
        <w:rPr>
          <w:rFonts w:ascii="Arial" w:hAnsi="Arial" w:cs="Arial"/>
          <w:i/>
          <w:lang w:val="en-US"/>
        </w:rPr>
        <w:fldChar w:fldCharType="separate"/>
      </w:r>
      <w:r w:rsidR="0035378A" w:rsidRPr="0035378A">
        <w:rPr>
          <w:rFonts w:ascii="Arial" w:hAnsi="Arial" w:cs="Arial"/>
          <w:noProof/>
          <w:vertAlign w:val="superscript"/>
          <w:lang w:val="en-US"/>
        </w:rPr>
        <w:t>2</w:t>
      </w:r>
      <w:r w:rsidRPr="00475CEE">
        <w:rPr>
          <w:rFonts w:ascii="Arial" w:hAnsi="Arial" w:cs="Arial"/>
          <w:i/>
          <w:lang w:val="en-US"/>
        </w:rPr>
        <w:fldChar w:fldCharType="end"/>
      </w:r>
      <w:r w:rsidRPr="00475CEE">
        <w:rPr>
          <w:rFonts w:ascii="Arial" w:hAnsi="Arial" w:cs="Arial"/>
          <w:i/>
          <w:lang w:val="en-US"/>
        </w:rPr>
        <w:t>.”</w:t>
      </w:r>
    </w:p>
    <w:p w14:paraId="2361348C" w14:textId="77777777" w:rsidR="00DF4760" w:rsidRPr="001E2A19" w:rsidRDefault="0086030D"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0"/>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w:t>
      </w:r>
      <w:r w:rsidRPr="001E2A19">
        <w:rPr>
          <w:rFonts w:ascii="Arial" w:eastAsia="Times New Roman" w:hAnsi="Arial" w:cs="Arial"/>
          <w:b/>
          <w:color w:val="000000" w:themeColor="text1"/>
          <w:szCs w:val="24"/>
          <w:lang w:val="en-US"/>
        </w:rPr>
        <w:lastRenderedPageBreak/>
        <w:t xml:space="preserve">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recommend PET-derived BAG for the use in clinical trials. Consistently with this 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7F0AE2D3" w14:textId="6C708190" w:rsidR="00475CEE"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w:t>
      </w:r>
      <w:r w:rsidR="00475CEE">
        <w:rPr>
          <w:rFonts w:ascii="Arial" w:eastAsia="Times New Roman" w:hAnsi="Arial" w:cs="Arial"/>
          <w:color w:val="000000" w:themeColor="text1"/>
          <w:szCs w:val="24"/>
          <w:lang w:val="en-US"/>
        </w:rPr>
        <w:t>FDG-</w:t>
      </w:r>
      <w:r>
        <w:rPr>
          <w:rFonts w:ascii="Arial" w:eastAsia="Times New Roman" w:hAnsi="Arial" w:cs="Arial"/>
          <w:color w:val="000000" w:themeColor="text1"/>
          <w:szCs w:val="24"/>
          <w:lang w:val="en-US"/>
        </w:rPr>
        <w:t xml:space="preserve">PET for the estimation of brain age, as well as </w:t>
      </w:r>
      <w:r w:rsidR="00475CEE">
        <w:rPr>
          <w:rFonts w:ascii="Arial" w:eastAsia="Times New Roman" w:hAnsi="Arial" w:cs="Arial"/>
          <w:color w:val="000000" w:themeColor="text1"/>
          <w:szCs w:val="24"/>
          <w:lang w:val="en-US"/>
        </w:rPr>
        <w:t>to assess the cognitive and neuropathological processes they reflect.</w:t>
      </w:r>
      <w:r>
        <w:rPr>
          <w:rFonts w:ascii="Arial" w:eastAsia="Times New Roman" w:hAnsi="Arial" w:cs="Arial"/>
          <w:color w:val="000000" w:themeColor="text1"/>
          <w:szCs w:val="24"/>
          <w:lang w:val="en-US"/>
        </w:rPr>
        <w:t xml:space="preserve"> </w:t>
      </w:r>
      <w:r w:rsidR="004335D7">
        <w:rPr>
          <w:rFonts w:ascii="Arial" w:eastAsia="Times New Roman" w:hAnsi="Arial" w:cs="Arial"/>
          <w:color w:val="000000" w:themeColor="text1"/>
          <w:szCs w:val="24"/>
          <w:lang w:val="en-US"/>
        </w:rPr>
        <w:t xml:space="preserve">It is true, however, that in the previous version of the manuscript, we interpreted our results overly optimistically. In the new version of the manuscript, we refrained from recommending FDG-PET BAG for clinical trials given its inferior performance as a prognostic biomarker. Rather, we suggest that it </w:t>
      </w:r>
      <w:proofErr w:type="gramStart"/>
      <w:r w:rsidR="004335D7">
        <w:rPr>
          <w:rFonts w:ascii="Arial" w:eastAsia="Times New Roman" w:hAnsi="Arial" w:cs="Arial"/>
          <w:color w:val="000000" w:themeColor="text1"/>
          <w:szCs w:val="24"/>
          <w:lang w:val="en-US"/>
        </w:rPr>
        <w:t>may, with further validation, be</w:t>
      </w:r>
      <w:proofErr w:type="gramEnd"/>
      <w:r w:rsidR="004335D7">
        <w:rPr>
          <w:rFonts w:ascii="Arial" w:eastAsia="Times New Roman" w:hAnsi="Arial" w:cs="Arial"/>
          <w:color w:val="000000" w:themeColor="text1"/>
          <w:szCs w:val="24"/>
          <w:lang w:val="en-US"/>
        </w:rPr>
        <w:t xml:space="preserve"> useful as an early diagnostic biomarker of cognitive impairment (p. 14):</w:t>
      </w:r>
    </w:p>
    <w:p w14:paraId="59D19F60" w14:textId="661B3D6F" w:rsidR="004335D7" w:rsidRPr="004335D7" w:rsidRDefault="004335D7" w:rsidP="004335D7">
      <w:pPr>
        <w:pStyle w:val="KeinLeerraum"/>
        <w:ind w:left="709" w:right="708" w:hanging="1"/>
        <w:jc w:val="both"/>
        <w:rPr>
          <w:rFonts w:ascii="Arial" w:hAnsi="Arial" w:cs="Arial"/>
          <w:i/>
          <w:lang w:val="en-US"/>
        </w:rPr>
      </w:pPr>
      <w:r w:rsidRPr="004335D7">
        <w:rPr>
          <w:rFonts w:ascii="Arial" w:eastAsia="Times New Roman" w:hAnsi="Arial" w:cs="Arial"/>
          <w:i/>
          <w:color w:val="000000" w:themeColor="text1"/>
          <w:szCs w:val="24"/>
          <w:lang w:val="en-US"/>
        </w:rPr>
        <w:tab/>
        <w:t>“</w:t>
      </w:r>
      <w:r w:rsidRPr="004335D7">
        <w:rPr>
          <w:rFonts w:ascii="Arial" w:hAnsi="Arial" w:cs="Arial"/>
          <w:i/>
          <w:lang w:val="en-US"/>
        </w:rPr>
        <w:t>Our findings suggest that advanced brain age captures brain health, in the form of cognitive and neuropathological variance in the early AD continuum as early as the SCD stage. The observed negative association between FDG-PET BAG and memory performance in the lack of clinically manifest cognitive dysfunction may suggest that FDG-PET BAG has the capacity to detect subtle cognitive decline at its nascent stages. Notably, there was a discernible trend towards higher ME in SCD</w:t>
      </w:r>
      <w:r w:rsidRPr="004335D7">
        <w:rPr>
          <w:rFonts w:ascii="Arial" w:hAnsi="Arial" w:cs="Arial"/>
          <w:i/>
          <w:vertAlign w:val="subscript"/>
          <w:lang w:val="en-US"/>
        </w:rPr>
        <w:t>ADNI</w:t>
      </w:r>
      <w:r w:rsidRPr="004335D7">
        <w:rPr>
          <w:rFonts w:ascii="Arial" w:hAnsi="Arial" w:cs="Arial"/>
          <w:i/>
          <w:lang w:val="en-US"/>
        </w:rPr>
        <w:t xml:space="preserve"> compared to CN</w:t>
      </w:r>
      <w:r w:rsidRPr="004335D7">
        <w:rPr>
          <w:rFonts w:ascii="Arial" w:hAnsi="Arial" w:cs="Arial"/>
          <w:i/>
          <w:vertAlign w:val="subscript"/>
          <w:lang w:val="en-US"/>
        </w:rPr>
        <w:t>ADNI</w:t>
      </w:r>
      <w:r w:rsidRPr="004335D7">
        <w:rPr>
          <w:rFonts w:ascii="Arial" w:hAnsi="Arial" w:cs="Arial"/>
          <w:i/>
          <w:lang w:val="en-US"/>
        </w:rPr>
        <w:t>, as well as between declining SCD</w:t>
      </w:r>
      <w:r w:rsidRPr="004335D7">
        <w:rPr>
          <w:rFonts w:ascii="Arial" w:hAnsi="Arial" w:cs="Arial"/>
          <w:i/>
          <w:vertAlign w:val="subscript"/>
          <w:lang w:val="en-US"/>
        </w:rPr>
        <w:t xml:space="preserve">ADNI </w:t>
      </w:r>
      <w:r w:rsidRPr="004335D7">
        <w:rPr>
          <w:rFonts w:ascii="Arial" w:hAnsi="Arial" w:cs="Arial"/>
          <w:i/>
          <w:lang w:val="en-US"/>
        </w:rPr>
        <w:t xml:space="preserve">and </w:t>
      </w:r>
      <w:proofErr w:type="spellStart"/>
      <w:r w:rsidRPr="004335D7">
        <w:rPr>
          <w:rFonts w:ascii="Arial" w:hAnsi="Arial" w:cs="Arial"/>
          <w:i/>
          <w:lang w:val="en-US"/>
        </w:rPr>
        <w:t>stable</w:t>
      </w:r>
      <w:r w:rsidRPr="004335D7">
        <w:rPr>
          <w:rFonts w:ascii="Arial" w:hAnsi="Arial" w:cs="Arial"/>
          <w:i/>
          <w:vertAlign w:val="subscript"/>
          <w:lang w:val="en-US"/>
        </w:rPr>
        <w:t>ADNI</w:t>
      </w:r>
      <w:proofErr w:type="spellEnd"/>
      <w:r w:rsidRPr="004335D7">
        <w:rPr>
          <w:rFonts w:ascii="Arial" w:hAnsi="Arial" w:cs="Arial"/>
          <w:i/>
          <w:lang w:val="en-US"/>
        </w:rPr>
        <w:t>, although these results did not reach statistical significance. These observations provide preliminary evidence for the utility of FDG-PET BAG as a potential early biomarker for cognitive impairment.</w:t>
      </w:r>
      <w:r>
        <w:rPr>
          <w:rFonts w:ascii="Arial" w:hAnsi="Arial" w:cs="Arial"/>
          <w:i/>
          <w:lang w:val="en-US"/>
        </w:rPr>
        <w:t>”</w:t>
      </w:r>
    </w:p>
    <w:p w14:paraId="33276CDF" w14:textId="7D0C3EC9" w:rsidR="004335D7" w:rsidRDefault="004335D7"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7ED9004D" w14:textId="11FFD102" w:rsidR="004335D7" w:rsidRDefault="004335D7"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Moreover, we recognize that the strong focus on the logistic regression analyses overshadowed the other parts of the manuscript. We re-phrased our aim to “</w:t>
      </w:r>
      <w:r w:rsidRPr="004335D7">
        <w:rPr>
          <w:rFonts w:ascii="Arial" w:eastAsia="Times New Roman" w:hAnsi="Arial" w:cs="Arial"/>
          <w:color w:val="000000" w:themeColor="text1"/>
          <w:szCs w:val="24"/>
          <w:lang w:val="en-US"/>
        </w:rPr>
        <w:t>compare the cognitive, pathological and prognostic profiles of brain age estimation from FDG-PET and structural MRI</w:t>
      </w:r>
      <w:r>
        <w:rPr>
          <w:rFonts w:ascii="Arial" w:eastAsia="Times New Roman" w:hAnsi="Arial" w:cs="Arial"/>
          <w:color w:val="000000" w:themeColor="text1"/>
          <w:szCs w:val="24"/>
          <w:lang w:val="en-US"/>
        </w:rPr>
        <w:t xml:space="preserve"> in the early AD continuum” and adapted the title to reflect this alteration.</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w:t>
      </w:r>
      <w:r w:rsidRPr="00406B3D">
        <w:rPr>
          <w:rFonts w:ascii="Arial" w:eastAsia="Times New Roman" w:hAnsi="Arial" w:cs="Arial"/>
          <w:b/>
          <w:color w:val="000000" w:themeColor="text1"/>
          <w:szCs w:val="24"/>
          <w:highlight w:val="yellow"/>
          <w:lang w:val="en-US"/>
        </w:rPr>
        <w:t>chronological age as reference.</w:t>
      </w:r>
      <w:r w:rsidRPr="001E2A19">
        <w:rPr>
          <w:rFonts w:ascii="Arial" w:eastAsia="Times New Roman" w:hAnsi="Arial" w:cs="Arial"/>
          <w:b/>
          <w:color w:val="000000" w:themeColor="text1"/>
          <w:szCs w:val="24"/>
          <w:lang w:val="en-US"/>
        </w:rPr>
        <w:t xml:space="preserv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6B5E74A" w14:textId="77777777" w:rsidR="00FB3952"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w:t>
      </w:r>
      <w:r w:rsidR="00FB3952">
        <w:rPr>
          <w:rFonts w:ascii="Arial" w:eastAsia="Times New Roman" w:hAnsi="Arial" w:cs="Arial"/>
          <w:color w:val="000000" w:themeColor="text1"/>
          <w:szCs w:val="24"/>
          <w:lang w:val="en-US"/>
        </w:rPr>
        <w:t xml:space="preserve">assessed the potential of </w:t>
      </w:r>
      <w:r>
        <w:rPr>
          <w:rFonts w:ascii="Arial" w:eastAsia="Times New Roman" w:hAnsi="Arial" w:cs="Arial"/>
          <w:color w:val="000000" w:themeColor="text1"/>
          <w:szCs w:val="24"/>
          <w:lang w:val="en-US"/>
        </w:rPr>
        <w:lastRenderedPageBreak/>
        <w:t xml:space="preserve">BAG to predict cognitive outcome. </w:t>
      </w:r>
      <w:r w:rsidR="00FB3952">
        <w:rPr>
          <w:rFonts w:ascii="Arial" w:eastAsia="Times New Roman" w:hAnsi="Arial" w:cs="Arial"/>
          <w:color w:val="000000" w:themeColor="text1"/>
          <w:szCs w:val="24"/>
          <w:lang w:val="en-US"/>
        </w:rPr>
        <w:t xml:space="preserve">Following the author’s suggestion, we have investigated the prognostic value hippocampal volume, SUVR in precuneus, chronological age for reference, as well as other established biomarkers of AD using the same pipeline we used to assessed how well BAG predicts cognitive outcome. In the revised version of the manuscript, we were able to show that </w:t>
      </w:r>
    </w:p>
    <w:p w14:paraId="638E3935" w14:textId="70EC20F4" w:rsidR="00D93A2F" w:rsidRPr="00FB3952" w:rsidRDefault="00FB3952" w:rsidP="00FB3952">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hAnsi="Arial" w:cs="Arial"/>
          <w:lang w:val="en-US"/>
        </w:rPr>
      </w:pPr>
      <w:r w:rsidRPr="00FB3952">
        <w:rPr>
          <w:rFonts w:ascii="Arial" w:eastAsia="Times New Roman" w:hAnsi="Arial" w:cs="Arial"/>
          <w:color w:val="000000" w:themeColor="text1"/>
          <w:szCs w:val="24"/>
          <w:lang w:val="en-US"/>
        </w:rPr>
        <w:t xml:space="preserve">MRI brain age, when trained solely on CN, is very, but not uniquely, dependent on hippocampal signal. This intriguingly suggests that </w:t>
      </w:r>
      <w:r w:rsidRPr="00FB3952">
        <w:rPr>
          <w:rFonts w:ascii="Arial" w:hAnsi="Arial" w:cs="Arial"/>
          <w:lang w:val="en-US"/>
        </w:rPr>
        <w:t xml:space="preserve">AD-related neurodegeneration </w:t>
      </w:r>
      <w:proofErr w:type="gramStart"/>
      <w:r w:rsidRPr="00FB3952">
        <w:rPr>
          <w:rFonts w:ascii="Arial" w:hAnsi="Arial" w:cs="Arial"/>
          <w:lang w:val="en-US"/>
        </w:rPr>
        <w:t xml:space="preserve">can </w:t>
      </w:r>
      <w:r w:rsidRPr="00FB3952">
        <w:rPr>
          <w:rFonts w:ascii="Arial" w:hAnsi="Arial" w:cs="Arial"/>
          <w:lang w:val="en-US"/>
        </w:rPr>
        <w:t>be considered</w:t>
      </w:r>
      <w:proofErr w:type="gramEnd"/>
      <w:r w:rsidRPr="00FB3952">
        <w:rPr>
          <w:rFonts w:ascii="Arial" w:hAnsi="Arial" w:cs="Arial"/>
          <w:lang w:val="en-US"/>
        </w:rPr>
        <w:t xml:space="preserve"> a form of </w:t>
      </w:r>
      <w:r w:rsidRPr="00FB3952">
        <w:rPr>
          <w:rFonts w:ascii="Arial" w:hAnsi="Arial" w:cs="Arial"/>
          <w:lang w:val="en-US"/>
        </w:rPr>
        <w:t>accelerated brain aging on MRI</w:t>
      </w:r>
      <w:r w:rsidR="00FE2F1A">
        <w:rPr>
          <w:rFonts w:ascii="Arial" w:hAnsi="Arial" w:cs="Arial"/>
          <w:lang w:val="en-US"/>
        </w:rPr>
        <w:t xml:space="preserve"> (p. 15)</w:t>
      </w:r>
      <w:r w:rsidRPr="00FB3952">
        <w:rPr>
          <w:rFonts w:ascii="Arial" w:hAnsi="Arial" w:cs="Arial"/>
          <w:lang w:val="en-US"/>
        </w:rPr>
        <w:t>.</w:t>
      </w:r>
      <w:r w:rsidR="00FE2F1A">
        <w:rPr>
          <w:rFonts w:ascii="Arial" w:hAnsi="Arial" w:cs="Arial"/>
          <w:lang w:val="en-US"/>
        </w:rPr>
        <w:t xml:space="preserve"> </w:t>
      </w:r>
    </w:p>
    <w:p w14:paraId="5EFDDF10" w14:textId="5847507C" w:rsidR="00FB3952" w:rsidRPr="00FB3952" w:rsidRDefault="00FB3952" w:rsidP="00FB3952">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MRI BAG (AUC = .73), which was derived from multi-dimensional data predicted cognitive outcome comparably well as established AD biomarkers (AUC = .70 - .78) after correcting for age, sex, years of education and APOE-e4 carriership. </w:t>
      </w:r>
      <w:r w:rsidR="00FE2F1A">
        <w:rPr>
          <w:rFonts w:ascii="Arial" w:eastAsia="Times New Roman" w:hAnsi="Arial" w:cs="Arial"/>
          <w:color w:val="000000" w:themeColor="text1"/>
          <w:szCs w:val="24"/>
          <w:lang w:val="en-US"/>
        </w:rPr>
        <w:t>Based on these results, we recommend further testing of MRI BAG as a complement measure for the development of reliable prognostic tools for MCI-to-AD conversion (p. 14)</w:t>
      </w:r>
      <w:r w:rsidR="00BD2F9D">
        <w:rPr>
          <w:rFonts w:ascii="Arial" w:eastAsia="Times New Roman" w:hAnsi="Arial" w:cs="Arial"/>
          <w:color w:val="000000" w:themeColor="text1"/>
          <w:szCs w:val="24"/>
          <w:lang w:val="en-US"/>
        </w:rPr>
        <w:t>.</w:t>
      </w:r>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Pr="003173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highlight w:val="yellow"/>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commentRangeStart w:id="1"/>
      <w:proofErr w:type="gramEnd"/>
      <w:r w:rsidRPr="001E2A19">
        <w:rPr>
          <w:rFonts w:ascii="Arial" w:eastAsia="Times New Roman" w:hAnsi="Arial" w:cs="Arial"/>
          <w:b/>
          <w:color w:val="000000" w:themeColor="text1"/>
          <w:szCs w:val="24"/>
          <w:lang w:val="en-US"/>
        </w:rPr>
        <w:t xml:space="preserve">. In particular, what is the status of cognitively healthy subjects </w:t>
      </w:r>
      <w:r w:rsidRPr="003173CD">
        <w:rPr>
          <w:rFonts w:ascii="Arial" w:eastAsia="Times New Roman" w:hAnsi="Arial" w:cs="Arial"/>
          <w:b/>
          <w:color w:val="000000" w:themeColor="text1"/>
          <w:szCs w:val="24"/>
          <w:highlight w:val="yellow"/>
          <w:lang w:val="en-US"/>
        </w:rPr>
        <w:t xml:space="preserve">regarding the AD biomarkers? </w:t>
      </w:r>
      <w:commentRangeEnd w:id="1"/>
      <w:r w:rsidR="006E3CC8">
        <w:rPr>
          <w:rStyle w:val="Kommentarzeichen"/>
        </w:rPr>
        <w:commentReference w:id="1"/>
      </w:r>
    </w:p>
    <w:p w14:paraId="23629272" w14:textId="3892CB90" w:rsidR="00C267E7" w:rsidRDefault="00C97569"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It is a highly relevant question of whether or not CN and SCD </w:t>
      </w:r>
      <w:proofErr w:type="gramStart"/>
      <w:r>
        <w:rPr>
          <w:rFonts w:ascii="Arial" w:eastAsia="Times New Roman" w:hAnsi="Arial" w:cs="Arial"/>
          <w:color w:val="000000" w:themeColor="text1"/>
          <w:szCs w:val="24"/>
          <w:lang w:val="en-US"/>
        </w:rPr>
        <w:t>should be grouped</w:t>
      </w:r>
      <w:proofErr w:type="gramEnd"/>
      <w:r>
        <w:rPr>
          <w:rFonts w:ascii="Arial" w:eastAsia="Times New Roman" w:hAnsi="Arial" w:cs="Arial"/>
          <w:color w:val="000000" w:themeColor="text1"/>
          <w:szCs w:val="24"/>
          <w:lang w:val="en-US"/>
        </w:rPr>
        <w:t xml:space="preserve"> together in our analyses. </w:t>
      </w:r>
      <w:r w:rsidR="005B0AAC">
        <w:rPr>
          <w:rFonts w:ascii="Arial" w:eastAsia="Times New Roman" w:hAnsi="Arial" w:cs="Arial"/>
          <w:color w:val="000000" w:themeColor="text1"/>
          <w:szCs w:val="24"/>
          <w:lang w:val="en-US"/>
        </w:rPr>
        <w:t>While previously, we kept CN and SCD grouped together to increase both sample size and variance of our training sample</w:t>
      </w:r>
      <w:r w:rsidR="00C27538">
        <w:rPr>
          <w:rFonts w:ascii="Arial" w:eastAsia="Times New Roman" w:hAnsi="Arial" w:cs="Arial"/>
          <w:color w:val="000000" w:themeColor="text1"/>
          <w:szCs w:val="24"/>
          <w:lang w:val="en-US"/>
        </w:rPr>
        <w:t xml:space="preserve">, as well as due to methodological </w:t>
      </w:r>
      <w:r w:rsidR="00BD2F9D">
        <w:rPr>
          <w:rFonts w:ascii="Arial" w:eastAsia="Times New Roman" w:hAnsi="Arial" w:cs="Arial"/>
          <w:color w:val="000000" w:themeColor="text1"/>
          <w:szCs w:val="24"/>
          <w:lang w:val="en-US"/>
        </w:rPr>
        <w:t>limitations</w:t>
      </w:r>
      <w:r w:rsidR="00C27538">
        <w:rPr>
          <w:rFonts w:ascii="Arial" w:eastAsia="Times New Roman" w:hAnsi="Arial" w:cs="Arial"/>
          <w:color w:val="000000" w:themeColor="text1"/>
          <w:szCs w:val="24"/>
          <w:lang w:val="en-US"/>
        </w:rPr>
        <w:t xml:space="preserve"> in ADNI (see below)</w:t>
      </w:r>
      <w:r w:rsidR="005B0AAC">
        <w:rPr>
          <w:rFonts w:ascii="Arial" w:eastAsia="Times New Roman" w:hAnsi="Arial" w:cs="Arial"/>
          <w:color w:val="000000" w:themeColor="text1"/>
          <w:szCs w:val="24"/>
          <w:lang w:val="en-US"/>
        </w:rPr>
        <w:t>, w</w:t>
      </w:r>
      <w:r w:rsidR="005A57EB" w:rsidRPr="005A57EB">
        <w:rPr>
          <w:rFonts w:ascii="Arial" w:eastAsia="Times New Roman" w:hAnsi="Arial" w:cs="Arial"/>
          <w:color w:val="000000" w:themeColor="text1"/>
          <w:szCs w:val="24"/>
          <w:lang w:val="en-US"/>
        </w:rPr>
        <w:t xml:space="preserve">e </w:t>
      </w:r>
      <w:r w:rsidR="005B0AAC">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w:t>
      </w:r>
      <w:r>
        <w:rPr>
          <w:rFonts w:ascii="Arial" w:eastAsia="Times New Roman" w:hAnsi="Arial" w:cs="Arial"/>
          <w:color w:val="000000" w:themeColor="text1"/>
          <w:szCs w:val="24"/>
          <w:lang w:val="en-US"/>
        </w:rPr>
        <w:t>important</w:t>
      </w:r>
      <w:r w:rsidR="005A57EB">
        <w:rPr>
          <w:rFonts w:ascii="Arial" w:eastAsia="Times New Roman" w:hAnsi="Arial" w:cs="Arial"/>
          <w:color w:val="000000" w:themeColor="text1"/>
          <w:szCs w:val="24"/>
          <w:lang w:val="en-US"/>
        </w:rPr>
        <w:t xml:space="preserve"> for our research question to treat CN and SCD as separate groups.</w:t>
      </w:r>
      <w:r w:rsidR="00C267E7">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 xml:space="preserve"> In the revised version of the manuscript, we trained the brain age estimation models only on data from CN </w:t>
      </w:r>
      <w:r w:rsidR="005A57EB" w:rsidRPr="008973DE">
        <w:rPr>
          <w:rFonts w:ascii="Arial" w:eastAsia="Times New Roman" w:hAnsi="Arial" w:cs="Arial"/>
          <w:color w:val="000000" w:themeColor="text1"/>
          <w:szCs w:val="24"/>
          <w:lang w:val="en-US"/>
        </w:rPr>
        <w:t>(</w:t>
      </w:r>
      <w:r w:rsidR="008973DE" w:rsidRPr="008973DE">
        <w:rPr>
          <w:rFonts w:ascii="Arial" w:eastAsia="Times New Roman" w:hAnsi="Arial" w:cs="Arial"/>
          <w:color w:val="000000" w:themeColor="text1"/>
          <w:szCs w:val="24"/>
          <w:lang w:val="en-US"/>
        </w:rPr>
        <w:t xml:space="preserve">n = </w:t>
      </w:r>
      <w:r w:rsidR="00BD2F9D">
        <w:rPr>
          <w:rFonts w:ascii="Arial" w:eastAsia="Times New Roman" w:hAnsi="Arial" w:cs="Arial"/>
          <w:color w:val="000000" w:themeColor="text1"/>
          <w:szCs w:val="24"/>
          <w:lang w:val="en-US"/>
        </w:rPr>
        <w:t>185</w:t>
      </w:r>
      <w:r w:rsidR="005A57EB" w:rsidRPr="008973DE">
        <w:rPr>
          <w:rFonts w:ascii="Arial" w:eastAsia="Times New Roman" w:hAnsi="Arial" w:cs="Arial"/>
          <w:color w:val="000000" w:themeColor="text1"/>
          <w:szCs w:val="24"/>
          <w:lang w:val="en-US"/>
        </w:rPr>
        <w:t>)</w:t>
      </w:r>
      <w:r w:rsidR="005A57EB">
        <w:rPr>
          <w:rFonts w:ascii="Arial" w:eastAsia="Times New Roman" w:hAnsi="Arial" w:cs="Arial"/>
          <w:color w:val="000000" w:themeColor="text1"/>
          <w:szCs w:val="24"/>
          <w:lang w:val="en-US"/>
        </w:rPr>
        <w:t xml:space="preserve"> and </w:t>
      </w:r>
      <w:r w:rsidR="00C27538">
        <w:rPr>
          <w:rFonts w:ascii="Arial" w:eastAsia="Times New Roman" w:hAnsi="Arial" w:cs="Arial"/>
          <w:color w:val="000000" w:themeColor="text1"/>
          <w:szCs w:val="24"/>
          <w:lang w:val="en-US"/>
        </w:rPr>
        <w:t>reserved</w:t>
      </w:r>
      <w:r w:rsidR="005A57EB">
        <w:rPr>
          <w:rFonts w:ascii="Arial" w:eastAsia="Times New Roman" w:hAnsi="Arial" w:cs="Arial"/>
          <w:color w:val="000000" w:themeColor="text1"/>
          <w:szCs w:val="24"/>
          <w:lang w:val="en-US"/>
        </w:rPr>
        <w:t xml:space="preserve"> </w:t>
      </w:r>
      <w:r w:rsidR="005A57EB" w:rsidRPr="008973DE">
        <w:rPr>
          <w:rFonts w:ascii="Arial" w:eastAsia="Times New Roman" w:hAnsi="Arial" w:cs="Arial"/>
          <w:color w:val="000000" w:themeColor="text1"/>
          <w:szCs w:val="24"/>
          <w:lang w:val="en-US"/>
        </w:rPr>
        <w:t>SCD (n = 102)</w:t>
      </w:r>
      <w:r w:rsidR="005A57EB">
        <w:rPr>
          <w:rFonts w:ascii="Arial" w:eastAsia="Times New Roman" w:hAnsi="Arial" w:cs="Arial"/>
          <w:color w:val="000000" w:themeColor="text1"/>
          <w:szCs w:val="24"/>
          <w:lang w:val="en-US"/>
        </w:rPr>
        <w:t xml:space="preserve"> from ADNI as an additional </w:t>
      </w:r>
      <w:r w:rsidR="005A57EB" w:rsidRPr="00BD2F9D">
        <w:rPr>
          <w:rFonts w:ascii="Arial" w:eastAsia="Times New Roman" w:hAnsi="Arial" w:cs="Arial"/>
          <w:color w:val="000000" w:themeColor="text1"/>
          <w:szCs w:val="24"/>
          <w:lang w:val="en-US"/>
        </w:rPr>
        <w:t>clinical sample</w:t>
      </w:r>
      <w:r w:rsidR="00BD2F9D">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Note, however, that the label “SCD” </w:t>
      </w:r>
      <w:proofErr w:type="gramStart"/>
      <w:r>
        <w:rPr>
          <w:rFonts w:ascii="Arial" w:eastAsia="Times New Roman" w:hAnsi="Arial" w:cs="Arial"/>
          <w:color w:val="000000" w:themeColor="text1"/>
          <w:szCs w:val="24"/>
          <w:lang w:val="en-US"/>
        </w:rPr>
        <w:t>was only introduced</w:t>
      </w:r>
      <w:proofErr w:type="gramEnd"/>
      <w:r>
        <w:rPr>
          <w:rFonts w:ascii="Arial" w:eastAsia="Times New Roman" w:hAnsi="Arial" w:cs="Arial"/>
          <w:color w:val="000000" w:themeColor="text1"/>
          <w:szCs w:val="24"/>
          <w:lang w:val="en-US"/>
        </w:rPr>
        <w:t xml:space="preserve"> in ADNI2. </w:t>
      </w:r>
      <w:r w:rsidR="00C27538">
        <w:rPr>
          <w:rFonts w:ascii="Arial" w:eastAsia="Times New Roman" w:hAnsi="Arial" w:cs="Arial"/>
          <w:color w:val="000000" w:themeColor="text1"/>
          <w:szCs w:val="24"/>
          <w:lang w:val="en-US"/>
        </w:rPr>
        <w:t>I</w:t>
      </w:r>
      <w:r>
        <w:rPr>
          <w:rFonts w:ascii="Arial" w:eastAsia="Times New Roman" w:hAnsi="Arial" w:cs="Arial"/>
          <w:color w:val="000000" w:themeColor="text1"/>
          <w:szCs w:val="24"/>
          <w:lang w:val="en-US"/>
        </w:rPr>
        <w:t xml:space="preserve">ndividuals recruited during ADNI1 </w:t>
      </w:r>
      <w:proofErr w:type="gramStart"/>
      <w:r w:rsidR="00BD2F9D">
        <w:rPr>
          <w:rFonts w:ascii="Arial" w:eastAsia="Times New Roman" w:hAnsi="Arial" w:cs="Arial"/>
          <w:color w:val="000000" w:themeColor="text1"/>
          <w:szCs w:val="24"/>
          <w:lang w:val="en-US"/>
        </w:rPr>
        <w:t>were therefore discarded</w:t>
      </w:r>
      <w:proofErr w:type="gramEnd"/>
      <w:r w:rsidR="00BD2F9D">
        <w:rPr>
          <w:rFonts w:ascii="Arial" w:eastAsia="Times New Roman" w:hAnsi="Arial" w:cs="Arial"/>
          <w:color w:val="000000" w:themeColor="text1"/>
          <w:szCs w:val="24"/>
          <w:lang w:val="en-US"/>
        </w:rPr>
        <w:t xml:space="preserve"> from </w:t>
      </w:r>
      <w:proofErr w:type="spellStart"/>
      <w:r w:rsidR="00BD2F9D">
        <w:rPr>
          <w:rFonts w:ascii="Arial" w:eastAsia="Times New Roman" w:hAnsi="Arial" w:cs="Arial"/>
          <w:color w:val="000000" w:themeColor="text1"/>
          <w:szCs w:val="24"/>
          <w:lang w:val="en-US"/>
        </w:rPr>
        <w:t>our</w:t>
      </w:r>
      <w:proofErr w:type="spellEnd"/>
      <w:r w:rsidR="00BD2F9D">
        <w:rPr>
          <w:rFonts w:ascii="Arial" w:eastAsia="Times New Roman" w:hAnsi="Arial" w:cs="Arial"/>
          <w:color w:val="000000" w:themeColor="text1"/>
          <w:szCs w:val="24"/>
          <w:lang w:val="en-US"/>
        </w:rPr>
        <w:t xml:space="preserve"> sample</w:t>
      </w:r>
      <w:r w:rsidR="00C27538">
        <w:rPr>
          <w:rFonts w:ascii="Arial" w:eastAsia="Times New Roman" w:hAnsi="Arial" w:cs="Arial"/>
          <w:color w:val="000000" w:themeColor="text1"/>
          <w:szCs w:val="24"/>
          <w:lang w:val="en-US"/>
        </w:rPr>
        <w:t xml:space="preserve">. </w:t>
      </w:r>
      <w:r w:rsidR="00BD2F9D">
        <w:rPr>
          <w:rFonts w:ascii="Arial" w:eastAsia="Times New Roman" w:hAnsi="Arial" w:cs="Arial"/>
          <w:color w:val="000000" w:themeColor="text1"/>
          <w:szCs w:val="24"/>
          <w:lang w:val="en-US"/>
        </w:rPr>
        <w:t xml:space="preserve">Amyloid and APOE-e4 status </w:t>
      </w:r>
      <w:proofErr w:type="gramStart"/>
      <w:r w:rsidR="00BD2F9D">
        <w:rPr>
          <w:rFonts w:ascii="Arial" w:eastAsia="Times New Roman" w:hAnsi="Arial" w:cs="Arial"/>
          <w:color w:val="000000" w:themeColor="text1"/>
          <w:szCs w:val="24"/>
          <w:lang w:val="en-US"/>
        </w:rPr>
        <w:t>are presented</w:t>
      </w:r>
      <w:proofErr w:type="gramEnd"/>
      <w:r w:rsidR="00BD2F9D">
        <w:rPr>
          <w:rFonts w:ascii="Arial" w:eastAsia="Times New Roman" w:hAnsi="Arial" w:cs="Arial"/>
          <w:color w:val="000000" w:themeColor="text1"/>
          <w:szCs w:val="24"/>
          <w:lang w:val="en-US"/>
        </w:rPr>
        <w:t xml:space="preserve"> in Table 1 (p. 21).</w:t>
      </w:r>
    </w:p>
    <w:p w14:paraId="75E1ACD2" w14:textId="22959A8E" w:rsidR="00BD2F9D" w:rsidRDefault="00BD2F9D"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Unfortunately, due to the small sample size of decliners in the CN</w:t>
      </w:r>
      <w:r w:rsidR="00256EDE">
        <w:rPr>
          <w:rFonts w:ascii="Arial" w:eastAsia="Times New Roman" w:hAnsi="Arial" w:cs="Arial"/>
          <w:color w:val="000000" w:themeColor="text1"/>
          <w:szCs w:val="24"/>
          <w:lang w:val="en-US"/>
        </w:rPr>
        <w:t xml:space="preserve"> (n=16)</w:t>
      </w:r>
      <w:r>
        <w:rPr>
          <w:rFonts w:ascii="Arial" w:eastAsia="Times New Roman" w:hAnsi="Arial" w:cs="Arial"/>
          <w:color w:val="000000" w:themeColor="text1"/>
          <w:szCs w:val="24"/>
          <w:lang w:val="en-US"/>
        </w:rPr>
        <w:t xml:space="preserve"> and SCD cohorts</w:t>
      </w:r>
      <w:r w:rsidR="00256EDE">
        <w:rPr>
          <w:rFonts w:ascii="Arial" w:eastAsia="Times New Roman" w:hAnsi="Arial" w:cs="Arial"/>
          <w:color w:val="000000" w:themeColor="text1"/>
          <w:szCs w:val="24"/>
          <w:lang w:val="en-US"/>
        </w:rPr>
        <w:t xml:space="preserve"> (n=10)</w:t>
      </w:r>
      <w:r>
        <w:rPr>
          <w:rFonts w:ascii="Arial" w:eastAsia="Times New Roman" w:hAnsi="Arial" w:cs="Arial"/>
          <w:color w:val="000000" w:themeColor="text1"/>
          <w:szCs w:val="24"/>
          <w:lang w:val="en-US"/>
        </w:rPr>
        <w:t>, we could not reliably separate these groups for the prediction of cognitive outcome analyses.</w:t>
      </w:r>
      <w:r w:rsidR="00256EDE">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Hence, while we </w:t>
      </w:r>
      <w:r w:rsidR="00256EDE">
        <w:rPr>
          <w:rFonts w:ascii="Arial" w:eastAsia="Times New Roman" w:hAnsi="Arial" w:cs="Arial"/>
          <w:color w:val="000000" w:themeColor="text1"/>
          <w:szCs w:val="24"/>
          <w:lang w:val="en-US"/>
        </w:rPr>
        <w:t xml:space="preserve">isolated CN and SCD for the training of our models, as well as to compute correlations of BAG with cognitive performance and AD neuropathology, CN and SCD </w:t>
      </w:r>
      <w:proofErr w:type="gramStart"/>
      <w:r w:rsidR="00256EDE">
        <w:rPr>
          <w:rFonts w:ascii="Arial" w:eastAsia="Times New Roman" w:hAnsi="Arial" w:cs="Arial"/>
          <w:color w:val="000000" w:themeColor="text1"/>
          <w:szCs w:val="24"/>
          <w:lang w:val="en-US"/>
        </w:rPr>
        <w:t>were grouped</w:t>
      </w:r>
      <w:proofErr w:type="gramEnd"/>
      <w:r w:rsidR="00256EDE">
        <w:rPr>
          <w:rFonts w:ascii="Arial" w:eastAsia="Times New Roman" w:hAnsi="Arial" w:cs="Arial"/>
          <w:color w:val="000000" w:themeColor="text1"/>
          <w:szCs w:val="24"/>
          <w:lang w:val="en-US"/>
        </w:rPr>
        <w:t xml:space="preserve"> to a “cognitively unimpaired” (CU) cohort for the last part of our investigations. </w:t>
      </w:r>
      <w:r w:rsidR="00256EDE">
        <w:rPr>
          <w:rFonts w:ascii="Arial" w:eastAsia="Times New Roman" w:hAnsi="Arial" w:cs="Arial"/>
          <w:color w:val="000000" w:themeColor="text1"/>
          <w:szCs w:val="24"/>
          <w:lang w:val="en-US"/>
        </w:rPr>
        <w:t xml:space="preserve">The proportion of decliners was comparable in the </w:t>
      </w:r>
      <w:r w:rsidR="00256EDE">
        <w:rPr>
          <w:rFonts w:ascii="Arial" w:eastAsia="Times New Roman" w:hAnsi="Arial" w:cs="Arial"/>
          <w:color w:val="000000" w:themeColor="text1"/>
          <w:szCs w:val="24"/>
          <w:lang w:val="en-US"/>
        </w:rPr>
        <w:t xml:space="preserve">CN </w:t>
      </w:r>
      <w:r w:rsidR="00256EDE">
        <w:rPr>
          <w:rFonts w:ascii="Arial" w:eastAsia="Times New Roman" w:hAnsi="Arial" w:cs="Arial"/>
          <w:color w:val="000000" w:themeColor="text1"/>
          <w:szCs w:val="24"/>
          <w:lang w:val="en-US"/>
        </w:rPr>
        <w:t>(11%</w:t>
      </w:r>
      <w:r w:rsidR="00256EDE">
        <w:rPr>
          <w:rFonts w:ascii="Arial" w:eastAsia="Times New Roman" w:hAnsi="Arial" w:cs="Arial"/>
          <w:color w:val="000000" w:themeColor="text1"/>
          <w:szCs w:val="24"/>
          <w:lang w:val="en-US"/>
        </w:rPr>
        <w:t xml:space="preserve">) and </w:t>
      </w:r>
      <w:r w:rsidR="00256EDE">
        <w:rPr>
          <w:rFonts w:ascii="Arial" w:eastAsia="Times New Roman" w:hAnsi="Arial" w:cs="Arial"/>
          <w:color w:val="000000" w:themeColor="text1"/>
          <w:szCs w:val="24"/>
          <w:lang w:val="en-US"/>
        </w:rPr>
        <w:t>SCD</w:t>
      </w:r>
      <w:r w:rsidR="00256EDE">
        <w:rPr>
          <w:rFonts w:ascii="Arial" w:eastAsia="Times New Roman" w:hAnsi="Arial" w:cs="Arial"/>
          <w:color w:val="000000" w:themeColor="text1"/>
          <w:szCs w:val="24"/>
          <w:lang w:val="en-US"/>
        </w:rPr>
        <w:t xml:space="preserve"> group</w:t>
      </w:r>
      <w:r w:rsidR="00256EDE">
        <w:rPr>
          <w:rFonts w:ascii="Arial" w:eastAsia="Times New Roman" w:hAnsi="Arial" w:cs="Arial"/>
          <w:color w:val="000000" w:themeColor="text1"/>
          <w:szCs w:val="24"/>
          <w:lang w:val="en-US"/>
        </w:rPr>
        <w:t xml:space="preserve"> </w:t>
      </w:r>
      <w:r w:rsidR="00256EDE">
        <w:rPr>
          <w:rFonts w:ascii="Arial" w:eastAsia="Times New Roman" w:hAnsi="Arial" w:cs="Arial"/>
          <w:color w:val="000000" w:themeColor="text1"/>
          <w:szCs w:val="24"/>
          <w:lang w:val="en-US"/>
        </w:rPr>
        <w:t>(</w:t>
      </w:r>
      <w:r w:rsidR="00256EDE">
        <w:rPr>
          <w:rFonts w:ascii="Arial" w:eastAsia="Times New Roman" w:hAnsi="Arial" w:cs="Arial"/>
          <w:color w:val="000000" w:themeColor="text1"/>
          <w:szCs w:val="24"/>
          <w:lang w:val="en-US"/>
        </w:rPr>
        <w:t>12%).</w:t>
      </w:r>
      <w:r w:rsidR="00256EDE">
        <w:rPr>
          <w:rFonts w:ascii="Arial" w:eastAsia="Times New Roman" w:hAnsi="Arial" w:cs="Arial"/>
          <w:color w:val="000000" w:themeColor="text1"/>
          <w:szCs w:val="24"/>
          <w:lang w:val="en-US"/>
        </w:rPr>
        <w:t xml:space="preserve"> This justification for grouping together CN and SCD </w:t>
      </w:r>
      <w:proofErr w:type="gramStart"/>
      <w:r w:rsidR="00256EDE">
        <w:rPr>
          <w:rFonts w:ascii="Arial" w:eastAsia="Times New Roman" w:hAnsi="Arial" w:cs="Arial"/>
          <w:color w:val="000000" w:themeColor="text1"/>
          <w:szCs w:val="24"/>
          <w:lang w:val="en-US"/>
        </w:rPr>
        <w:t>is described</w:t>
      </w:r>
      <w:proofErr w:type="gramEnd"/>
      <w:r w:rsidR="00256EDE">
        <w:rPr>
          <w:rFonts w:ascii="Arial" w:eastAsia="Times New Roman" w:hAnsi="Arial" w:cs="Arial"/>
          <w:color w:val="000000" w:themeColor="text1"/>
          <w:szCs w:val="24"/>
          <w:lang w:val="en-US"/>
        </w:rPr>
        <w:t xml:space="preserve"> on p. 7:</w:t>
      </w:r>
    </w:p>
    <w:p w14:paraId="60570363" w14:textId="4E7B14E9" w:rsidR="00256EDE" w:rsidRPr="0035378A" w:rsidRDefault="00256EDE" w:rsidP="0035378A">
      <w:pPr>
        <w:tabs>
          <w:tab w:val="left" w:pos="916"/>
          <w:tab w:val="left" w:pos="1832"/>
          <w:tab w:val="left" w:pos="2748"/>
          <w:tab w:val="left" w:pos="3664"/>
          <w:tab w:val="left" w:pos="4580"/>
          <w:tab w:val="left" w:pos="5496"/>
          <w:tab w:val="left" w:pos="6412"/>
          <w:tab w:val="left" w:pos="7328"/>
          <w:tab w:val="left" w:pos="7938"/>
          <w:tab w:val="left" w:pos="8244"/>
          <w:tab w:val="left" w:pos="10076"/>
          <w:tab w:val="left" w:pos="10992"/>
          <w:tab w:val="left" w:pos="11908"/>
          <w:tab w:val="left" w:pos="12824"/>
          <w:tab w:val="left" w:pos="13740"/>
          <w:tab w:val="left" w:pos="14656"/>
        </w:tabs>
        <w:spacing w:after="0" w:line="270" w:lineRule="atLeast"/>
        <w:ind w:left="709" w:right="850"/>
        <w:jc w:val="both"/>
        <w:textAlignment w:val="baseline"/>
        <w:rPr>
          <w:rFonts w:ascii="Arial" w:eastAsia="Times New Roman" w:hAnsi="Arial" w:cs="Arial"/>
          <w:i/>
          <w:color w:val="000000" w:themeColor="text1"/>
          <w:szCs w:val="24"/>
          <w:lang w:val="en-US"/>
        </w:rPr>
      </w:pPr>
      <w:r w:rsidRPr="0035378A">
        <w:rPr>
          <w:rFonts w:ascii="Arial" w:eastAsia="Times New Roman" w:hAnsi="Arial" w:cs="Arial"/>
          <w:i/>
          <w:color w:val="000000" w:themeColor="text1"/>
          <w:szCs w:val="24"/>
          <w:lang w:val="en-US"/>
        </w:rPr>
        <w:t>“</w:t>
      </w:r>
      <w:r w:rsidR="0035378A" w:rsidRPr="0035378A">
        <w:rPr>
          <w:rFonts w:ascii="Arial" w:eastAsia="Times New Roman" w:hAnsi="Arial" w:cs="Arial"/>
          <w:i/>
          <w:color w:val="000000" w:themeColor="text1"/>
          <w:szCs w:val="24"/>
          <w:lang w:val="en-US"/>
        </w:rPr>
        <w:t>Due to the small number of decliners in the CNADNI (n=16</w:t>
      </w:r>
      <w:r w:rsidR="0035378A" w:rsidRPr="0035378A">
        <w:rPr>
          <w:rFonts w:ascii="Cambria Math" w:eastAsia="Times New Roman" w:hAnsi="Cambria Math" w:cs="Cambria Math"/>
          <w:i/>
          <w:color w:val="000000" w:themeColor="text1"/>
          <w:szCs w:val="24"/>
          <w:lang w:val="en-US"/>
        </w:rPr>
        <w:t>≙</w:t>
      </w:r>
      <w:r w:rsidR="0035378A" w:rsidRPr="0035378A">
        <w:rPr>
          <w:rFonts w:ascii="Arial" w:eastAsia="Times New Roman" w:hAnsi="Arial" w:cs="Arial"/>
          <w:i/>
          <w:color w:val="000000" w:themeColor="text1"/>
          <w:szCs w:val="24"/>
          <w:lang w:val="en-US"/>
        </w:rPr>
        <w:t>10%) and SCDADNI samples (n=10</w:t>
      </w:r>
      <w:r w:rsidR="0035378A" w:rsidRPr="0035378A">
        <w:rPr>
          <w:rFonts w:ascii="Cambria Math" w:eastAsia="Times New Roman" w:hAnsi="Cambria Math" w:cs="Cambria Math"/>
          <w:i/>
          <w:color w:val="000000" w:themeColor="text1"/>
          <w:szCs w:val="24"/>
          <w:lang w:val="en-US"/>
        </w:rPr>
        <w:t>≙</w:t>
      </w:r>
      <w:r w:rsidR="0035378A" w:rsidRPr="0035378A">
        <w:rPr>
          <w:rFonts w:ascii="Arial" w:eastAsia="Times New Roman" w:hAnsi="Arial" w:cs="Arial"/>
          <w:i/>
          <w:color w:val="000000" w:themeColor="text1"/>
          <w:szCs w:val="24"/>
          <w:lang w:val="en-US"/>
        </w:rPr>
        <w:t>12%), we combined the two groups to a cognitively unimpaired (CUADNI) cohort.”</w:t>
      </w:r>
    </w:p>
    <w:p w14:paraId="36E9A7AE" w14:textId="77777777" w:rsidR="00A91573" w:rsidRP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i/>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ED32C20" w14:textId="04CEEEBF" w:rsidR="00930860" w:rsidRPr="00930860" w:rsidRDefault="00930860" w:rsidP="0035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t>
      </w:r>
      <w:r w:rsidR="0035378A">
        <w:rPr>
          <w:rFonts w:ascii="Arial" w:eastAsia="Times New Roman" w:hAnsi="Arial" w:cs="Arial"/>
          <w:color w:val="000000" w:themeColor="text1"/>
          <w:szCs w:val="24"/>
          <w:lang w:val="en-US"/>
        </w:rPr>
        <w:t>We hope that with the new focus of our paper, this has become more apparent.</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1D439600"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 xml:space="preserve">p. </w:t>
      </w:r>
      <w:r w:rsidR="0035378A">
        <w:rPr>
          <w:rFonts w:ascii="Arial" w:eastAsia="Times New Roman" w:hAnsi="Arial" w:cs="Arial"/>
          <w:color w:val="000000" w:themeColor="text1"/>
          <w:szCs w:val="24"/>
          <w:highlight w:val="yellow"/>
          <w:lang w:val="en-US"/>
        </w:rPr>
        <w:t>15</w:t>
      </w:r>
      <w:r w:rsidR="001E2A19" w:rsidRPr="001E2A19">
        <w:rPr>
          <w:rFonts w:ascii="Arial" w:eastAsia="Times New Roman" w:hAnsi="Arial" w:cs="Arial"/>
          <w:color w:val="000000" w:themeColor="text1"/>
          <w:szCs w:val="24"/>
          <w:highlight w:val="yellow"/>
          <w:lang w:val="en-US"/>
        </w:rPr>
        <w:t>:</w:t>
      </w:r>
    </w:p>
    <w:p w14:paraId="520F27A7" w14:textId="51A3ED35" w:rsidR="003B122E" w:rsidRDefault="00811D20" w:rsidP="0035378A">
      <w:pPr>
        <w:tabs>
          <w:tab w:val="left" w:pos="916"/>
          <w:tab w:val="left" w:pos="1832"/>
          <w:tab w:val="left" w:pos="2748"/>
          <w:tab w:val="left" w:pos="3664"/>
          <w:tab w:val="left" w:pos="4580"/>
          <w:tab w:val="left" w:pos="5496"/>
          <w:tab w:val="left" w:pos="6412"/>
          <w:tab w:val="left" w:pos="7328"/>
          <w:tab w:val="left" w:pos="8244"/>
          <w:tab w:val="left" w:pos="8364"/>
          <w:tab w:val="left" w:pos="10076"/>
          <w:tab w:val="left" w:pos="10992"/>
          <w:tab w:val="left" w:pos="11908"/>
          <w:tab w:val="left" w:pos="12824"/>
          <w:tab w:val="left" w:pos="13740"/>
          <w:tab w:val="left" w:pos="14656"/>
        </w:tabs>
        <w:spacing w:after="0" w:line="270" w:lineRule="atLeast"/>
        <w:ind w:left="851" w:right="850"/>
        <w:jc w:val="both"/>
        <w:textAlignment w:val="baseline"/>
        <w:rPr>
          <w:rFonts w:ascii="Arial" w:eastAsia="Times New Roman" w:hAnsi="Arial" w:cs="Arial"/>
          <w:i/>
          <w:color w:val="000000" w:themeColor="text1"/>
          <w:szCs w:val="24"/>
          <w:lang w:val="en-US"/>
        </w:rPr>
      </w:pPr>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1447429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w:t>
      </w:r>
      <w:r w:rsidR="0035378A">
        <w:rPr>
          <w:rFonts w:ascii="Arial" w:eastAsia="Times New Roman" w:hAnsi="Arial" w:cs="Arial"/>
          <w:color w:val="000000" w:themeColor="text1"/>
          <w:szCs w:val="24"/>
          <w:lang w:val="en-US"/>
        </w:rPr>
        <w:t>investigate the profiles of</w:t>
      </w:r>
      <w:r w:rsidRPr="001E2A19">
        <w:rPr>
          <w:rFonts w:ascii="Arial" w:eastAsia="Times New Roman" w:hAnsi="Arial" w:cs="Arial"/>
          <w:color w:val="000000" w:themeColor="text1"/>
          <w:szCs w:val="24"/>
          <w:lang w:val="en-US"/>
        </w:rPr>
        <w:t xml:space="preserve"> clinically </w:t>
      </w:r>
      <w:r w:rsidR="0035378A">
        <w:rPr>
          <w:rFonts w:ascii="Arial" w:eastAsia="Times New Roman" w:hAnsi="Arial" w:cs="Arial"/>
          <w:color w:val="000000" w:themeColor="text1"/>
          <w:szCs w:val="24"/>
          <w:lang w:val="en-US"/>
        </w:rPr>
        <w:t>realistic</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w:t>
      </w:r>
      <w:r w:rsidR="0035378A">
        <w:rPr>
          <w:rFonts w:ascii="Arial" w:eastAsia="Times New Roman" w:hAnsi="Arial" w:cs="Arial"/>
          <w:color w:val="000000" w:themeColor="text1"/>
          <w:szCs w:val="24"/>
          <w:lang w:val="en-US"/>
        </w:rPr>
        <w:t>d to the supplementary results and serve to prove robustness of our method</w:t>
      </w:r>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47BC28EA"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Comparable pipelines as the one used here were also used to estimate brain age from MRI in previous works</w:t>
      </w:r>
      <w:r w:rsidR="0035378A">
        <w:rPr>
          <w:rFonts w:ascii="Arial" w:eastAsia="Times New Roman" w:hAnsi="Arial" w:cs="Arial"/>
          <w:color w:val="000000" w:themeColor="text1"/>
          <w:szCs w:val="24"/>
          <w:lang w:val="en-US"/>
        </w:rPr>
        <w:fldChar w:fldCharType="begin" w:fldLock="1"/>
      </w:r>
      <w:r w:rsidR="005017C1">
        <w:rPr>
          <w:rFonts w:ascii="Arial" w:eastAsia="Times New Roman" w:hAnsi="Arial" w:cs="Arial"/>
          <w:color w:val="000000" w:themeColor="text1"/>
          <w:szCs w:val="24"/>
          <w:lang w:val="en-US"/>
        </w:rPr>
        <w:instrText>ADDIN CSL_CITATION {"citationItems":[{"id":"ITEM-1","itemData":{"DOI":"10.1109/JBHI.2021.3083187","ISSN":"21682208","PMID":"34029201","abstract":"Machine learning (ML) algorithms play a vital role in the brain age estimation frameworks. The impact of regression algorithms on prediction accuracy in the brain age estimation frameworks have not been comprehensively evaluated. Here, we sought to assess the efficiency of different regression algorithms on brain age estimation. To this end, we built a brain age estimation framework based on a large set of cognitively healthy (CH) individuals (N = 788) as a training set followed by different regression algorithms (22 different algorithms in total). We then quantified each regression-algorithm on independent test sets composed of 88 CH individuals, 70 mild cognitive impairment patients as well as 30 Alzheimer's disease patients. The prediction accuracy in the independent test set (i.e., CH set) varied in regression algorithms mean absolute error (MAE) from 4.63 to 7.14 yrs, R2 from 0.76 to 0.88. The highest and lowest prediction accuracies were achieved by Quadratic Support Vector Regression algorithm (MAE = 4.63 yrs, R2 = 0.88, 95% CI = [-1.26, 1.42]) and Binary Decision Tree algorithm (MAE = 7.14 yrs, R2 = 0.76, 95% CI = [-1.50, 2.62]), respectively. Our experimental results demonstrate that the prediction accuracy in brain age frameworks is affected by regression algorithms, indicating that advanced machine learning algorithms can lead to more accurate brain age predictions in clinical settings.","author":[{"dropping-particle":"","family":"Beheshti","given":"Iman","non-dropping-particle":"","parse-names":false,"suffix":""},{"dropping-particle":"","family":"Ganaie","given":"M. A.","non-dropping-particle":"","parse-names":false,"suffix":""},{"dropping-particle":"","family":"Paliwal","given":"Vardhan","non-dropping-particle":"","parse-names":false,"suffix":""},{"dropping-particle":"","family":"Rastogi","given":"Aryan","non-dropping-particle":"","parse-names":false,"suffix":""},{"dropping-particle":"","family":"Razzak","given":"Imran","non-dropping-particle":"","parse-names":false,"suffix":""},{"dropping-particle":"","family":"Tanveer","given":"M.","non-dropping-particle":"","parse-names":false,"suffix":""}],"container-title":"IEEE Journal of Biomedical and Health Informatics","id":"ITEM-1","issue":"4","issued":{"date-parts":[["2022"]]},"page":"1432-1440","title":"Predicting Brain Age Using Machine Learning Algorithms: A Comprehensive Evaluation","type":"article-journal","volume":"26"},"uris":["http://www.mendeley.com/documents/?uuid=bdb6eee6-1fcd-370e-8256-a26c044b7419"]},{"id":"ITEM-2","itemData":{"DOI":"10.1016/j.nicl.2019.102063","ISSN":"22131582","PMID":"31795063","abstract":"The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Clinical","id":"ITEM-2","issued":{"date-parts":[["2019"]]},"page":"102063","title":"Bias-adjustment in neuroimaging-based brain age frameworks: A robust scheme","type":"article-journal","volume":"24"},"uris":["http://www.mendeley.com/documents/?uuid=9e38288c-47a7-3fd8-a73f-0ceebcf7b5e7"]},{"id":"ITEM-3","itemData":{"DOI":"10.1002/hbm.25368","ISSN":"10970193","abstract":"Brain morphology varies across the ageing trajectory and the prediction of a person's age using brain features can aid the detection of abnormalities in the ageing process. Existing studies on such “brain age prediction” vary widely in terms of their methods and type of data, so at present the most accurate and generalisable methodological approach is unclear. Therefore, we used the UK Biobank data set (N = 10,824, age range 47–73) to compare the performance of the machine learning models support vector regression, relevance vector regression and Gaussian process regression on whole-brain region-based or voxel-based structural magnetic resonance imaging data with or without dimensionality reduction through principal component analysis. Performance was assessed in the validation set through cross-validation as well as an independent test set. The models achieved mean absolute errors between 3.7 and 4.7 years, with those trained on voxel-level data with principal component analysis performing best. Overall, we observed little difference in performance between models trained on the same data type, indicating that the type of input data had greater impact on performance than model choice. All code is provided online in the hope that this will aid future research.","author":[{"dropping-particle":"","family":"Baecker","given":"Lea","non-dropping-particle":"","parse-names":false,"suffix":""},{"dropping-particle":"","family":"Dafflon","given":"Jessica","non-dropping-particle":"","parse-names":false,"suffix":""},{"dropping-particle":"","family":"Costa","given":"Pedro F.","non-dropping-particle":"da","parse-names":false,"suffix":""},{"dropping-particle":"","family":"Garcia-Dias","given":"Rafael","non-dropping-particle":"","parse-names":false,"suffix":""},{"dropping-particle":"","family":"Vieira","given":"Sandra","non-dropping-particle":"","parse-names":false,"suffix":""},{"dropping-particle":"","family":"Scarpazza","given":"Cristina","non-dropping-particle":"","parse-names":false,"suffix":""},{"dropping-particle":"","family":"Calhoun","given":"Vince D.","non-dropping-particle":"","parse-names":false,"suffix":""},{"dropping-particle":"","family":"Sato","given":"João R.","non-dropping-particle":"","parse-names":false,"suffix":""},{"dropping-particle":"","family":"Mechelli","given":"Andrea","non-dropping-particle":"","parse-names":false,"suffix":""},{"dropping-particle":"","family":"Pinaya","given":"Walter H.L.","non-dropping-particle":"","parse-names":false,"suffix":""}],"container-title":"Human Brain Mapping","id":"ITEM-3","issue":"8","issued":{"date-parts":[["2021"]]},"title":"Brain age prediction: A comparison between machine learning models using region- and voxel-based morphometric data","type":"article-journal","volume":"42"},"uris":["http://www.mendeley.com/documents/?uuid=5ab35a6a-a8f6-3fe0-bcac-66495d6b548f"]}],"mendeley":{"formattedCitation":"&lt;sup&gt;3–5&lt;/sup&gt;","plainTextFormattedCitation":"3–5","previouslyFormattedCitation":"&lt;sup&gt;3–5&lt;/sup&gt;"},"properties":{"noteIndex":0},"schema":"https://github.com/citation-style-language/schema/raw/master/csl-citation.json"}</w:instrText>
      </w:r>
      <w:r w:rsidR="0035378A">
        <w:rPr>
          <w:rFonts w:ascii="Arial" w:eastAsia="Times New Roman" w:hAnsi="Arial" w:cs="Arial"/>
          <w:color w:val="000000" w:themeColor="text1"/>
          <w:szCs w:val="24"/>
          <w:lang w:val="en-US"/>
        </w:rPr>
        <w:fldChar w:fldCharType="separate"/>
      </w:r>
      <w:r w:rsidR="0035378A" w:rsidRPr="0035378A">
        <w:rPr>
          <w:rFonts w:ascii="Arial" w:eastAsia="Times New Roman" w:hAnsi="Arial" w:cs="Arial"/>
          <w:noProof/>
          <w:color w:val="000000" w:themeColor="text1"/>
          <w:szCs w:val="24"/>
          <w:vertAlign w:val="superscript"/>
          <w:lang w:val="en-US"/>
        </w:rPr>
        <w:t>3–5</w:t>
      </w:r>
      <w:r w:rsidR="0035378A">
        <w:rPr>
          <w:rFonts w:ascii="Arial" w:eastAsia="Times New Roman" w:hAnsi="Arial" w:cs="Arial"/>
          <w:color w:val="000000" w:themeColor="text1"/>
          <w:szCs w:val="24"/>
          <w:lang w:val="en-US"/>
        </w:rPr>
        <w:fldChar w:fldCharType="end"/>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As mentioned in the manuscript, both, support and relevance vector machines have previously been demonstrated</w:t>
      </w:r>
      <w:r w:rsidR="005017C1">
        <w:rPr>
          <w:rFonts w:ascii="Arial" w:eastAsia="Times New Roman" w:hAnsi="Arial" w:cs="Arial"/>
          <w:color w:val="000000" w:themeColor="text1"/>
          <w:szCs w:val="24"/>
          <w:lang w:val="en-US"/>
        </w:rPr>
        <w:fldChar w:fldCharType="begin" w:fldLock="1"/>
      </w:r>
      <w:r w:rsidR="005017C1">
        <w:rPr>
          <w:rFonts w:ascii="Arial" w:eastAsia="Times New Roman" w:hAnsi="Arial" w:cs="Arial"/>
          <w:color w:val="000000" w:themeColor="text1"/>
          <w:szCs w:val="24"/>
          <w:lang w:val="en-US"/>
        </w:rPr>
        <w:instrText>ADDIN CSL_CITATION {"citationItems":[{"id":"ITEM-1","itemData":{"DOI":"10.1109/JBHI.2021.3083187","ISSN":"21682208","PMID":"34029201","abstract":"Machine learning (ML) algorithms play a vital role in the brain age estimation frameworks. The impact of regression algorithms on prediction accuracy in the brain age estimation frameworks have not been comprehensively evaluated. Here, we sought to assess the efficiency of different regression algorithms on brain age estimation. To this end, we built a brain age estimation framework based on a large set of cognitively healthy (CH) individuals (N = 788) as a training set followed by different regression algorithms (22 different algorithms in total). We then quantified each regression-algorithm on independent test sets composed of 88 CH individuals, 70 mild cognitive impairment patients as well as 30 Alzheimer's disease patients. The prediction accuracy in the independent test set (i.e., CH set) varied in regression algorithms mean absolute error (MAE) from 4.63 to 7.14 yrs, R2 from 0.76 to 0.88. The highest and lowest prediction accuracies were achieved by Quadratic Support Vector Regression algorithm (MAE = 4.63 yrs, R2 = 0.88, 95% CI = [-1.26, 1.42]) and Binary Decision Tree algorithm (MAE = 7.14 yrs, R2 = 0.76, 95% CI = [-1.50, 2.62]), respectively. Our experimental results demonstrate that the prediction accuracy in brain age frameworks is affected by regression algorithms, indicating that advanced machine learning algorithms can lead to more accurate brain age predictions in clinical settings.","author":[{"dropping-particle":"","family":"Beheshti","given":"Iman","non-dropping-particle":"","parse-names":false,"suffix":""},{"dropping-particle":"","family":"Ganaie","given":"M. A.","non-dropping-particle":"","parse-names":false,"suffix":""},{"dropping-particle":"","family":"Paliwal","given":"Vardhan","non-dropping-particle":"","parse-names":false,"suffix":""},{"dropping-particle":"","family":"Rastogi","given":"Aryan","non-dropping-particle":"","parse-names":false,"suffix":""},{"dropping-particle":"","family":"Razzak","given":"Imran","non-dropping-particle":"","parse-names":false,"suffix":""},{"dropping-particle":"","family":"Tanveer","given":"M.","non-dropping-particle":"","parse-names":false,"suffix":""}],"container-title":"IEEE Journal of Biomedical and Health Informatics","id":"ITEM-1","issue":"4","issued":{"date-parts":[["2022"]]},"page":"1432-1440","title":"Predicting Brain Age Using Machine Learning Algorithms: A Comprehensive Evaluation","type":"article-journal","volume":"26"},"uris":["http://www.mendeley.com/documents/?uuid=bdb6eee6-1fcd-370e-8256-a26c044b7419"]}],"mendeley":{"formattedCitation":"&lt;sup&gt;3&lt;/sup&gt;","plainTextFormattedCitation":"3","previouslyFormattedCitation":"&lt;sup&gt;3&lt;/sup&gt;"},"properties":{"noteIndex":0},"schema":"https://github.com/citation-style-language/schema/raw/master/csl-citation.json"}</w:instrText>
      </w:r>
      <w:r w:rsidR="005017C1">
        <w:rPr>
          <w:rFonts w:ascii="Arial" w:eastAsia="Times New Roman" w:hAnsi="Arial" w:cs="Arial"/>
          <w:color w:val="000000" w:themeColor="text1"/>
          <w:szCs w:val="24"/>
          <w:lang w:val="en-US"/>
        </w:rPr>
        <w:fldChar w:fldCharType="separate"/>
      </w:r>
      <w:r w:rsidR="005017C1" w:rsidRPr="005017C1">
        <w:rPr>
          <w:rFonts w:ascii="Arial" w:eastAsia="Times New Roman" w:hAnsi="Arial" w:cs="Arial"/>
          <w:noProof/>
          <w:color w:val="000000" w:themeColor="text1"/>
          <w:szCs w:val="24"/>
          <w:vertAlign w:val="superscript"/>
          <w:lang w:val="en-US"/>
        </w:rPr>
        <w:t>3</w:t>
      </w:r>
      <w:r w:rsidR="005017C1">
        <w:rPr>
          <w:rFonts w:ascii="Arial" w:eastAsia="Times New Roman" w:hAnsi="Arial" w:cs="Arial"/>
          <w:color w:val="000000" w:themeColor="text1"/>
          <w:szCs w:val="24"/>
          <w:lang w:val="en-US"/>
        </w:rPr>
        <w:fldChar w:fldCharType="end"/>
      </w:r>
      <w:r w:rsidRPr="001E2A19">
        <w:rPr>
          <w:rFonts w:ascii="Arial" w:eastAsia="Times New Roman" w:hAnsi="Arial" w:cs="Arial"/>
          <w:color w:val="000000" w:themeColor="text1"/>
          <w:szCs w:val="24"/>
          <w:lang w:val="en-US"/>
        </w:rPr>
        <w:t xml:space="preserve"> to perform brain age estimation well based on small datasets (p. </w:t>
      </w:r>
      <w:r w:rsidR="005017C1">
        <w:rPr>
          <w:rFonts w:ascii="Arial" w:eastAsia="Times New Roman" w:hAnsi="Arial" w:cs="Arial"/>
          <w:color w:val="000000" w:themeColor="text1"/>
          <w:szCs w:val="24"/>
          <w:lang w:val="en-US"/>
        </w:rPr>
        <w:t>4</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has</w:t>
      </w:r>
      <w:r w:rsidR="005017C1">
        <w:rPr>
          <w:rFonts w:ascii="Arial" w:eastAsia="Times New Roman" w:hAnsi="Arial" w:cs="Arial"/>
          <w:color w:val="000000" w:themeColor="text1"/>
          <w:szCs w:val="24"/>
          <w:lang w:val="en-US"/>
        </w:rPr>
        <w:t xml:space="preserve"> previously been employed in </w:t>
      </w:r>
      <w:proofErr w:type="spellStart"/>
      <w:r w:rsidR="005017C1">
        <w:rPr>
          <w:rFonts w:ascii="Arial" w:eastAsia="Times New Roman" w:hAnsi="Arial" w:cs="Arial"/>
          <w:color w:val="000000" w:themeColor="text1"/>
          <w:szCs w:val="24"/>
          <w:lang w:val="en-US"/>
        </w:rPr>
        <w:t>Baecker</w:t>
      </w:r>
      <w:proofErr w:type="spellEnd"/>
      <w:r w:rsidR="005017C1">
        <w:rPr>
          <w:rFonts w:ascii="Arial" w:eastAsia="Times New Roman" w:hAnsi="Arial" w:cs="Arial"/>
          <w:color w:val="000000" w:themeColor="text1"/>
          <w:szCs w:val="24"/>
          <w:lang w:val="en-US"/>
        </w:rPr>
        <w:t xml:space="preserve"> et al.</w:t>
      </w:r>
      <w:r w:rsidR="005017C1">
        <w:rPr>
          <w:rFonts w:ascii="Arial" w:eastAsia="Times New Roman" w:hAnsi="Arial" w:cs="Arial"/>
          <w:color w:val="000000" w:themeColor="text1"/>
          <w:szCs w:val="24"/>
          <w:lang w:val="en-US"/>
        </w:rPr>
        <w:fldChar w:fldCharType="begin" w:fldLock="1"/>
      </w:r>
      <w:r w:rsidR="00D82993">
        <w:rPr>
          <w:rFonts w:ascii="Arial" w:eastAsia="Times New Roman" w:hAnsi="Arial" w:cs="Arial"/>
          <w:color w:val="000000" w:themeColor="text1"/>
          <w:szCs w:val="24"/>
          <w:lang w:val="en-US"/>
        </w:rPr>
        <w:instrText>ADDIN CSL_CITATION {"citationItems":[{"id":"ITEM-1","itemData":{"DOI":"10.1002/hbm.25368","ISSN":"10970193","abstract":"Brain morphology varies across the ageing trajectory and the prediction of a person's age using brain features can aid the detection of abnormalities in the ageing process. Existing studies on such “brain age prediction” vary widely in terms of their methods and type of data, so at present the most accurate and generalisable methodological approach is unclear. Therefore, we used the UK Biobank data set (N = 10,824, age range 47–73) to compare the performance of the machine learning models support vector regression, relevance vector regression and Gaussian process regression on whole-brain region-based or voxel-based structural magnetic resonance imaging data with or without dimensionality reduction through principal component analysis. Performance was assessed in the validation set through cross-validation as well as an independent test set. The models achieved mean absolute errors between 3.7 and 4.7 years, with those trained on voxel-level data with principal component analysis performing best. Overall, we observed little difference in performance between models trained on the same data type, indicating that the type of input data had greater impact on performance than model choice. All code is provided online in the hope that this will aid future research.","author":[{"dropping-particle":"","family":"Baecker","given":"Lea","non-dropping-particle":"","parse-names":false,"suffix":""},{"dropping-particle":"","family":"Dafflon","given":"Jessica","non-dropping-particle":"","parse-names":false,"suffix":""},{"dropping-particle":"","family":"Costa","given":"Pedro F.","non-dropping-particle":"da","parse-names":false,"suffix":""},{"dropping-particle":"","family":"Garcia-Dias","given":"Rafael","non-dropping-particle":"","parse-names":false,"suffix":""},{"dropping-particle":"","family":"Vieira","given":"Sandra","non-dropping-particle":"","parse-names":false,"suffix":""},{"dropping-particle":"","family":"Scarpazza","given":"Cristina","non-dropping-particle":"","parse-names":false,"suffix":""},{"dropping-particle":"","family":"Calhoun","given":"Vince D.","non-dropping-particle":"","parse-names":false,"suffix":""},{"dropping-particle":"","family":"Sato","given":"João R.","non-dropping-particle":"","parse-names":false,"suffix":""},{"dropping-particle":"","family":"Mechelli","given":"Andrea","non-dropping-particle":"","parse-names":false,"suffix":""},{"dropping-particle":"","family":"Pinaya","given":"Walter H.L.","non-dropping-particle":"","parse-names":false,"suffix":""}],"container-title":"Human Brain Mapping","id":"ITEM-1","issue":"8","issued":{"date-parts":[["2021"]]},"title":"Brain age prediction: A comparison between machine learning models using region- and voxel-based morphometric data","type":"article-journal","volume":"42"},"uris":["http://www.mendeley.com/documents/?uuid=5ab35a6a-a8f6-3fe0-bcac-66495d6b548f"]}],"mendeley":{"formattedCitation":"&lt;sup&gt;5&lt;/sup&gt;","plainTextFormattedCitation":"5","previouslyFormattedCitation":"&lt;sup&gt;5&lt;/sup&gt;"},"properties":{"noteIndex":0},"schema":"https://github.com/citation-style-language/schema/raw/master/csl-citation.json"}</w:instrText>
      </w:r>
      <w:r w:rsidR="005017C1">
        <w:rPr>
          <w:rFonts w:ascii="Arial" w:eastAsia="Times New Roman" w:hAnsi="Arial" w:cs="Arial"/>
          <w:color w:val="000000" w:themeColor="text1"/>
          <w:szCs w:val="24"/>
          <w:lang w:val="en-US"/>
        </w:rPr>
        <w:fldChar w:fldCharType="separate"/>
      </w:r>
      <w:r w:rsidR="005017C1" w:rsidRPr="005017C1">
        <w:rPr>
          <w:rFonts w:ascii="Arial" w:eastAsia="Times New Roman" w:hAnsi="Arial" w:cs="Arial"/>
          <w:noProof/>
          <w:color w:val="000000" w:themeColor="text1"/>
          <w:szCs w:val="24"/>
          <w:vertAlign w:val="superscript"/>
          <w:lang w:val="en-US"/>
        </w:rPr>
        <w:t>5</w:t>
      </w:r>
      <w:r w:rsidR="005017C1">
        <w:rPr>
          <w:rFonts w:ascii="Arial" w:eastAsia="Times New Roman" w:hAnsi="Arial" w:cs="Arial"/>
          <w:color w:val="000000" w:themeColor="text1"/>
          <w:szCs w:val="24"/>
          <w:lang w:val="en-US"/>
        </w:rPr>
        <w:fldChar w:fldCharType="end"/>
      </w:r>
      <w:r w:rsidR="00CC2435"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 xml:space="preserve">Notably, our nested cross-validation procedure proved robustness of results as the range of MAE </w:t>
      </w:r>
      <w:r w:rsidR="00B560A7">
        <w:rPr>
          <w:rFonts w:ascii="Arial" w:eastAsia="Times New Roman" w:hAnsi="Arial" w:cs="Arial"/>
          <w:color w:val="000000" w:themeColor="text1"/>
          <w:szCs w:val="24"/>
          <w:lang w:val="en-US"/>
        </w:rPr>
        <w:t xml:space="preserve">in the test set </w:t>
      </w:r>
      <w:r w:rsidR="003B122E" w:rsidRPr="001E2A19">
        <w:rPr>
          <w:rFonts w:ascii="Arial" w:eastAsia="Times New Roman" w:hAnsi="Arial" w:cs="Arial"/>
          <w:color w:val="000000" w:themeColor="text1"/>
          <w:szCs w:val="24"/>
          <w:lang w:val="en-US"/>
        </w:rPr>
        <w:t xml:space="preserve">was </w:t>
      </w:r>
      <w:r w:rsidR="003B122E" w:rsidRPr="00D82993">
        <w:rPr>
          <w:rFonts w:ascii="Arial" w:eastAsia="Times New Roman" w:hAnsi="Arial" w:cs="Arial"/>
          <w:color w:val="000000" w:themeColor="text1"/>
          <w:szCs w:val="24"/>
          <w:lang w:val="en-US"/>
        </w:rPr>
        <w:t>considerably small (</w:t>
      </w:r>
      <w:r w:rsidR="00B560A7" w:rsidRPr="00D82993">
        <w:rPr>
          <w:rFonts w:ascii="Arial" w:eastAsia="Times New Roman" w:hAnsi="Arial" w:cs="Arial"/>
          <w:color w:val="000000" w:themeColor="text1"/>
          <w:szCs w:val="24"/>
          <w:lang w:val="en-US"/>
        </w:rPr>
        <w:t>range MRI</w:t>
      </w:r>
      <w:r w:rsidR="003B122E" w:rsidRPr="00D82993">
        <w:rPr>
          <w:rFonts w:ascii="Arial" w:eastAsia="Times New Roman" w:hAnsi="Arial" w:cs="Arial"/>
          <w:color w:val="000000" w:themeColor="text1"/>
          <w:szCs w:val="24"/>
          <w:lang w:val="en-US"/>
        </w:rPr>
        <w:t>:</w:t>
      </w:r>
      <w:r w:rsidR="00B560A7" w:rsidRPr="00D82993">
        <w:rPr>
          <w:rFonts w:ascii="Arial" w:eastAsia="Times New Roman" w:hAnsi="Arial" w:cs="Arial"/>
          <w:color w:val="000000" w:themeColor="text1"/>
          <w:szCs w:val="24"/>
          <w:lang w:val="en-US"/>
        </w:rPr>
        <w:t xml:space="preserve"> [2.00, 2.73]</w:t>
      </w:r>
      <w:r w:rsidR="003B122E" w:rsidRPr="00D82993">
        <w:rPr>
          <w:rFonts w:ascii="Arial" w:eastAsia="Times New Roman" w:hAnsi="Arial" w:cs="Arial"/>
          <w:color w:val="000000" w:themeColor="text1"/>
          <w:szCs w:val="24"/>
          <w:lang w:val="en-US"/>
        </w:rPr>
        <w:t xml:space="preserve">, </w:t>
      </w:r>
      <w:r w:rsidR="00B560A7" w:rsidRPr="00D82993">
        <w:rPr>
          <w:rFonts w:ascii="Arial" w:eastAsia="Times New Roman" w:hAnsi="Arial" w:cs="Arial"/>
          <w:color w:val="000000" w:themeColor="text1"/>
          <w:szCs w:val="24"/>
          <w:lang w:val="en-US"/>
        </w:rPr>
        <w:t>range PET</w:t>
      </w:r>
      <w:r w:rsidR="003B122E" w:rsidRPr="00D82993">
        <w:rPr>
          <w:rFonts w:ascii="Arial" w:eastAsia="Times New Roman" w:hAnsi="Arial" w:cs="Arial"/>
          <w:color w:val="000000" w:themeColor="text1"/>
          <w:szCs w:val="24"/>
          <w:lang w:val="en-US"/>
        </w:rPr>
        <w:t xml:space="preserve">: </w:t>
      </w:r>
      <w:r w:rsidR="00B560A7" w:rsidRPr="00D82993">
        <w:rPr>
          <w:rFonts w:ascii="Arial" w:eastAsia="Times New Roman" w:hAnsi="Arial" w:cs="Arial"/>
          <w:color w:val="000000" w:themeColor="text1"/>
          <w:szCs w:val="24"/>
          <w:lang w:val="en-US"/>
        </w:rPr>
        <w:t>[2.20</w:t>
      </w:r>
      <w:r w:rsidR="00B560A7">
        <w:rPr>
          <w:rFonts w:ascii="Arial" w:eastAsia="Times New Roman" w:hAnsi="Arial" w:cs="Arial"/>
          <w:color w:val="000000" w:themeColor="text1"/>
          <w:szCs w:val="24"/>
          <w:lang w:val="en-US"/>
        </w:rPr>
        <w:t>, 2.98]</w:t>
      </w:r>
      <w:r w:rsidR="003B122E" w:rsidRPr="001E2A19">
        <w:rPr>
          <w:rFonts w:ascii="Arial" w:eastAsia="Times New Roman" w:hAnsi="Arial" w:cs="Arial"/>
          <w:color w:val="000000" w:themeColor="text1"/>
          <w:szCs w:val="24"/>
          <w:lang w:val="en-US"/>
        </w:rPr>
        <w:t>)</w:t>
      </w:r>
      <w:r w:rsidR="00D82993">
        <w:rPr>
          <w:rFonts w:ascii="Arial" w:eastAsia="Times New Roman" w:hAnsi="Arial" w:cs="Arial"/>
          <w:color w:val="000000" w:themeColor="text1"/>
          <w:szCs w:val="24"/>
          <w:lang w:val="en-US"/>
        </w:rPr>
        <w:t xml:space="preserve"> and consistent with results obtained in the paper we used for reference for the bias adjustment procedure (MAE = </w:t>
      </w:r>
      <w:r w:rsidR="00D82993">
        <w:rPr>
          <w:rFonts w:ascii="Arial" w:eastAsia="Times New Roman" w:hAnsi="Arial" w:cs="Arial"/>
          <w:color w:val="000000" w:themeColor="text1"/>
          <w:szCs w:val="24"/>
          <w:lang w:val="en-US"/>
        </w:rPr>
        <w:lastRenderedPageBreak/>
        <w:t>2.36 years)</w:t>
      </w:r>
      <w:r w:rsidR="00D82993">
        <w:rPr>
          <w:rFonts w:ascii="Arial" w:eastAsia="Times New Roman" w:hAnsi="Arial" w:cs="Arial"/>
          <w:color w:val="000000" w:themeColor="text1"/>
          <w:szCs w:val="24"/>
          <w:lang w:val="en-US"/>
        </w:rPr>
        <w:fldChar w:fldCharType="begin" w:fldLock="1"/>
      </w:r>
      <w:r w:rsidR="00D82993">
        <w:rPr>
          <w:rFonts w:ascii="Arial" w:eastAsia="Times New Roman" w:hAnsi="Arial" w:cs="Arial"/>
          <w:color w:val="000000" w:themeColor="text1"/>
          <w:szCs w:val="24"/>
          <w:lang w:val="en-US"/>
        </w:rPr>
        <w:instrText>ADDIN CSL_CITATION {"citationItems":[{"id":"ITEM-1","itemData":{"DOI":"10.1016/j.nicl.2019.102063","ISSN":"22131582","PMID":"31795063","abstract":"The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Clinical","id":"ITEM-1","issued":{"date-parts":[["2019"]]},"page":"102063","title":"Bias-adjustment in neuroimaging-based brain age frameworks: A robust scheme","type":"article-journal","volume":"24"},"uris":["http://www.mendeley.com/documents/?uuid=9e38288c-47a7-3fd8-a73f-0ceebcf7b5e7"]}],"mendeley":{"formattedCitation":"&lt;sup&gt;4&lt;/sup&gt;","plainTextFormattedCitation":"4","previouslyFormattedCitation":"&lt;sup&gt;4&lt;/sup&gt;"},"properties":{"noteIndex":0},"schema":"https://github.com/citation-style-language/schema/raw/master/csl-citation.json"}</w:instrText>
      </w:r>
      <w:r w:rsidR="00D82993">
        <w:rPr>
          <w:rFonts w:ascii="Arial" w:eastAsia="Times New Roman" w:hAnsi="Arial" w:cs="Arial"/>
          <w:color w:val="000000" w:themeColor="text1"/>
          <w:szCs w:val="24"/>
          <w:lang w:val="en-US"/>
        </w:rPr>
        <w:fldChar w:fldCharType="separate"/>
      </w:r>
      <w:r w:rsidR="00D82993" w:rsidRPr="00D82993">
        <w:rPr>
          <w:rFonts w:ascii="Arial" w:eastAsia="Times New Roman" w:hAnsi="Arial" w:cs="Arial"/>
          <w:noProof/>
          <w:color w:val="000000" w:themeColor="text1"/>
          <w:szCs w:val="24"/>
          <w:vertAlign w:val="superscript"/>
          <w:lang w:val="en-US"/>
        </w:rPr>
        <w:t>4</w:t>
      </w:r>
      <w:r w:rsidR="00D82993">
        <w:rPr>
          <w:rFonts w:ascii="Arial" w:eastAsia="Times New Roman" w:hAnsi="Arial" w:cs="Arial"/>
          <w:color w:val="000000" w:themeColor="text1"/>
          <w:szCs w:val="24"/>
          <w:lang w:val="en-US"/>
        </w:rPr>
        <w:fldChar w:fldCharType="end"/>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D82993">
        <w:rPr>
          <w:rFonts w:ascii="Arial" w:eastAsia="Times New Roman" w:hAnsi="Arial" w:cs="Arial"/>
          <w:color w:val="000000" w:themeColor="text1"/>
          <w:szCs w:val="24"/>
          <w:lang w:val="en-US"/>
        </w:rPr>
        <w:t>in the range of [4.12, 4.52] for MRI models and [</w:t>
      </w:r>
      <w:r w:rsidR="00D82993">
        <w:rPr>
          <w:rFonts w:ascii="Arial" w:eastAsia="Times New Roman" w:hAnsi="Arial" w:cs="Arial"/>
          <w:color w:val="000000" w:themeColor="text1"/>
          <w:szCs w:val="24"/>
          <w:lang w:val="en-US"/>
        </w:rPr>
        <w:t>3.95, 4.38</w:t>
      </w:r>
      <w:r w:rsidR="00D82993">
        <w:rPr>
          <w:rFonts w:ascii="Arial" w:eastAsia="Times New Roman" w:hAnsi="Arial" w:cs="Arial"/>
          <w:color w:val="000000" w:themeColor="text1"/>
          <w:szCs w:val="24"/>
          <w:lang w:val="en-US"/>
        </w:rPr>
        <w:t>] for FDG-PET-derived models</w:t>
      </w:r>
      <w:r w:rsidR="00274D4E" w:rsidRPr="001E2A19">
        <w:rPr>
          <w:rFonts w:ascii="Arial" w:eastAsia="Times New Roman" w:hAnsi="Arial" w:cs="Arial"/>
          <w:color w:val="000000" w:themeColor="text1"/>
          <w:szCs w:val="24"/>
          <w:lang w:val="en-US"/>
        </w:rPr>
        <w:t xml:space="preserve">, which compares well to the </w:t>
      </w:r>
      <w:r w:rsidR="00D82993">
        <w:rPr>
          <w:rFonts w:ascii="Arial" w:eastAsia="Times New Roman" w:hAnsi="Arial" w:cs="Arial"/>
          <w:color w:val="000000" w:themeColor="text1"/>
          <w:szCs w:val="24"/>
          <w:lang w:val="en-US"/>
        </w:rPr>
        <w:t>average MAE of 4.21 and 3.43 reported for MRI- and FDG-PET-based models, respectively, prior to bias adjustment</w:t>
      </w:r>
      <w:r w:rsidR="00274D4E" w:rsidRPr="001E2A19">
        <w:rPr>
          <w:rFonts w:ascii="Arial" w:eastAsia="Times New Roman" w:hAnsi="Arial" w:cs="Arial"/>
          <w:color w:val="000000" w:themeColor="text1"/>
          <w:szCs w:val="24"/>
          <w:lang w:val="en-US"/>
        </w:rPr>
        <w:t xml:space="preserve"> in</w:t>
      </w:r>
      <w:r w:rsidR="00D82993">
        <w:rPr>
          <w:rFonts w:ascii="Arial" w:eastAsia="Times New Roman" w:hAnsi="Arial" w:cs="Arial"/>
          <w:color w:val="000000" w:themeColor="text1"/>
          <w:szCs w:val="24"/>
          <w:lang w:val="en-US"/>
        </w:rPr>
        <w:t xml:space="preserve"> Lee et al.</w:t>
      </w:r>
      <w:r w:rsidR="00D82993">
        <w:rPr>
          <w:rFonts w:ascii="Arial" w:eastAsia="Times New Roman" w:hAnsi="Arial" w:cs="Arial"/>
          <w:color w:val="000000" w:themeColor="text1"/>
          <w:szCs w:val="24"/>
          <w:lang w:val="en-US"/>
        </w:rPr>
        <w:fldChar w:fldCharType="begin" w:fldLock="1"/>
      </w:r>
      <w:r w:rsidR="00D82993">
        <w:rPr>
          <w:rFonts w:ascii="Arial" w:eastAsia="Times New Roman" w:hAnsi="Arial" w:cs="Arial"/>
          <w:color w:val="000000" w:themeColor="text1"/>
          <w:szCs w:val="24"/>
          <w:lang w:val="en-US"/>
        </w:rPr>
        <w:instrText>ADDIN CSL_CITATION {"citationItems":[{"id":"ITEM-1","itemData":{"DOI":"10.1038/s43587-022-00219-7","ISSN":"2662-8465","abstract":"Brain aging is accompanied by patterns of functional and structural change. Alzheimer’s disease (AD), a representative neurodegenerative disease, has been linked to accelerated brain aging. Here, we developed a deep learning-based brain age prediction model using a large collection of fluorodeoxyglucose positron emission tomography and structural magnetic resonance imaging and tested how the brain age gap relates to degenerative syndromes including mild cognitive impairment, AD, frontotemporal dementia and Lewy body dementia. Occlusion analysis, performed to facilitate the interpretation of the model, revealed that the model learns an age- and modality-specific pattern of brain aging. The elevated brain age gap was highly correlated with cognitive impairment and the AD biomarker. The higher gap also showed a longitudinal predictive nature across clinical categories, including cognitively unimpaired individuals who converted to a clinical stage. However, regions generating brain age gaps were different for each diagnostic group of which the AD continuum showed similar patterns to normal aging.","author":[{"dropping-particle":"","family":"Lee","given":"Jeyeon","non-dropping-particle":"","parse-names":false,"suffix":""},{"dropping-particle":"","family":"Burkett","given":"Brian J","non-dropping-particle":"","parse-names":false,"suffix":""},{"dropping-particle":"","family":"Min","given":"Hoon-Ki","non-dropping-particle":"","parse-names":false,"suffix":""},{"dropping-particle":"","family":"Senjem","given":"Matthew L","non-dropping-particle":"","parse-names":false,"suffix":""},{"dropping-particle":"","family":"Lundt","given":"Emily S","non-dropping-particle":"","parse-names":false,"suffix":""},{"dropping-particle":"","family":"Botha","given":"Hugo","non-dropping-particle":"","parse-names":false,"suffix":""},{"dropping-particle":"","family":"Graff-Radford","given":"Jonathan","non-dropping-particle":"","parse-names":false,"suffix":""},{"dropping-particle":"","family":"Barnard","given":"Leland R","non-dropping-particle":"","parse-names":false,"suffix":""},{"dropping-particle":"","family":"Gunter","given":"Jeffrey L","non-dropping-particle":"","parse-names":false,"suffix":""},{"dropping-particle":"","family":"Schwarz","given":"Christopher G","non-dropping-particle":"","parse-names":false,"suffix":""},{"dropping-particle":"","family":"Kantarci","given":"Kejal","non-dropping-particle":"","parse-names":false,"suffix":""},{"dropping-particle":"","family":"Knopman","given":"David S","non-dropping-particle":"","parse-names":false,"suffix":""},{"dropping-particle":"","family":"Boeve","given":"Bradley F","non-dropping-particle":"","parse-names":false,"suffix":""},{"dropping-particle":"","family":"Lowe","given":"Val J","non-dropping-particle":"","parse-names":false,"suffix":""},{"dropping-particle":"","family":"Petersen","given":"Ronald C","non-dropping-particle":"","parse-names":false,"suffix":""},{"dropping-particle":"","family":"Jack","given":"Clifford R","non-dropping-particle":"","parse-names":false,"suffix":""},{"dropping-particle":"","family":"Jones","given":"David T","non-dropping-particle":"","parse-names":false,"suffix":""}],"container-title":"Nature Aging","id":"ITEM-1","issued":{"date-parts":[["2022"]]},"page":"412–424","title":"Deep learning-based brain age prediction in normal aging and dementia","type":"article-journal","volume":"2"},"uris":["http://www.mendeley.com/documents/?uuid=95bb5b3c-bdf6-4a93-b7e7-20a98b34e0f2"]}],"mendeley":{"formattedCitation":"&lt;sup&gt;6&lt;/sup&gt;","plainTextFormattedCitation":"6"},"properties":{"noteIndex":0},"schema":"https://github.com/citation-style-language/schema/raw/master/csl-citation.json"}</w:instrText>
      </w:r>
      <w:r w:rsidR="00D82993">
        <w:rPr>
          <w:rFonts w:ascii="Arial" w:eastAsia="Times New Roman" w:hAnsi="Arial" w:cs="Arial"/>
          <w:color w:val="000000" w:themeColor="text1"/>
          <w:szCs w:val="24"/>
          <w:lang w:val="en-US"/>
        </w:rPr>
        <w:fldChar w:fldCharType="separate"/>
      </w:r>
      <w:r w:rsidR="00D82993" w:rsidRPr="00D82993">
        <w:rPr>
          <w:rFonts w:ascii="Arial" w:eastAsia="Times New Roman" w:hAnsi="Arial" w:cs="Arial"/>
          <w:noProof/>
          <w:color w:val="000000" w:themeColor="text1"/>
          <w:szCs w:val="24"/>
          <w:vertAlign w:val="superscript"/>
          <w:lang w:val="en-US"/>
        </w:rPr>
        <w:t>6</w:t>
      </w:r>
      <w:r w:rsidR="00D82993">
        <w:rPr>
          <w:rFonts w:ascii="Arial" w:eastAsia="Times New Roman" w:hAnsi="Arial" w:cs="Arial"/>
          <w:color w:val="000000" w:themeColor="text1"/>
          <w:szCs w:val="24"/>
          <w:lang w:val="en-US"/>
        </w:rPr>
        <w:fldChar w:fldCharType="end"/>
      </w:r>
      <w:r w:rsidR="00274D4E"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t>
      </w:r>
    </w:p>
    <w:p w14:paraId="25B1F3A8" w14:textId="1A67F1B0"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Finally, while we already planned to make our work publicly available on GitHub, we have additionally implemented an easy-to-use pipeline with instructions to allow for BAG assessment of new MRI or FDG-PET scans</w:t>
      </w:r>
      <w:r w:rsidR="00D82993">
        <w:rPr>
          <w:rFonts w:ascii="Arial" w:eastAsia="Times New Roman" w:hAnsi="Arial" w:cs="Arial"/>
          <w:color w:val="000000" w:themeColor="text1"/>
          <w:szCs w:val="24"/>
          <w:lang w:val="en-US"/>
        </w:rPr>
        <w:t xml:space="preserve"> in order to enable researchers </w:t>
      </w:r>
      <w:proofErr w:type="gramStart"/>
      <w:r w:rsidR="00D82993">
        <w:rPr>
          <w:rFonts w:ascii="Arial" w:eastAsia="Times New Roman" w:hAnsi="Arial" w:cs="Arial"/>
          <w:color w:val="000000" w:themeColor="text1"/>
          <w:szCs w:val="24"/>
          <w:lang w:val="en-US"/>
        </w:rPr>
        <w:t>to quickly access</w:t>
      </w:r>
      <w:proofErr w:type="gramEnd"/>
      <w:r w:rsidR="00D82993">
        <w:rPr>
          <w:rFonts w:ascii="Arial" w:eastAsia="Times New Roman" w:hAnsi="Arial" w:cs="Arial"/>
          <w:color w:val="000000" w:themeColor="text1"/>
          <w:szCs w:val="24"/>
          <w:lang w:val="en-US"/>
        </w:rPr>
        <w:t xml:space="preserve"> the tools we developed</w:t>
      </w:r>
      <w:r w:rsidRPr="001E2A19">
        <w:rPr>
          <w:rFonts w:ascii="Arial" w:eastAsia="Times New Roman" w:hAnsi="Arial" w:cs="Arial"/>
          <w:color w:val="000000" w:themeColor="text1"/>
          <w:szCs w:val="24"/>
          <w:lang w:val="en-US"/>
        </w:rPr>
        <w:t xml:space="preserve">. </w:t>
      </w:r>
      <w:r w:rsidR="00D82993">
        <w:rPr>
          <w:rFonts w:ascii="Arial" w:eastAsia="Times New Roman" w:hAnsi="Arial" w:cs="Arial"/>
          <w:color w:val="000000" w:themeColor="text1"/>
          <w:szCs w:val="24"/>
          <w:lang w:val="en-US"/>
        </w:rPr>
        <w:t xml:space="preserve">A </w:t>
      </w:r>
      <w:r w:rsidRPr="001E2A19">
        <w:rPr>
          <w:rFonts w:ascii="Arial" w:eastAsia="Times New Roman" w:hAnsi="Arial" w:cs="Arial"/>
          <w:color w:val="000000" w:themeColor="text1"/>
          <w:szCs w:val="24"/>
          <w:lang w:val="en-US"/>
        </w:rPr>
        <w:t xml:space="preserve">demonstration of the pipeline for external usage </w:t>
      </w:r>
      <w:proofErr w:type="gramStart"/>
      <w:r w:rsidRPr="001E2A19">
        <w:rPr>
          <w:rFonts w:ascii="Arial" w:eastAsia="Times New Roman" w:hAnsi="Arial" w:cs="Arial"/>
          <w:color w:val="000000" w:themeColor="text1"/>
          <w:szCs w:val="24"/>
          <w:lang w:val="en-US"/>
        </w:rPr>
        <w:t>has been added</w:t>
      </w:r>
      <w:proofErr w:type="gramEnd"/>
      <w:r w:rsidRPr="001E2A19">
        <w:rPr>
          <w:rFonts w:ascii="Arial" w:eastAsia="Times New Roman" w:hAnsi="Arial" w:cs="Arial"/>
          <w:color w:val="000000" w:themeColor="text1"/>
          <w:szCs w:val="24"/>
          <w:lang w:val="en-US"/>
        </w:rPr>
        <w:t xml:space="preserve">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000E7997">
        <w:rPr>
          <w:rFonts w:ascii="Arial" w:eastAsia="Times New Roman" w:hAnsi="Arial" w:cs="Arial"/>
          <w:color w:val="000000" w:themeColor="text1"/>
          <w:szCs w:val="24"/>
          <w:highlight w:val="yellow"/>
          <w:lang w:val="en-US"/>
        </w:rPr>
        <w:t xml:space="preserve">p. </w:t>
      </w:r>
      <w:r w:rsidR="000E7997">
        <w:rPr>
          <w:rFonts w:ascii="Arial" w:eastAsia="Times New Roman" w:hAnsi="Arial" w:cs="Arial"/>
          <w:color w:val="000000" w:themeColor="text1"/>
          <w:szCs w:val="24"/>
          <w:lang w:val="en-US"/>
        </w:rPr>
        <w:t>17</w:t>
      </w:r>
      <w:r w:rsidRPr="001E2A19">
        <w:rPr>
          <w:rFonts w:ascii="Arial" w:eastAsia="Times New Roman" w:hAnsi="Arial" w:cs="Arial"/>
          <w:color w:val="000000" w:themeColor="text1"/>
          <w:szCs w:val="24"/>
          <w:lang w:val="en-US"/>
        </w:rPr>
        <w:t>):</w:t>
      </w:r>
    </w:p>
    <w:p w14:paraId="7B4797D3" w14:textId="41602AEC" w:rsidR="003B122E" w:rsidRPr="000E7997" w:rsidRDefault="000E7997" w:rsidP="000E7997">
      <w:pPr>
        <w:tabs>
          <w:tab w:val="left" w:pos="916"/>
          <w:tab w:val="left" w:pos="1832"/>
          <w:tab w:val="left" w:pos="2748"/>
          <w:tab w:val="left" w:pos="3664"/>
          <w:tab w:val="left" w:pos="4580"/>
          <w:tab w:val="left" w:pos="5496"/>
          <w:tab w:val="left" w:pos="6412"/>
          <w:tab w:val="left" w:pos="7328"/>
          <w:tab w:val="left" w:pos="8244"/>
          <w:tab w:val="left" w:pos="8364"/>
          <w:tab w:val="left" w:pos="10076"/>
          <w:tab w:val="left" w:pos="10992"/>
          <w:tab w:val="left" w:pos="11908"/>
          <w:tab w:val="left" w:pos="12824"/>
          <w:tab w:val="left" w:pos="13740"/>
          <w:tab w:val="left" w:pos="14656"/>
        </w:tabs>
        <w:spacing w:after="0" w:line="270" w:lineRule="atLeast"/>
        <w:ind w:left="709" w:right="850"/>
        <w:jc w:val="both"/>
        <w:textAlignment w:val="baseline"/>
        <w:rPr>
          <w:rFonts w:ascii="Arial" w:eastAsia="Times New Roman" w:hAnsi="Arial" w:cs="Arial"/>
          <w:i/>
          <w:color w:val="000000" w:themeColor="text1"/>
          <w:szCs w:val="24"/>
          <w:lang w:val="en-GB"/>
        </w:rPr>
      </w:pPr>
      <w:bookmarkStart w:id="2" w:name="_GoBack"/>
      <w:r w:rsidRPr="000E7997">
        <w:rPr>
          <w:rFonts w:ascii="Arial" w:eastAsia="Times New Roman" w:hAnsi="Arial" w:cs="Arial"/>
          <w:i/>
          <w:color w:val="000000" w:themeColor="text1"/>
          <w:szCs w:val="24"/>
          <w:lang w:val="en-US"/>
        </w:rPr>
        <w:t>“The code used for this project will be made publicly available on the GitHub page of the first author upon publication.”</w:t>
      </w:r>
    </w:p>
    <w:bookmarkEnd w:id="2"/>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27C040D" w:rsidR="008A1995"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1AB46C2C" w14:textId="16A69ACB"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08D2A2D" w14:textId="76949841"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highlight w:val="yellow"/>
          <w:lang w:val="en-US"/>
        </w:rPr>
        <w:t xml:space="preserve">Added explanation: Correction for age </w:t>
      </w:r>
      <w:proofErr w:type="gramStart"/>
      <w:r>
        <w:rPr>
          <w:rFonts w:ascii="Times New Roman" w:eastAsia="Times New Roman" w:hAnsi="Times New Roman" w:cs="Times New Roman"/>
          <w:color w:val="000000"/>
          <w:highlight w:val="yellow"/>
          <w:lang w:val="en-US"/>
        </w:rPr>
        <w:t>was added</w:t>
      </w:r>
      <w:proofErr w:type="gramEnd"/>
      <w:r>
        <w:rPr>
          <w:rFonts w:ascii="Times New Roman" w:eastAsia="Times New Roman" w:hAnsi="Times New Roman" w:cs="Times New Roman"/>
          <w:color w:val="000000"/>
          <w:highlight w:val="yellow"/>
          <w:lang w:val="en-US"/>
        </w:rPr>
        <w:t xml:space="preserve"> despite successful bias correction given the age-associativity of the dependent variables.</w:t>
      </w:r>
    </w:p>
    <w:p w14:paraId="3DA1E029" w14:textId="1F6BF912" w:rsidR="00F81350" w:rsidRPr="001E2A19"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Times New Roman" w:eastAsia="Times New Roman" w:hAnsi="Times New Roman" w:cs="Times New Roman"/>
          <w:color w:val="000000"/>
          <w:lang w:val="en-US"/>
        </w:rPr>
        <w:t xml:space="preserve">Variables we corrected for </w:t>
      </w:r>
      <w:proofErr w:type="gramStart"/>
      <w:r>
        <w:rPr>
          <w:rFonts w:ascii="Times New Roman" w:eastAsia="Times New Roman" w:hAnsi="Times New Roman" w:cs="Times New Roman"/>
          <w:color w:val="000000"/>
          <w:lang w:val="en-US"/>
        </w:rPr>
        <w:t>were also used</w:t>
      </w:r>
      <w:proofErr w:type="gramEnd"/>
      <w:r>
        <w:rPr>
          <w:rFonts w:ascii="Times New Roman" w:eastAsia="Times New Roman" w:hAnsi="Times New Roman" w:cs="Times New Roman"/>
          <w:color w:val="000000"/>
          <w:lang w:val="en-US"/>
        </w:rPr>
        <w:t xml:space="preserve"> in ADNI-MEM paper.</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w:t>
      </w:r>
      <w:r w:rsidRPr="001E2A19">
        <w:rPr>
          <w:rFonts w:ascii="Arial" w:eastAsia="Times New Roman" w:hAnsi="Arial" w:cs="Arial"/>
          <w:color w:val="000000" w:themeColor="text1"/>
          <w:szCs w:val="24"/>
          <w:lang w:val="en-US"/>
        </w:rPr>
        <w:lastRenderedPageBreak/>
        <w:t>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t>References used for rebuttal letter</w:t>
      </w:r>
    </w:p>
    <w:p w14:paraId="71998F69" w14:textId="499D5E3F" w:rsidR="00942640" w:rsidRPr="00941014" w:rsidRDefault="00942640">
      <w:pPr>
        <w:rPr>
          <w:rFonts w:ascii="Arial" w:hAnsi="Arial" w:cs="Arial"/>
          <w:color w:val="000000" w:themeColor="text1"/>
          <w:szCs w:val="24"/>
          <w:lang w:val="en-US"/>
        </w:rPr>
      </w:pPr>
      <w:r w:rsidRPr="008973DE">
        <w:rPr>
          <w:rFonts w:ascii="Arial" w:hAnsi="Arial" w:cs="Arial"/>
          <w:color w:val="000000" w:themeColor="text1"/>
          <w:szCs w:val="24"/>
        </w:rPr>
        <w:t xml:space="preserve">[1] </w:t>
      </w:r>
      <w:proofErr w:type="spellStart"/>
      <w:r w:rsidRPr="008973DE">
        <w:rPr>
          <w:rFonts w:ascii="Arial" w:hAnsi="Arial" w:cs="Arial"/>
          <w:color w:val="000000" w:themeColor="text1"/>
          <w:szCs w:val="24"/>
        </w:rPr>
        <w:t>Saerens</w:t>
      </w:r>
      <w:proofErr w:type="spellEnd"/>
      <w:r w:rsidRPr="008973DE">
        <w:rPr>
          <w:rFonts w:ascii="Arial" w:hAnsi="Arial" w:cs="Arial"/>
          <w:color w:val="000000" w:themeColor="text1"/>
          <w:szCs w:val="24"/>
        </w:rPr>
        <w:t xml:space="preserve">, M., </w:t>
      </w:r>
      <w:proofErr w:type="spellStart"/>
      <w:r w:rsidRPr="008973DE">
        <w:rPr>
          <w:rFonts w:ascii="Arial" w:hAnsi="Arial" w:cs="Arial"/>
          <w:color w:val="000000" w:themeColor="text1"/>
          <w:szCs w:val="24"/>
        </w:rPr>
        <w:t>Latinne</w:t>
      </w:r>
      <w:proofErr w:type="spellEnd"/>
      <w:r w:rsidRPr="008973DE">
        <w:rPr>
          <w:rFonts w:ascii="Arial" w:hAnsi="Arial" w:cs="Arial"/>
          <w:color w:val="000000" w:themeColor="text1"/>
          <w:szCs w:val="24"/>
        </w:rPr>
        <w:t xml:space="preserve">, P., &amp; </w:t>
      </w:r>
      <w:proofErr w:type="spellStart"/>
      <w:r w:rsidRPr="008973DE">
        <w:rPr>
          <w:rFonts w:ascii="Arial" w:hAnsi="Arial" w:cs="Arial"/>
          <w:color w:val="000000" w:themeColor="text1"/>
          <w:szCs w:val="24"/>
        </w:rPr>
        <w:t>Decaestecker</w:t>
      </w:r>
      <w:proofErr w:type="spellEnd"/>
      <w:r w:rsidRPr="008973DE">
        <w:rPr>
          <w:rFonts w:ascii="Arial" w:hAnsi="Arial" w:cs="Arial"/>
          <w:color w:val="000000" w:themeColor="text1"/>
          <w:szCs w:val="24"/>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lena Doering" w:date="2023-02-23T11:56:00Z" w:initials="ED">
    <w:p w14:paraId="2A178D7A" w14:textId="7C55CFB5" w:rsidR="006E3CC8" w:rsidRDefault="006E3CC8">
      <w:pPr>
        <w:pStyle w:val="Kommentartext"/>
        <w:rPr>
          <w:lang w:val="en-US"/>
        </w:rPr>
      </w:pPr>
      <w:r>
        <w:rPr>
          <w:rStyle w:val="Kommentarzeichen"/>
        </w:rPr>
        <w:annotationRef/>
      </w:r>
      <w:r w:rsidRPr="006E3CC8">
        <w:rPr>
          <w:lang w:val="en-US"/>
        </w:rPr>
        <w:t>Clean dataset relating to amyloid</w:t>
      </w:r>
      <w:r>
        <w:rPr>
          <w:lang w:val="en-US"/>
        </w:rPr>
        <w:t>?</w:t>
      </w:r>
    </w:p>
    <w:p w14:paraId="030E4D6A" w14:textId="1AD3FD8E" w:rsidR="006E3CC8" w:rsidRDefault="006E3CC8">
      <w:pPr>
        <w:pStyle w:val="Kommentartext"/>
        <w:rPr>
          <w:lang w:val="en-US"/>
        </w:rPr>
      </w:pPr>
      <w:r>
        <w:rPr>
          <w:lang w:val="en-US"/>
        </w:rPr>
        <w:t xml:space="preserve">Variance </w:t>
      </w:r>
      <w:r w:rsidRPr="006E3CC8">
        <w:rPr>
          <w:lang w:val="en-US"/>
        </w:rPr>
        <w:sym w:font="Wingdings" w:char="F0E0"/>
      </w:r>
      <w:r>
        <w:rPr>
          <w:lang w:val="en-US"/>
        </w:rPr>
        <w:t xml:space="preserve"> real world: population not amyloid negative</w:t>
      </w:r>
    </w:p>
    <w:p w14:paraId="51B2FCB6" w14:textId="5A95C0EF" w:rsidR="000C4E61" w:rsidRDefault="000C4E61">
      <w:pPr>
        <w:pStyle w:val="Kommentartext"/>
        <w:rPr>
          <w:lang w:val="en-US"/>
        </w:rPr>
      </w:pPr>
    </w:p>
    <w:p w14:paraId="3E178377" w14:textId="77CA0032" w:rsidR="000C4E61" w:rsidRPr="006E3CC8" w:rsidRDefault="000C4E61">
      <w:pPr>
        <w:pStyle w:val="Kommentartext"/>
        <w:rPr>
          <w:lang w:val="en-US"/>
        </w:rPr>
      </w:pPr>
      <w:r>
        <w:rPr>
          <w:lang w:val="en-US"/>
        </w:rPr>
        <w:t>As the same could be argued for amyloid status, we pro-actively decided to also reduce the train set to only amyloid negative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1783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03783" w14:textId="77777777" w:rsidR="0086030D" w:rsidRDefault="0086030D" w:rsidP="002A03C1">
      <w:pPr>
        <w:spacing w:after="0" w:line="240" w:lineRule="auto"/>
      </w:pPr>
      <w:r>
        <w:separator/>
      </w:r>
    </w:p>
  </w:endnote>
  <w:endnote w:type="continuationSeparator" w:id="0">
    <w:p w14:paraId="4906BCB4" w14:textId="77777777" w:rsidR="0086030D" w:rsidRDefault="0086030D"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04921" w14:textId="77777777" w:rsidR="0086030D" w:rsidRDefault="0086030D" w:rsidP="002A03C1">
      <w:pPr>
        <w:spacing w:after="0" w:line="240" w:lineRule="auto"/>
      </w:pPr>
      <w:r>
        <w:separator/>
      </w:r>
    </w:p>
  </w:footnote>
  <w:footnote w:type="continuationSeparator" w:id="0">
    <w:p w14:paraId="6601A0AA" w14:textId="77777777" w:rsidR="0086030D" w:rsidRDefault="0086030D"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2284"/>
    <w:multiLevelType w:val="hybridMultilevel"/>
    <w:tmpl w:val="C5084FF0"/>
    <w:lvl w:ilvl="0" w:tplc="3286CB52">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0C4E61"/>
    <w:rsid w:val="000E7997"/>
    <w:rsid w:val="001209CD"/>
    <w:rsid w:val="001B2B64"/>
    <w:rsid w:val="001E1A30"/>
    <w:rsid w:val="001E2A19"/>
    <w:rsid w:val="001F5522"/>
    <w:rsid w:val="00256EDE"/>
    <w:rsid w:val="00274D4E"/>
    <w:rsid w:val="002A03C1"/>
    <w:rsid w:val="002C14F4"/>
    <w:rsid w:val="002E52ED"/>
    <w:rsid w:val="002F1EF8"/>
    <w:rsid w:val="003173CD"/>
    <w:rsid w:val="00336E51"/>
    <w:rsid w:val="0034433D"/>
    <w:rsid w:val="0035378A"/>
    <w:rsid w:val="00353AFE"/>
    <w:rsid w:val="00384003"/>
    <w:rsid w:val="003960E8"/>
    <w:rsid w:val="003B122E"/>
    <w:rsid w:val="00406B3D"/>
    <w:rsid w:val="004335D7"/>
    <w:rsid w:val="00444BB6"/>
    <w:rsid w:val="00475CEE"/>
    <w:rsid w:val="004A4770"/>
    <w:rsid w:val="004E1794"/>
    <w:rsid w:val="005017C1"/>
    <w:rsid w:val="00594990"/>
    <w:rsid w:val="005A2784"/>
    <w:rsid w:val="005A57EB"/>
    <w:rsid w:val="005B0AAC"/>
    <w:rsid w:val="005B3882"/>
    <w:rsid w:val="005F7EF2"/>
    <w:rsid w:val="00611CD8"/>
    <w:rsid w:val="006E3CC8"/>
    <w:rsid w:val="00774A5B"/>
    <w:rsid w:val="007A2100"/>
    <w:rsid w:val="00811D20"/>
    <w:rsid w:val="00812D15"/>
    <w:rsid w:val="00826EE7"/>
    <w:rsid w:val="00855BB7"/>
    <w:rsid w:val="0086030D"/>
    <w:rsid w:val="008973DE"/>
    <w:rsid w:val="008A1995"/>
    <w:rsid w:val="008B2B76"/>
    <w:rsid w:val="00901A58"/>
    <w:rsid w:val="00930860"/>
    <w:rsid w:val="00932AB5"/>
    <w:rsid w:val="00941014"/>
    <w:rsid w:val="00942640"/>
    <w:rsid w:val="00947D87"/>
    <w:rsid w:val="00950637"/>
    <w:rsid w:val="009903F9"/>
    <w:rsid w:val="009906C9"/>
    <w:rsid w:val="009906E4"/>
    <w:rsid w:val="009914C8"/>
    <w:rsid w:val="00A83C35"/>
    <w:rsid w:val="00A91573"/>
    <w:rsid w:val="00A95281"/>
    <w:rsid w:val="00AC23B4"/>
    <w:rsid w:val="00AD5765"/>
    <w:rsid w:val="00AF5E4D"/>
    <w:rsid w:val="00B1184F"/>
    <w:rsid w:val="00B35FC2"/>
    <w:rsid w:val="00B560A7"/>
    <w:rsid w:val="00BD2F9D"/>
    <w:rsid w:val="00C267E7"/>
    <w:rsid w:val="00C27538"/>
    <w:rsid w:val="00C81A06"/>
    <w:rsid w:val="00C97569"/>
    <w:rsid w:val="00CC2435"/>
    <w:rsid w:val="00CC4831"/>
    <w:rsid w:val="00CD31C8"/>
    <w:rsid w:val="00CE1583"/>
    <w:rsid w:val="00D77124"/>
    <w:rsid w:val="00D82993"/>
    <w:rsid w:val="00D93A2F"/>
    <w:rsid w:val="00DF118F"/>
    <w:rsid w:val="00DF4760"/>
    <w:rsid w:val="00E73926"/>
    <w:rsid w:val="00EA754C"/>
    <w:rsid w:val="00EC0A64"/>
    <w:rsid w:val="00F17705"/>
    <w:rsid w:val="00F36280"/>
    <w:rsid w:val="00F54553"/>
    <w:rsid w:val="00F81350"/>
    <w:rsid w:val="00F91D55"/>
    <w:rsid w:val="00FB3952"/>
    <w:rsid w:val="00FE0703"/>
    <w:rsid w:val="00FE2F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 w:type="paragraph" w:styleId="KeinLeerraum">
    <w:name w:val="No Spacing"/>
    <w:uiPriority w:val="1"/>
    <w:qFormat/>
    <w:rsid w:val="004335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7960-C326-4E01-9934-EC79B5638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8190</Words>
  <Characters>46688</Characters>
  <Application>Microsoft Office Word</Application>
  <DocSecurity>0</DocSecurity>
  <Lines>389</Lines>
  <Paragraphs>109</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54769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37</cp:revision>
  <dcterms:created xsi:type="dcterms:W3CDTF">2023-02-21T10:17:00Z</dcterms:created>
  <dcterms:modified xsi:type="dcterms:W3CDTF">2023-04-03T18:36:00Z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ba211d4a-1c22-34d0-af37-eed5eca2048f</vt:lpwstr>
  </property>
  <property fmtid="{D5CDD505-2E9C-101B-9397-08002B2CF9AE}" pid="24" name="Mendeley Citation Style_1">
    <vt:lpwstr>http://www.zotero.org/styles/american-medical-association</vt:lpwstr>
  </property>
</Properties>
</file>