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83" w:rsidRPr="00371B09" w:rsidRDefault="007F3C8F" w:rsidP="008A5776">
      <w:pPr>
        <w:spacing w:line="480" w:lineRule="auto"/>
        <w:rPr>
          <w:rFonts w:ascii="Times New Roman" w:hAnsi="Times New Roman" w:cs="Times New Roman"/>
          <w:b/>
          <w:lang w:val="en-US"/>
        </w:rPr>
      </w:pPr>
      <w:r w:rsidRPr="00371B09">
        <w:rPr>
          <w:rFonts w:ascii="Times New Roman" w:hAnsi="Times New Roman" w:cs="Times New Roman"/>
          <w:b/>
          <w:lang w:val="en-US"/>
        </w:rPr>
        <w:t>Supplementary Materials</w:t>
      </w:r>
    </w:p>
    <w:p w:rsidR="009B1835" w:rsidRDefault="00371B09" w:rsidP="009B1835">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Methods</w:t>
      </w:r>
    </w:p>
    <w:p w:rsidR="009B1835" w:rsidRDefault="009B1835" w:rsidP="009B1835">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Cognitive Diagnoses</w:t>
      </w:r>
    </w:p>
    <w:p w:rsidR="009B1835" w:rsidRPr="009B1835" w:rsidRDefault="009B1835" w:rsidP="009B1835">
      <w:pPr>
        <w:spacing w:line="480" w:lineRule="auto"/>
        <w:jc w:val="both"/>
        <w:rPr>
          <w:rFonts w:ascii="Times New Roman" w:hAnsi="Times New Roman" w:cs="Times New Roman"/>
          <w:b/>
          <w:lang w:val="en-US"/>
        </w:rPr>
      </w:pPr>
      <w:r w:rsidRPr="009B1835">
        <w:rPr>
          <w:rFonts w:ascii="Times New Roman" w:eastAsia="Times New Roman" w:hAnsi="Times New Roman" w:cs="Times New Roman"/>
          <w:color w:val="000000"/>
          <w:lang w:val="en-US"/>
        </w:rPr>
        <w:t xml:space="preserve">CN individuals had no significant impairment in memory or cognitive functions or activities of daily living, and no significant memory concern. To </w:t>
      </w:r>
      <w:proofErr w:type="gramStart"/>
      <w:r w:rsidRPr="009B1835">
        <w:rPr>
          <w:rFonts w:ascii="Times New Roman" w:eastAsia="Times New Roman" w:hAnsi="Times New Roman" w:cs="Times New Roman"/>
          <w:color w:val="000000"/>
          <w:lang w:val="en-US"/>
        </w:rPr>
        <w:t>be considered</w:t>
      </w:r>
      <w:proofErr w:type="gramEnd"/>
      <w:r w:rsidRPr="009B1835">
        <w:rPr>
          <w:rFonts w:ascii="Times New Roman" w:eastAsia="Times New Roman" w:hAnsi="Times New Roman" w:cs="Times New Roman"/>
          <w:color w:val="000000"/>
          <w:lang w:val="en-US"/>
        </w:rPr>
        <w:t xml:space="preserve"> SCD, either the study participant, an informant, or the clinician (in ADNI</w:t>
      </w:r>
      <w:r w:rsidR="00E77BCE">
        <w:rPr>
          <w:rFonts w:ascii="Times New Roman" w:eastAsia="Times New Roman" w:hAnsi="Times New Roman" w:cs="Times New Roman"/>
          <w:color w:val="000000"/>
          <w:lang w:val="en-US"/>
        </w:rPr>
        <w:t xml:space="preserve"> </w:t>
      </w:r>
      <w:r w:rsidR="00E77BCE" w:rsidRPr="00E77BCE">
        <w:rPr>
          <w:rFonts w:ascii="Times New Roman" w:eastAsia="Times New Roman" w:hAnsi="Times New Roman" w:cs="Times New Roman"/>
          <w:color w:val="000000"/>
          <w:highlight w:val="yellow"/>
          <w:lang w:val="en-US"/>
        </w:rPr>
        <w:t>and OASIS</w:t>
      </w:r>
      <w:r w:rsidRPr="009B1835">
        <w:rPr>
          <w:rFonts w:ascii="Times New Roman" w:eastAsia="Times New Roman" w:hAnsi="Times New Roman" w:cs="Times New Roman"/>
          <w:color w:val="000000"/>
          <w:lang w:val="en-US"/>
        </w:rPr>
        <w:t>)/the study participant (in DELCODE) reported a significant memory concern in the absence of objective impairment of memory of cognitive function. Importantly, SCD in ADNI</w:t>
      </w:r>
      <w:r w:rsidR="00E77BCE">
        <w:rPr>
          <w:rFonts w:ascii="Times New Roman" w:eastAsia="Times New Roman" w:hAnsi="Times New Roman" w:cs="Times New Roman"/>
          <w:color w:val="000000"/>
          <w:lang w:val="en-US"/>
        </w:rPr>
        <w:t xml:space="preserve"> </w:t>
      </w:r>
      <w:r w:rsidR="00E77BCE" w:rsidRPr="00E77BCE">
        <w:rPr>
          <w:rFonts w:ascii="Times New Roman" w:eastAsia="Times New Roman" w:hAnsi="Times New Roman" w:cs="Times New Roman"/>
          <w:color w:val="000000"/>
          <w:highlight w:val="yellow"/>
          <w:lang w:val="en-US"/>
        </w:rPr>
        <w:t>and OASIS</w:t>
      </w:r>
      <w:r w:rsidRPr="009B1835">
        <w:rPr>
          <w:rFonts w:ascii="Times New Roman" w:eastAsia="Times New Roman" w:hAnsi="Times New Roman" w:cs="Times New Roman"/>
          <w:color w:val="000000"/>
          <w:lang w:val="en-US"/>
        </w:rPr>
        <w:t xml:space="preserve"> </w:t>
      </w:r>
      <w:proofErr w:type="gramStart"/>
      <w:r w:rsidRPr="009B1835">
        <w:rPr>
          <w:rFonts w:ascii="Times New Roman" w:eastAsia="Times New Roman" w:hAnsi="Times New Roman" w:cs="Times New Roman"/>
          <w:color w:val="000000"/>
          <w:lang w:val="en-US"/>
        </w:rPr>
        <w:t>were recruited</w:t>
      </w:r>
      <w:proofErr w:type="gramEnd"/>
      <w:r w:rsidRPr="009B1835">
        <w:rPr>
          <w:rFonts w:ascii="Times New Roman" w:eastAsia="Times New Roman" w:hAnsi="Times New Roman" w:cs="Times New Roman"/>
          <w:color w:val="000000"/>
          <w:lang w:val="en-US"/>
        </w:rPr>
        <w:t xml:space="preserve"> from the general population, whereas SCD in DELCODE were recruited from memory clinics. An MCI diagnosis </w:t>
      </w:r>
      <w:proofErr w:type="gramStart"/>
      <w:r w:rsidRPr="009B1835">
        <w:rPr>
          <w:rFonts w:ascii="Times New Roman" w:eastAsia="Times New Roman" w:hAnsi="Times New Roman" w:cs="Times New Roman"/>
          <w:color w:val="000000"/>
          <w:lang w:val="en-US"/>
        </w:rPr>
        <w:t>was provided</w:t>
      </w:r>
      <w:proofErr w:type="gramEnd"/>
      <w:r w:rsidRPr="009B1835">
        <w:rPr>
          <w:rFonts w:ascii="Times New Roman" w:eastAsia="Times New Roman" w:hAnsi="Times New Roman" w:cs="Times New Roman"/>
          <w:color w:val="000000"/>
          <w:lang w:val="en-US"/>
        </w:rPr>
        <w:t xml:space="preserve"> to individuals with measurable impairment in cognitive function in the absence of dementia or significant impairments of daily living.</w:t>
      </w:r>
    </w:p>
    <w:p w:rsidR="008A5776" w:rsidRDefault="008A5776"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Pre-processing</w:t>
      </w:r>
    </w:p>
    <w:p w:rsidR="008A5776" w:rsidRDefault="008A5776" w:rsidP="008A5776">
      <w:pPr>
        <w:pStyle w:val="Listenabsatz"/>
        <w:spacing w:after="0" w:line="480" w:lineRule="auto"/>
        <w:ind w:left="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FDG-PET, p</w:t>
      </w:r>
      <w:r w:rsidRPr="008A5776">
        <w:rPr>
          <w:rFonts w:ascii="Times New Roman" w:eastAsia="Times New Roman" w:hAnsi="Times New Roman" w:cs="Times New Roman"/>
          <w:color w:val="000000"/>
          <w:lang w:val="en-US"/>
        </w:rPr>
        <w:t xml:space="preserve">reprocessing was performed on average scans of the given time intervals using the Statistical Parametric Mapping 12 toolbox (SPM12; </w:t>
      </w:r>
      <w:hyperlink r:id="rId5" w:history="1">
        <w:r w:rsidRPr="008A5776">
          <w:rPr>
            <w:rFonts w:ascii="Times New Roman" w:eastAsia="Times New Roman" w:hAnsi="Times New Roman" w:cs="Times New Roman"/>
            <w:color w:val="1155CC"/>
            <w:u w:val="single"/>
            <w:lang w:val="en-US"/>
          </w:rPr>
          <w:t>www.fil.ion.ucl.ac.uk</w:t>
        </w:r>
      </w:hyperlink>
      <w:r w:rsidRPr="008A5776">
        <w:rPr>
          <w:rFonts w:ascii="Times New Roman" w:eastAsia="Times New Roman" w:hAnsi="Times New Roman" w:cs="Times New Roman"/>
          <w:color w:val="000000"/>
          <w:lang w:val="en-US"/>
        </w:rPr>
        <w:t xml:space="preserve">) in MATLAB (r2021b, The MathWorks </w:t>
      </w:r>
      <w:proofErr w:type="spellStart"/>
      <w:r w:rsidRPr="008A5776">
        <w:rPr>
          <w:rFonts w:ascii="Times New Roman" w:eastAsia="Times New Roman" w:hAnsi="Times New Roman" w:cs="Times New Roman"/>
          <w:color w:val="000000"/>
          <w:lang w:val="en-US"/>
        </w:rPr>
        <w:t>Inc</w:t>
      </w:r>
      <w:proofErr w:type="spellEnd"/>
      <w:r w:rsidRPr="008A5776">
        <w:rPr>
          <w:rFonts w:ascii="Times New Roman" w:eastAsia="Times New Roman" w:hAnsi="Times New Roman" w:cs="Times New Roman"/>
          <w:color w:val="000000"/>
          <w:lang w:val="en-US"/>
        </w:rPr>
        <w:t xml:space="preserve">). All FDG-PET scans </w:t>
      </w:r>
      <w:proofErr w:type="gramStart"/>
      <w:r w:rsidRPr="008A5776">
        <w:rPr>
          <w:rFonts w:ascii="Times New Roman" w:eastAsia="Times New Roman" w:hAnsi="Times New Roman" w:cs="Times New Roman"/>
          <w:color w:val="000000"/>
          <w:lang w:val="en-US"/>
        </w:rPr>
        <w:t xml:space="preserve">were aligned to the anterior commissure/posterior commissure, and subsequently co-registered and normalized to </w:t>
      </w:r>
      <w:r w:rsidR="00E77BCE">
        <w:rPr>
          <w:rFonts w:ascii="Times New Roman" w:eastAsia="Times New Roman" w:hAnsi="Times New Roman" w:cs="Times New Roman"/>
          <w:color w:val="000000"/>
          <w:lang w:val="en-US"/>
        </w:rPr>
        <w:t>the tissue probability map (TPM)</w:t>
      </w:r>
      <w:r w:rsidRPr="008A5776">
        <w:rPr>
          <w:rFonts w:ascii="Times New Roman" w:eastAsia="Times New Roman" w:hAnsi="Times New Roman" w:cs="Times New Roman"/>
          <w:color w:val="000000"/>
          <w:lang w:val="en-US"/>
        </w:rPr>
        <w:t xml:space="preserve"> template in standard MNI152 space</w:t>
      </w:r>
      <w:proofErr w:type="gramEnd"/>
      <w:r w:rsidRPr="008A5776">
        <w:rPr>
          <w:rFonts w:ascii="Times New Roman" w:eastAsia="Times New Roman" w:hAnsi="Times New Roman" w:cs="Times New Roman"/>
          <w:color w:val="000000"/>
          <w:lang w:val="en-US"/>
        </w:rPr>
        <w:t>. Finally, standardized uptake value ratios (SUVRs) were calculated (reference: pons</w:t>
      </w:r>
      <w:r w:rsidRPr="008A5776">
        <w:rPr>
          <w:rFonts w:ascii="Times New Roman" w:eastAsia="Times New Roman" w:hAnsi="Times New Roman" w:cs="Times New Roman"/>
          <w:color w:val="000000"/>
          <w:lang w:val="en-US"/>
        </w:rPr>
        <w:fldChar w:fldCharType="begin" w:fldLock="1"/>
      </w:r>
      <w:r w:rsidRPr="008A5776">
        <w:rPr>
          <w:rFonts w:ascii="Times New Roman" w:eastAsia="Times New Roman" w:hAnsi="Times New Roman" w:cs="Times New Roman"/>
          <w:color w:val="000000"/>
          <w:lang w:val="en-US"/>
        </w:rPr>
        <w:instrText>ADDIN CSL_CITATION {"citationItems":[{"id":"ITEM-1","itemData":{"DOI":"10.1186/s13550-021-00771-0","ISSN":"2191219X","abstract":"Background: The objective of the study is to define the most appropriate region for intensity normalization in brain 18FDG PET semi-quantitative analysis. The best option could be based on previous absolute quantification studies, which showed that the metabolic changes related to ageing affect the quasi-totality of brain regions in healthy subjects. Consequently, brain metabolic changes related to ageing were evaluated in two populations of healthy controls who underwent conventional (n = 56) or digital (n = 78) 18FDG PET/CT. The median correlation coefficients between age and the metabolism of each 120 atlas brain region were reported for 120 distinct intensity normalizations (according to the 120 regions). SPM linear regression analyses with age were performed on most significant normalizations (FWE, p &lt; 0.05). Results: The cerebellum and pons were the two sole regions showing median coefficients of correlation with age less than − 0.5. With SPM, the intensity normalization by the pons provided at least 1.7- and 2.5-fold more significant cluster volumes than other normalizations for conventional and digital PET, respectively. Conclusions: The pons is the most appropriate area for brain 18FDG PET intensity normalization for examining the metabolic changes through ageing.","author":[{"dropping-particle":"","family":"Verger","given":"A.","non-dropping-particle":"","parse-names":false,"suffix":""},{"dropping-particle":"","family":"Doyen","given":"M.","non-dropping-particle":"","parse-names":false,"suffix":""},{"dropping-particle":"","family":"Campion","given":"J. Y.","non-dropping-particle":"","parse-names":false,"suffix":""},{"dropping-particle":"","family":"Guedj","given":"Eric","non-dropping-particle":"","parse-names":false,"suffix":""}],"container-title":"EJNMMI Research","id":"ITEM-1","issue":"1","issued":{"date-parts":[["2021","3","24"]]},"page":"1-7","publisher":"Springer Science and Business Media Deutschland GmbH","title":"The pons as reference region for intensity normalization in semi-quantitative analysis of brain 18FDG PET: application to metabolic changes related to ageing in conventional and digital control databases","type":"article-journal","volume":"11"},"uris":["http://www.mendeley.com/documents/?uuid=5c38a55c-ae52-346d-8f2e-1b26ed205a3e"]}],"mendeley":{"formattedCitation":"&lt;sup&gt;11&lt;/sup&gt;","plainTextFormattedCitation":"11","previouslyFormattedCitation":"&lt;sup&gt;12&lt;/sup&gt;"},"properties":{"noteIndex":0},"schema":"https://github.com/citation-style-language/schema/raw/master/csl-citation.json"}</w:instrText>
      </w:r>
      <w:r w:rsidRPr="008A5776">
        <w:rPr>
          <w:rFonts w:ascii="Times New Roman" w:eastAsia="Times New Roman" w:hAnsi="Times New Roman" w:cs="Times New Roman"/>
          <w:color w:val="000000"/>
          <w:lang w:val="en-US"/>
        </w:rPr>
        <w:fldChar w:fldCharType="separate"/>
      </w:r>
      <w:r w:rsidRPr="008A5776">
        <w:rPr>
          <w:rFonts w:ascii="Times New Roman" w:eastAsia="Times New Roman" w:hAnsi="Times New Roman" w:cs="Times New Roman"/>
          <w:noProof/>
          <w:color w:val="000000"/>
          <w:vertAlign w:val="superscript"/>
          <w:lang w:val="en-US"/>
        </w:rPr>
        <w:t>11</w:t>
      </w:r>
      <w:r w:rsidRPr="008A5776">
        <w:rPr>
          <w:rFonts w:ascii="Times New Roman" w:eastAsia="Times New Roman" w:hAnsi="Times New Roman" w:cs="Times New Roman"/>
          <w:color w:val="000000"/>
          <w:lang w:val="en-US"/>
        </w:rPr>
        <w:fldChar w:fldCharType="end"/>
      </w:r>
      <w:r w:rsidRPr="008A5776">
        <w:rPr>
          <w:rFonts w:ascii="Times New Roman" w:eastAsia="Times New Roman" w:hAnsi="Times New Roman" w:cs="Times New Roman"/>
          <w:color w:val="000000"/>
          <w:lang w:val="en-US"/>
        </w:rPr>
        <w:t>).</w:t>
      </w:r>
    </w:p>
    <w:p w:rsidR="008A5776" w:rsidRDefault="008A5776" w:rsidP="008A5776">
      <w:pPr>
        <w:pStyle w:val="Listenabsatz"/>
        <w:spacing w:after="0" w:line="480" w:lineRule="auto"/>
        <w:ind w:left="0" w:firstLine="708"/>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MRI, f</w:t>
      </w:r>
      <w:r w:rsidRPr="00FA4FCE">
        <w:rPr>
          <w:rFonts w:ascii="Times New Roman" w:eastAsia="Times New Roman" w:hAnsi="Times New Roman" w:cs="Times New Roman"/>
          <w:color w:val="000000"/>
          <w:lang w:val="en-US"/>
        </w:rPr>
        <w:t xml:space="preserve">irst, denoising (spatial-adaptive Non-Local Means), spatial registration, bias correction and skull striping </w:t>
      </w:r>
      <w:proofErr w:type="gramStart"/>
      <w:r w:rsidRPr="00FA4FCE">
        <w:rPr>
          <w:rFonts w:ascii="Times New Roman" w:eastAsia="Times New Roman" w:hAnsi="Times New Roman" w:cs="Times New Roman"/>
          <w:color w:val="000000"/>
          <w:lang w:val="en-US"/>
        </w:rPr>
        <w:t>were applied</w:t>
      </w:r>
      <w:proofErr w:type="gramEnd"/>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The </w:t>
      </w:r>
      <w:r w:rsidRPr="00FA4FCE">
        <w:rPr>
          <w:rFonts w:ascii="Times New Roman" w:eastAsia="Times New Roman" w:hAnsi="Times New Roman" w:cs="Times New Roman"/>
          <w:color w:val="000000"/>
          <w:lang w:val="en-US"/>
        </w:rPr>
        <w:t xml:space="preserve">scans were </w:t>
      </w:r>
      <w:r>
        <w:rPr>
          <w:rFonts w:ascii="Times New Roman" w:eastAsia="Times New Roman" w:hAnsi="Times New Roman" w:cs="Times New Roman"/>
          <w:color w:val="000000"/>
          <w:lang w:val="en-US"/>
        </w:rPr>
        <w:t xml:space="preserve">then </w:t>
      </w:r>
      <w:r w:rsidRPr="00FA4FCE">
        <w:rPr>
          <w:rFonts w:ascii="Times New Roman" w:eastAsia="Times New Roman" w:hAnsi="Times New Roman" w:cs="Times New Roman"/>
          <w:color w:val="000000"/>
          <w:lang w:val="en-US"/>
        </w:rPr>
        <w:t>segmented by an adaptive maximum a posteriori approach</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{"citationItems":[{"id":"ITEM-1","itemData":{"DOI":"10.1109/42.563663","ISSN":"02780062","abstract":"A statistical model is presented that represents the distributions of major tissue classes in single-channel magnetic resonance (MR) cerebral images. Using the model cerebral images are segmented into gray matter white matter and cerebrospinal fluid (CSF). The model accounts for random noise magnetic field inhomogeneities and biological variations of the tissues. Intensity measurements are modeled by a finite Gaussian mixture. Smoothness and piecewise contiguous nature of the tissue regions are modeled by a three-dimensional (3-D) Markov random field (MRP). A segmentation algorithm based on the statistical model approximately finds the maximum a posteriori (MAP) estimation of the segmentation and estimates the model parameters from the image data. The proposed scheme for segmentation is based on the iterative conditional modes (ICM) algorithm in which measurement model parameters are estimated using local information at each site and the prior model parameters are estimated using the segmentation after each cycle of iterations. Application of the algorithm to a sample of clinical MR brain scans comparisons of the algorithm with other statistical methods and a validation study with a phantom are presented. The algorithm constitutes a significant step toward a complete data driven unsupervised approach to segmentation of MR images in the presence of the random noise and intensity inhomogeneities. © 1997 IEEE.","author":[{"dropping-particle":"","family":"Rajapakse","given":"Jagath C.","non-dropping-particle":"","parse-names":false,"suffix":""},{"dropping-particle":"","family":"Giedd","given":"Jay N.","non-dropping-particle":"","parse-names":false,"suffix":""},{"dropping-particle":"","family":"Rapoport","given":"Judith L.","non-dropping-particle":"","parse-names":false,"suffix":""}],"container-title":"IEEE Transactions on Medical Imaging","id":"ITEM-1","issue":"2","issued":{"date-parts":[["1997"]]},"title":"Statistical approach to segmentation of single-channel cerebral mr images","type":"article-journal","volume":"16"},"uris":["http://www.mendeley.com/documents/?uuid=25c8da12-2f04-3b29-a447-3e2584a53dbc"]}],"mendeley":{"formattedCitation":"&lt;sup&gt;13&lt;/sup&gt;","plainTextFormattedCitation":"13","previouslyFormattedCitation":"&lt;sup&gt;14&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with a partial volume model</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{"citationItems":[{"id":"ITEM-1","itemData":{"DOI":"10.1016/j.neuroimage.2004.05.007","ISSN":"10538119","abstract":"Due to the finite spatial resolution of imaging devices, a single voxel in a medical image may be composed of mixture of tissue types, an effect known as partial volume effect (PVE). Partial volume estimation, that is, the estimation of the amount of each tissue type within each voxel, has received considerable interest in recent years. Much of this work has been focused on the mixel model, a statistical model of PVE. We propose a novel trimmed minimum covariance determinant (TMCD) method for the estimation of the parameters of the mixel PVE model. In this method, each voxel is first labeled according to the most dominant tissue type. Voxels that are prone to PVE are removed from this labeled set, following which robust location estimators with high breakdown points are used to estimate the mean and the covariance of each tissue class. Comparisons between different methods for parameter estimation based on classified images as well as expectation-maximization-like (EM-like) procedure for simultaneous parameter and partial volume estimation are reported. The robust estimators based on a pruned classification as presented here are shown to perform well even if the initial classification is of poor quality. The results obtained are comparable to those obtained using the EM-like procedure, but require considerably less computation time. Segmentation results of real data based on partial volume estimation are also reported. In addition to considering the parameter estimation problem, we discuss differences between different approximations to the complete mixel model. In summary, the proposed TMCD method allows for the accurate, robust, and efficient estimation of partial volume model parameters, which is crucial to a variety of brain MRI data analysis procedures such as the accurate estimation of tissue volumes and the accurate delineation of the cortical surface. © 2004 Elsevier Inc. All rights reserved.","author":[{"dropping-particle":"","family":"Tohka","given":"Jussi","non-dropping-particle":"","parse-names":false,"suffix":""},{"dropping-particle":"","family":"Zijdenbos","given":"Alex","non-dropping-particle":"","parse-names":false,"suffix":""},{"dropping-particle":"","family":"Evans","given":"Alan","non-dropping-particle":"","parse-names":false,"suffix":""}],"container-title":"NeuroImage","id":"ITEM-1","issue":"1","issued":{"date-parts":[["2004"]]},"title":"Fast and robust parameter estimation for statistical partial volume models in brain MRI","type":"article-journal","volume":"23"},"uris":["http://www.mendeley.com/documents/?uuid=25a836dd-9626-358a-ae5b-6d23a10ea289"]}],"mendeley":{"formattedCitation":"&lt;sup&gt;14&lt;/sup&gt;","plainTextFormattedCitation":"14","previouslyFormattedCitation":"&lt;sup&gt;15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14</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T</w:t>
      </w:r>
      <w:r w:rsidRPr="00FA4FCE">
        <w:rPr>
          <w:rFonts w:ascii="Times New Roman" w:eastAsia="Times New Roman" w:hAnsi="Times New Roman" w:cs="Times New Roman"/>
          <w:color w:val="000000"/>
          <w:lang w:val="en-US"/>
        </w:rPr>
        <w:t>he Geodesic Shooting Algorithm</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{"citationItems":[{"id":"ITEM-1","itemData":{"DOI":"10.1016/j.neuroimage.2010.12.049","ISSN":"10538119","abstract":"This paper presents a nonlinear image registration algorithm based on the setting of Large Deformation Diffeomorphic Metric Mapping (LDDMM), but with a more efficient optimisation scheme - both in terms of memory required and the number of iterations required to reach convergence. Rather than perform a variational optimisation on a series of velocity fields, the algorithm is formulated to use a geodesic shooting procedure, so that only an initial velocity is estimated. A Gauss-Newton optimisation strategy is used to achieve faster convergence. The algorithm was evaluated using freely available manually labelled datasets, and found to compare favourably with other inter-subject registration algorithms evaluated using the same data. © 2011 Elsevier Inc.","author":[{"dropping-particle":"","family":"Ashburner","given":"John","non-dropping-particle":"","parse-names":false,"suffix":""},{"dropping-particle":"","family":"Friston","given":"Karl J.","non-dropping-particle":"","parse-names":false,"suffix":""}],"container-title":"NeuroImage","id":"ITEM-1","issue":"3","issued":{"date-parts":[["2011"]]},"title":"Diffeomorphic registration using geodesic shooting and Gauss-Newton optimisation","type":"article-journal","volume":"55"},"uris":["http://www.mendeley.com/documents/?uuid=c4430411-1e01-3f69-9397-25b046892385"]}],"mendeley":{"formattedCitation":"&lt;sup&gt;15&lt;/sup&gt;","plainTextFormattedCitation":"15","previouslyFormattedCitation":"&lt;sup&gt;16&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was used</w:t>
      </w:r>
      <w:r>
        <w:rPr>
          <w:rFonts w:ascii="Times New Roman" w:eastAsia="Times New Roman" w:hAnsi="Times New Roman" w:cs="Times New Roman"/>
          <w:color w:val="000000"/>
          <w:lang w:val="en-US"/>
        </w:rPr>
        <w:t xml:space="preserve"> for the nonlinear transformation</w:t>
      </w:r>
      <w:r w:rsidR="00E77BCE">
        <w:rPr>
          <w:rFonts w:ascii="Times New Roman" w:eastAsia="Times New Roman" w:hAnsi="Times New Roman" w:cs="Times New Roman"/>
          <w:color w:val="000000"/>
          <w:lang w:val="en-US"/>
        </w:rPr>
        <w:t>.</w:t>
      </w:r>
    </w:p>
    <w:p w:rsidR="00E77BCE" w:rsidRDefault="00E77BCE" w:rsidP="008A5776">
      <w:pPr>
        <w:pStyle w:val="Listenabsatz"/>
        <w:spacing w:after="0" w:line="480" w:lineRule="auto"/>
        <w:ind w:left="0" w:firstLine="708"/>
        <w:jc w:val="both"/>
        <w:rPr>
          <w:rFonts w:ascii="Times New Roman" w:hAnsi="Times New Roman" w:cs="Times New Roman"/>
          <w:b/>
          <w:lang w:val="en-US"/>
        </w:rPr>
      </w:pPr>
      <w:r w:rsidRPr="00694EDD">
        <w:rPr>
          <w:rFonts w:ascii="Times New Roman" w:eastAsia="Times New Roman" w:hAnsi="Times New Roman" w:cs="Times New Roman"/>
          <w:color w:val="000000"/>
          <w:highlight w:val="yellow"/>
          <w:lang w:val="en-US"/>
        </w:rPr>
        <w:t xml:space="preserve">To extract regional averages from 90 cortical and sub-cortical brain regions, we used the AAL1 atlas. The spatial overlap of AAL1 and template images in standard space, such as TPM, is sub-optimal, therefore, to avoid strong influence of zero-valued voxels, we resized AAL1 to fit the TPM template by only considering those voxels or AAL which corresponded to a gray matter </w:t>
      </w:r>
      <w:r w:rsidR="00694EDD" w:rsidRPr="00694EDD">
        <w:rPr>
          <w:rFonts w:ascii="Times New Roman" w:eastAsia="Times New Roman" w:hAnsi="Times New Roman" w:cs="Times New Roman"/>
          <w:color w:val="000000"/>
          <w:highlight w:val="yellow"/>
          <w:lang w:val="en-US"/>
        </w:rPr>
        <w:t xml:space="preserve">tissue </w:t>
      </w:r>
      <w:r w:rsidRPr="00694EDD">
        <w:rPr>
          <w:rFonts w:ascii="Times New Roman" w:eastAsia="Times New Roman" w:hAnsi="Times New Roman" w:cs="Times New Roman"/>
          <w:color w:val="000000"/>
          <w:highlight w:val="yellow"/>
          <w:lang w:val="en-US"/>
        </w:rPr>
        <w:t>probability of at least 0.3 in TPM.</w:t>
      </w:r>
      <w:r w:rsidR="00694EDD" w:rsidRPr="00694EDD">
        <w:rPr>
          <w:rFonts w:ascii="Times New Roman" w:eastAsia="Times New Roman" w:hAnsi="Times New Roman" w:cs="Times New Roman"/>
          <w:color w:val="000000"/>
          <w:highlight w:val="yellow"/>
          <w:lang w:val="en-US"/>
        </w:rPr>
        <w:t xml:space="preserve"> Given the limited spatial resolution of PET images compared to MRI, computation of non-zero means would have falsified our comparison between modalities.</w:t>
      </w:r>
    </w:p>
    <w:p w:rsidR="00861901" w:rsidRPr="00861901" w:rsidRDefault="00861901" w:rsidP="008A5776">
      <w:pPr>
        <w:pStyle w:val="Listenabsatz"/>
        <w:numPr>
          <w:ilvl w:val="1"/>
          <w:numId w:val="2"/>
        </w:numPr>
        <w:spacing w:after="0" w:line="480" w:lineRule="auto"/>
        <w:ind w:left="709" w:hanging="709"/>
        <w:jc w:val="both"/>
        <w:rPr>
          <w:rFonts w:ascii="Times New Roman" w:eastAsia="Times New Roman" w:hAnsi="Times New Roman" w:cs="Times New Roman"/>
          <w:b/>
          <w:bCs/>
          <w:color w:val="000000"/>
          <w:lang w:val="en-US"/>
        </w:rPr>
      </w:pPr>
      <w:r w:rsidRPr="00861901">
        <w:rPr>
          <w:rFonts w:ascii="Times New Roman" w:eastAsia="Times New Roman" w:hAnsi="Times New Roman" w:cs="Times New Roman"/>
          <w:b/>
          <w:bCs/>
          <w:color w:val="000000"/>
          <w:lang w:val="en-US"/>
        </w:rPr>
        <w:lastRenderedPageBreak/>
        <w:t>Outlier exclusion</w:t>
      </w:r>
    </w:p>
    <w:p w:rsidR="00861901" w:rsidRDefault="00861901" w:rsidP="008A5776">
      <w:pPr>
        <w:spacing w:after="0"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Outlier exclusion was performed in the outer cross-validation loop to ensure data quality in an automated manner. Interquartile ranges (IQRs) </w:t>
      </w:r>
      <w:proofErr w:type="gramStart"/>
      <w:r w:rsidRPr="00FA4FCE">
        <w:rPr>
          <w:rFonts w:ascii="Times New Roman" w:eastAsia="Times New Roman" w:hAnsi="Times New Roman" w:cs="Times New Roman"/>
          <w:color w:val="000000"/>
          <w:lang w:val="en-US"/>
        </w:rPr>
        <w:t>were inferred</w:t>
      </w:r>
      <w:proofErr w:type="gramEnd"/>
      <w:r w:rsidRPr="00FA4FCE">
        <w:rPr>
          <w:rFonts w:ascii="Times New Roman" w:eastAsia="Times New Roman" w:hAnsi="Times New Roman" w:cs="Times New Roman"/>
          <w:color w:val="000000"/>
          <w:lang w:val="en-US"/>
        </w:rPr>
        <w:t xml:space="preserve"> from the CN</w:t>
      </w:r>
      <w:r w:rsidRPr="00FA4FCE">
        <w:rPr>
          <w:rFonts w:ascii="Times New Roman" w:eastAsia="Times New Roman" w:hAnsi="Times New Roman" w:cs="Times New Roman"/>
          <w:color w:val="000000"/>
          <w:vertAlign w:val="subscript"/>
          <w:lang w:val="en-US"/>
        </w:rPr>
        <w:t xml:space="preserve">ADNI </w:t>
      </w:r>
      <w:r w:rsidRPr="00FA4FCE">
        <w:rPr>
          <w:rFonts w:ascii="Times New Roman" w:eastAsia="Times New Roman" w:hAnsi="Times New Roman" w:cs="Times New Roman"/>
          <w:color w:val="000000"/>
          <w:lang w:val="en-US"/>
        </w:rPr>
        <w:t xml:space="preserve">training sets. Subjects outside 6xIQR </w:t>
      </w:r>
      <w:proofErr w:type="gramStart"/>
      <w:r w:rsidRPr="00FA4FCE">
        <w:rPr>
          <w:rFonts w:ascii="Times New Roman" w:eastAsia="Times New Roman" w:hAnsi="Times New Roman" w:cs="Times New Roman"/>
          <w:color w:val="000000"/>
          <w:lang w:val="en-US"/>
        </w:rPr>
        <w:t>were removed</w:t>
      </w:r>
      <w:proofErr w:type="gramEnd"/>
      <w:r w:rsidRPr="00FA4FCE">
        <w:rPr>
          <w:rFonts w:ascii="Times New Roman" w:eastAsia="Times New Roman" w:hAnsi="Times New Roman" w:cs="Times New Roman"/>
          <w:color w:val="000000"/>
          <w:lang w:val="en-US"/>
        </w:rPr>
        <w:t xml:space="preserve"> from the training and respective </w:t>
      </w:r>
      <w:r w:rsidR="001E37D8">
        <w:rPr>
          <w:rFonts w:ascii="Times New Roman" w:eastAsia="Times New Roman" w:hAnsi="Times New Roman" w:cs="Times New Roman"/>
          <w:color w:val="000000"/>
          <w:lang w:val="en-US"/>
        </w:rPr>
        <w:t xml:space="preserve">test sets of </w:t>
      </w:r>
      <w:r w:rsidRPr="00FA4FCE">
        <w:rPr>
          <w:rFonts w:ascii="Times New Roman" w:eastAsia="Times New Roman" w:hAnsi="Times New Roman" w:cs="Times New Roman"/>
          <w:color w:val="000000"/>
          <w:lang w:val="en-US"/>
        </w:rPr>
        <w:t>CN</w:t>
      </w:r>
      <w:r w:rsidRPr="00FA4FCE">
        <w:rPr>
          <w:rFonts w:ascii="Times New Roman" w:eastAsia="Times New Roman" w:hAnsi="Times New Roman" w:cs="Times New Roman"/>
          <w:color w:val="000000"/>
          <w:vertAlign w:val="subscript"/>
          <w:lang w:val="en-US"/>
        </w:rPr>
        <w:t xml:space="preserve">ADNI </w:t>
      </w:r>
      <w:r w:rsidR="001E37D8">
        <w:rPr>
          <w:rFonts w:ascii="Times New Roman" w:eastAsia="Times New Roman" w:hAnsi="Times New Roman" w:cs="Times New Roman"/>
          <w:color w:val="000000"/>
          <w:lang w:val="en-US"/>
        </w:rPr>
        <w:t>and CN</w:t>
      </w:r>
      <w:r w:rsidR="001E37D8">
        <w:rPr>
          <w:rFonts w:ascii="Times New Roman" w:eastAsia="Times New Roman" w:hAnsi="Times New Roman" w:cs="Times New Roman"/>
          <w:color w:val="000000"/>
          <w:vertAlign w:val="subscript"/>
          <w:lang w:val="en-US"/>
        </w:rPr>
        <w:t>OASIS.</w:t>
      </w:r>
      <w:r w:rsidRPr="00FA4FCE">
        <w:rPr>
          <w:rFonts w:ascii="Times New Roman" w:eastAsia="Times New Roman" w:hAnsi="Times New Roman" w:cs="Times New Roman"/>
          <w:color w:val="000000"/>
          <w:lang w:val="en-US"/>
        </w:rPr>
        <w:t xml:space="preserve"> Importantly, as previous works have shown, MCI </w:t>
      </w:r>
      <w:r w:rsidR="001E37D8">
        <w:rPr>
          <w:rFonts w:ascii="Times New Roman" w:eastAsia="Times New Roman" w:hAnsi="Times New Roman" w:cs="Times New Roman"/>
          <w:color w:val="000000"/>
          <w:lang w:val="en-US"/>
        </w:rPr>
        <w:t>and even SCD</w:t>
      </w:r>
      <w:r w:rsidRPr="00FA4FCE">
        <w:rPr>
          <w:rFonts w:ascii="Times New Roman" w:eastAsia="Times New Roman" w:hAnsi="Times New Roman" w:cs="Times New Roman"/>
          <w:color w:val="000000"/>
          <w:lang w:val="en-US"/>
        </w:rPr>
        <w:t xml:space="preserve"> </w:t>
      </w:r>
      <w:r w:rsidR="001E37D8" w:rsidRPr="00FA4FCE">
        <w:rPr>
          <w:rFonts w:ascii="Times New Roman" w:eastAsia="Times New Roman" w:hAnsi="Times New Roman" w:cs="Times New Roman"/>
          <w:color w:val="000000"/>
          <w:lang w:val="en-US"/>
        </w:rPr>
        <w:t>subjects</w:t>
      </w:r>
      <w:r w:rsidR="001E37D8">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color w:val="000000"/>
          <w:lang w:val="en-US"/>
        </w:rPr>
        <w:t>show an advanced brain age, which likely translates to a reduced signal in age-relevant brain regions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{"citationItems":[{"id":"ITEM-1","itemData":{"DOI":"10.1371/journal.pone.0067346","ISSN":"19326203","abstract":"Alzheimer's disease (AD), the most common form of dementia, shares many aspects of abnormal brain aging. We present a novel magnetic resonance imaging (MRI)-based biomarker that predicts the individual progression of mild cognitive impairment (MCI) to AD on the basis of pathological brain aging patterns. By employing kernel regression methods, the expression of normal brain-aging patterns forms the basis to estimate the brain age of a given new subject. If the estimated age is higher than the chronological age, a positive brain age gap estimation (BrainAGE) score indicates accelerated atrophy and is considered a risk factor for conversion to AD. Here, the BrainAGE framework was applied to predict the individual brain ages of 195 subjects with MCI at baseline, of which a total of 133 developed AD during 36 months of follow-up (corresponding to a pre-test probability of 68%). The ability of the BrainAGE framework to correctly identify MCI-converters was compared with the performance of commonly used cognitive scales, hippocampus volume, and state-of-the-art biomarkers derived from cerebrospinal fluid (CSF). With accuracy rates of up to 81%, BrainAGE outperformed all cognitive scales and CSF biomarkers in predicting conversion of MCI to AD within 3 years of follow-up. Each additional year in the BrainAGE score was associated with a 10% greater risk of developing AD (hazard rate: 1.10 [CI: 1.07-1.13]). Furthermore, the post-test probability was increased to 90% when using baseline BrainAGE scores to predict conversion to AD. The presented framework allows an accurate prediction even with multicenter data. Its fast and fully automated nature facilitates the integration into the clinical workflow. It can be exploited as a tool for screening as well as for monitoring treatment options. © 2013 Gaser et al.","author":[{"dropping-particle":"","family":"Gaser","given":"Christian","non-dropping-particle":"","parse-names":false,"suffix":""},{"dropping-particle":"","family":"Franke","given":"Katja","non-dropping-particle":"","parse-names":false,"suffix":""},{"dropping-particle":"","family":"Klöppel","given":"Stefan","non-dropping-particle":"","parse-names":false,"suffix":""},{"dropping-particle":"","family":"Koutsouleris","given":"Nikolaos","non-dropping-particle":"","parse-names":false,"suffix":""},{"dropping-particle":"","family":"Sauer","given":"Heinrich","non-dropping-particle":"","parse-names":false,"suffix":""}],"container-title":"PLoS ONE","id":"ITEM-1","issue":"6","issued":{"date-parts":[["2013"]]},"title":"BrainAGE in Mild Cognitive Impaired Patients: Predicting the Conversion to Alzheimer's Disease","type":"article-journal","volume":"8"},"uris":["http://www.mendeley.com/documents/?uuid=8c452047-4521-3e9a-91b5-8a75a8e949ea"]}],"mendeley":{"formattedCitation":"&lt;sup&gt;5&lt;/sup&gt;","plainTextFormattedCitation":"5","previouslyFormattedCitation":"&lt;sup&gt;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Thus, outlier exclusion </w:t>
      </w:r>
      <w:proofErr w:type="gramStart"/>
      <w:r w:rsidRPr="00FA4FCE">
        <w:rPr>
          <w:rFonts w:ascii="Times New Roman" w:eastAsia="Times New Roman" w:hAnsi="Times New Roman" w:cs="Times New Roman"/>
          <w:color w:val="000000"/>
          <w:lang w:val="en-US"/>
        </w:rPr>
        <w:t>was not applied</w:t>
      </w:r>
      <w:proofErr w:type="gramEnd"/>
      <w:r w:rsidRPr="00FA4FCE">
        <w:rPr>
          <w:rFonts w:ascii="Times New Roman" w:eastAsia="Times New Roman" w:hAnsi="Times New Roman" w:cs="Times New Roman"/>
          <w:color w:val="000000"/>
          <w:lang w:val="en-US"/>
        </w:rPr>
        <w:t xml:space="preserve"> to </w:t>
      </w:r>
      <w:r w:rsidR="001E37D8">
        <w:rPr>
          <w:rFonts w:ascii="Times New Roman" w:eastAsia="Times New Roman" w:hAnsi="Times New Roman" w:cs="Times New Roman"/>
          <w:color w:val="000000"/>
          <w:lang w:val="en-US"/>
        </w:rPr>
        <w:t>the patient samples.</w:t>
      </w:r>
    </w:p>
    <w:p w:rsidR="00861901" w:rsidRPr="00861901" w:rsidRDefault="00861901" w:rsidP="008A5776">
      <w:pPr>
        <w:pStyle w:val="Listenabsatz"/>
        <w:keepNext/>
        <w:numPr>
          <w:ilvl w:val="1"/>
          <w:numId w:val="2"/>
        </w:numPr>
        <w:spacing w:after="0" w:line="480" w:lineRule="auto"/>
        <w:ind w:left="709" w:hanging="709"/>
        <w:jc w:val="both"/>
        <w:rPr>
          <w:rFonts w:ascii="Times New Roman" w:hAnsi="Times New Roman" w:cs="Times New Roman"/>
          <w:b/>
          <w:lang w:val="en-US"/>
        </w:rPr>
      </w:pPr>
      <w:r w:rsidRPr="00861901">
        <w:rPr>
          <w:rFonts w:ascii="Times New Roman" w:eastAsia="Times New Roman" w:hAnsi="Times New Roman" w:cs="Times New Roman"/>
          <w:b/>
          <w:color w:val="000000"/>
          <w:lang w:val="en-US"/>
        </w:rPr>
        <w:t>Bias correction</w:t>
      </w:r>
    </w:p>
    <w:p w:rsidR="00861901" w:rsidRPr="00FA4FCE" w:rsidRDefault="00861901" w:rsidP="008A5776">
      <w:pPr>
        <w:spacing w:after="0" w:line="480" w:lineRule="auto"/>
        <w:jc w:val="both"/>
        <w:rPr>
          <w:rFonts w:ascii="Times New Roman" w:eastAsia="Times New Roman" w:hAnsi="Times New Roman" w:cs="Times New Roman"/>
          <w:lang w:val="en-US"/>
        </w:rPr>
      </w:pPr>
      <w:r w:rsidRPr="00FA4FCE">
        <w:rPr>
          <w:rFonts w:ascii="Times New Roman" w:eastAsia="Times New Roman" w:hAnsi="Times New Roman" w:cs="Times New Roman"/>
          <w:color w:val="000000"/>
          <w:lang w:val="en-US"/>
        </w:rPr>
        <w:t>Brain age is subject to a frequently reported bias, in which the brain age of older individuals is under- and the brain age of younger individuals is overestimated</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regardless of the data or method under consideration</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{"citationItems":[{"id":"ITEM-1","itemData":{"DOI":"10.1002/hbm.24588","ISSN":"10970193","abstract":"Brain age prediction using machine-learning techniques has recently attracted growing attention, as it has the potential to serve as a biomarker for characterizing the typical brain development and neuropsychiatric disorders. Yet one long-standing problem is that the predicted brain age is overestimated in younger subjects and underestimated in older. There is a plethora of claims as to the bias origins, both methodologically and in data itself. With a large neuroanatomical dataset (N = 2,026; 6–89 years of age) from multiple shared datasets, we show this bias is neither data-dependent nor specific to particular method including deep neural network. We present an alternative account that offers a statistical explanation for the bias and describe a simple, yet efficient, method using general linear model to adjust the bias. We demonstrate the effectiveness of bias adjustment with a large multi-modal neuroimaging data (N = 804; 8–21 years of age) for both healthy controls and post-traumatic stress disorders patients obtained from the Philadelphia Neurodevelopmental Cohort.","author":[{"dropping-particle":"","family":"Liang","given":"Hualou","non-dropping-particle":"","parse-names":false,"suffix":""},{"dropping-particle":"","family":"Zhang","given":"Fengqing","non-dropping-particle":"","parse-names":false,"suffix":""},{"dropping-particle":"","family":"Niu","given":"Xin","non-dropping-particle":"","parse-names":false,"suffix":""}],"container-title":"Human Brain Mapping","id":"ITEM-1","issue":"11","issued":{"date-parts":[["2019"]]},"title":"Investigating systematic bias in brain age estimation with application to post-traumatic stress disorders","type":"article-journal","volume":"40"},"uris":["http://www.mendeley.com/documents/?uuid=c5cba0d1-132b-3165-89ce-c3bc18f06d58"]}],"mendeley":{"formattedCitation":"&lt;sup&gt;23&lt;/sup&gt;","plainTextFormattedCitation":"23","previouslyFormattedCitation":"&lt;sup&gt;23&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Here, bias correction parameters were estimated using a linear model</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in the validation set, and subsequently applied to all test sets. The final brain age </w:t>
      </w:r>
      <w:proofErr w:type="gramStart"/>
      <w:r w:rsidRPr="00FA4FCE">
        <w:rPr>
          <w:rFonts w:ascii="Times New Roman" w:eastAsia="Times New Roman" w:hAnsi="Times New Roman" w:cs="Times New Roman"/>
          <w:color w:val="000000"/>
          <w:lang w:val="en-US"/>
        </w:rPr>
        <w:t>was calculated</w:t>
      </w:r>
      <w:proofErr w:type="gramEnd"/>
      <w:r w:rsidRPr="00FA4FCE">
        <w:rPr>
          <w:rFonts w:ascii="Times New Roman" w:eastAsia="Times New Roman" w:hAnsi="Times New Roman" w:cs="Times New Roman"/>
          <w:color w:val="000000"/>
          <w:lang w:val="en-US"/>
        </w:rPr>
        <w:t xml:space="preserve"> using slope (ɑ) and an intercept (β) as follows:</w:t>
      </w:r>
    </w:p>
    <w:p w:rsidR="00861901" w:rsidRPr="00861901" w:rsidRDefault="001E37D8" w:rsidP="008A5776">
      <w:pPr>
        <w:spacing w:after="0" w:line="480" w:lineRule="auto"/>
        <w:jc w:val="both"/>
        <w:rPr>
          <w:rFonts w:ascii="Times New Roman" w:eastAsia="Times New Roman" w:hAnsi="Times New Roman" w:cs="Times New Roman"/>
          <w:color w:val="000000"/>
          <w:lang w:val="en-US"/>
        </w:rPr>
      </w:pPr>
      <m:oMathPara>
        <m:oMath>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corrected with CA</m:t>
              </m:r>
            </m:sub>
          </m:sSub>
          <m:r>
            <m:rPr>
              <m:sty m:val="bi"/>
            </m:rPr>
            <w:rPr>
              <w:rFonts w:ascii="Cambria Math" w:eastAsia="Times New Roman" w:hAnsi="Cambria Math" w:cs="Times New Roman"/>
              <w:lang w:val="en-US"/>
            </w:rPr>
            <m:t>=</m:t>
          </m:r>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uncorrected</m:t>
              </m:r>
            </m:sub>
          </m:sSub>
          <m:r>
            <m:rPr>
              <m:sty m:val="bi"/>
            </m:rPr>
            <w:rPr>
              <w:rFonts w:ascii="Cambria Math" w:eastAsia="Times New Roman" w:hAnsi="Cambria Math" w:cs="Times New Roman"/>
              <w:lang w:val="en-US"/>
            </w:rPr>
            <m:t>-(α*CA+β)</m:t>
          </m:r>
        </m:oMath>
      </m:oMathPara>
    </w:p>
    <w:p w:rsidR="00D425E4" w:rsidRPr="007E19FA" w:rsidRDefault="00D425E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D425E4" w:rsidRDefault="00D425E4" w:rsidP="008A5776">
      <w:pPr>
        <w:spacing w:line="480" w:lineRule="auto"/>
        <w:rPr>
          <w:rFonts w:ascii="Times New Roman" w:hAnsi="Times New Roman" w:cs="Times New Roman"/>
          <w:lang w:val="en-US"/>
        </w:rPr>
      </w:pPr>
      <w:r w:rsidRPr="00371B09">
        <w:rPr>
          <w:rFonts w:ascii="Times New Roman" w:hAnsi="Times New Roman" w:cs="Times New Roman"/>
          <w:lang w:val="en-US"/>
        </w:rPr>
        <w:t xml:space="preserve">For both the </w:t>
      </w:r>
      <w:r>
        <w:rPr>
          <w:rFonts w:ascii="Times New Roman" w:hAnsi="Times New Roman" w:cs="Times New Roman"/>
          <w:lang w:val="en-US"/>
        </w:rPr>
        <w:t xml:space="preserve">support vector, and relevance vector regression models, the following </w:t>
      </w:r>
      <w:r w:rsidR="001E37D8">
        <w:rPr>
          <w:rFonts w:ascii="Times New Roman" w:hAnsi="Times New Roman" w:cs="Times New Roman"/>
          <w:lang w:val="en-US"/>
        </w:rPr>
        <w:t xml:space="preserve">configurations </w:t>
      </w:r>
      <w:r>
        <w:rPr>
          <w:rFonts w:ascii="Times New Roman" w:hAnsi="Times New Roman" w:cs="Times New Roman"/>
          <w:lang w:val="en-US"/>
        </w:rPr>
        <w:t xml:space="preserve">were </w:t>
      </w:r>
      <w:r w:rsidR="001E37D8">
        <w:rPr>
          <w:rFonts w:ascii="Times New Roman" w:hAnsi="Times New Roman" w:cs="Times New Roman"/>
          <w:lang w:val="en-US"/>
        </w:rPr>
        <w:t>assessed to tune the regularization parameter C</w:t>
      </w:r>
      <w:bookmarkStart w:id="0" w:name="_GoBack"/>
      <w:bookmarkEnd w:id="0"/>
      <w:r>
        <w:rPr>
          <w:rFonts w:ascii="Times New Roman" w:hAnsi="Times New Roman" w:cs="Times New Roman"/>
          <w:lang w:val="en-US"/>
        </w:rPr>
        <w:t>:</w:t>
      </w:r>
      <w:r>
        <w:rPr>
          <w:rFonts w:ascii="Times New Roman" w:hAnsi="Times New Roman" w:cs="Times New Roman"/>
          <w:lang w:val="en-US"/>
        </w:rPr>
        <w:br/>
        <w:t>C: [0.001, 0.01, 0.1, 1, 10, 100, 500]  # r</w:t>
      </w:r>
      <w:r w:rsidRPr="00371B09">
        <w:rPr>
          <w:rFonts w:ascii="Times New Roman" w:hAnsi="Times New Roman" w:cs="Times New Roman"/>
          <w:lang w:val="en-US"/>
        </w:rPr>
        <w:t>egularization parameter</w:t>
      </w:r>
      <w:r>
        <w:rPr>
          <w:rFonts w:ascii="Times New Roman" w:hAnsi="Times New Roman" w:cs="Times New Roman"/>
          <w:lang w:val="en-US"/>
        </w:rPr>
        <w:t xml:space="preserve"> (strength of</w:t>
      </w:r>
      <w:r w:rsidRPr="00371B09">
        <w:rPr>
          <w:rFonts w:ascii="Times New Roman" w:hAnsi="Times New Roman" w:cs="Times New Roman"/>
          <w:lang w:val="en-US"/>
        </w:rPr>
        <w:t xml:space="preserve"> regularization</w:t>
      </w:r>
      <w:r>
        <w:rPr>
          <w:rFonts w:ascii="Times New Roman" w:hAnsi="Times New Roman" w:cs="Times New Roman"/>
          <w:lang w:val="en-US"/>
        </w:rPr>
        <w:t xml:space="preserve"> is inversely proportional to C)</w:t>
      </w:r>
    </w:p>
    <w:p w:rsidR="00B03F94" w:rsidRPr="007E19FA" w:rsidRDefault="00B03F9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Measures of cognitive performance</w:t>
      </w:r>
    </w:p>
    <w:p w:rsidR="00B03F94" w:rsidRDefault="00B03F94" w:rsidP="008A5776">
      <w:pPr>
        <w:pStyle w:val="KeinLeerraum"/>
        <w:spacing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The ADNI-MEM combines several scores used to evaluate individuals’ memory performance from the Rey Auditory Verbal Learning Test, </w:t>
      </w:r>
      <w:proofErr w:type="gramStart"/>
      <w:r w:rsidRPr="00FA4FCE">
        <w:rPr>
          <w:rFonts w:ascii="Times New Roman" w:eastAsia="Times New Roman" w:hAnsi="Times New Roman" w:cs="Times New Roman"/>
          <w:color w:val="000000"/>
          <w:lang w:val="en-US"/>
        </w:rPr>
        <w:t>Alzheimer’s Disease</w:t>
      </w:r>
      <w:proofErr w:type="gramEnd"/>
      <w:r w:rsidRPr="00FA4FCE">
        <w:rPr>
          <w:rFonts w:ascii="Times New Roman" w:eastAsia="Times New Roman" w:hAnsi="Times New Roman" w:cs="Times New Roman"/>
          <w:color w:val="000000"/>
          <w:lang w:val="en-US"/>
        </w:rPr>
        <w:t xml:space="preserve"> Assessment Scale and Mini Mental State Exam. The ADNI-EF is a summary score of several executive function tasks: Category Fluency, Trails, Digit span backwards, Wechsler Adult Intelligence Scale-R Digit Symbol Substitution, Number Cancellation, and Clock Drawing items.</w:t>
      </w:r>
      <w:r w:rsidR="008A5776">
        <w:rPr>
          <w:rFonts w:ascii="Times New Roman" w:eastAsia="Times New Roman" w:hAnsi="Times New Roman" w:cs="Times New Roman"/>
          <w:color w:val="000000"/>
          <w:lang w:val="en-US"/>
        </w:rPr>
        <w:t xml:space="preserve"> 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cognitive performance </w:t>
      </w:r>
      <w:proofErr w:type="gramStart"/>
      <w:r w:rsidR="008A5776" w:rsidRPr="00FA4FCE">
        <w:rPr>
          <w:rFonts w:ascii="Times New Roman" w:eastAsia="Times New Roman" w:hAnsi="Times New Roman" w:cs="Times New Roman"/>
          <w:color w:val="000000"/>
          <w:lang w:val="en-US"/>
        </w:rPr>
        <w:t>were tested</w:t>
      </w:r>
      <w:proofErr w:type="gramEnd"/>
      <w:r w:rsidR="008A5776" w:rsidRPr="00FA4FCE">
        <w:rPr>
          <w:rFonts w:ascii="Times New Roman" w:eastAsia="Times New Roman" w:hAnsi="Times New Roman" w:cs="Times New Roman"/>
          <w:color w:val="000000"/>
          <w:lang w:val="en-US"/>
        </w:rPr>
        <w:t xml:space="preserve"> against a Bonferroni-corrected α-level of .025 (0.05/2). </w:t>
      </w:r>
    </w:p>
    <w:p w:rsidR="00B03F94" w:rsidRPr="007E19FA" w:rsidRDefault="00B03F94" w:rsidP="008A5776">
      <w:pPr>
        <w:pStyle w:val="Listenabsatz"/>
        <w:numPr>
          <w:ilvl w:val="1"/>
          <w:numId w:val="2"/>
        </w:numPr>
        <w:spacing w:line="480" w:lineRule="auto"/>
        <w:ind w:left="709" w:hanging="709"/>
        <w:rPr>
          <w:rFonts w:ascii="Times New Roman" w:eastAsia="Times New Roman" w:hAnsi="Times New Roman" w:cs="Times New Roman"/>
          <w:b/>
          <w:color w:val="000000"/>
          <w:lang w:val="en-US"/>
        </w:rPr>
      </w:pPr>
      <w:r w:rsidRPr="007E19FA">
        <w:rPr>
          <w:rFonts w:ascii="Times New Roman" w:eastAsia="Times New Roman" w:hAnsi="Times New Roman" w:cs="Times New Roman"/>
          <w:b/>
          <w:color w:val="000000"/>
          <w:lang w:val="en-US"/>
        </w:rPr>
        <w:t>Measures of AD neuropathology</w:t>
      </w:r>
    </w:p>
    <w:p w:rsidR="00B03F94" w:rsidRDefault="00B03F94" w:rsidP="008A5776">
      <w:pPr>
        <w:spacing w:line="480" w:lineRule="auto"/>
        <w:rPr>
          <w:rFonts w:ascii="Times New Roman" w:hAnsi="Times New Roman" w:cs="Times New Roman"/>
          <w:lang w:val="en-US"/>
        </w:rPr>
      </w:pPr>
      <w:r w:rsidRPr="00FA4FCE">
        <w:rPr>
          <w:rFonts w:ascii="Times New Roman" w:eastAsia="Times New Roman" w:hAnsi="Times New Roman" w:cs="Times New Roman"/>
          <w:color w:val="000000"/>
          <w:lang w:val="en-US"/>
        </w:rPr>
        <w:lastRenderedPageBreak/>
        <w:t>For AV45-PET, mean SUVR are publicly available from previous analyses</w:t>
      </w:r>
      <w:r w:rsidRPr="00FA4FCE">
        <w:rPr>
          <w:rStyle w:val="Funotenzeichen"/>
          <w:rFonts w:ascii="Times New Roman" w:hAnsi="Times New Roman" w:cs="Times New Roman"/>
          <w:iCs/>
          <w:lang w:val="en-GB"/>
        </w:rPr>
        <w:fldChar w:fldCharType="begin" w:fldLock="1"/>
      </w:r>
      <w:r w:rsidRPr="00FA4FCE">
        <w:rPr>
          <w:rFonts w:ascii="Times New Roman" w:hAnsi="Times New Roman" w:cs="Times New Roman"/>
          <w:iCs/>
          <w:lang w:val="en-GB"/>
        </w:rPr>
        <w:instrText>ADDIN CSL_CITATION {"citationItems":[{"id":"ITEM-1","itemData":{"abstract":"ADNI Florbetaben analysis overview ADNI Florbetaben PET data have been acquired starting in Jan 2017 with ADNI3. Our florbetaben PET processing and analysis pipeline is nearly identical to our florbetapir PET pipeline (see separate UC Berkeley florbetapir methods document). Briefly, we use Freesurfer-defined regions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florbetaben scan to the corresponding MRI and calculate the mean florbetapir uptake within the cortical and reference regions. Florbetaben SUVRs from our dataset can be created by averaging across the 4 cortical regions and dividing this by one of the reference regions. While the reference region selection depends on the goals of the study, we have provided two summary SUVRs in our dataset. We recommend using the summary SUVR based on the whole cerebellum reference region (positivity threshold = 1.08), which represents 2SD above the mean of the lower, \"negative\" distribution identified in a Gaussian Mixture Model approach.","author":[{"dropping-particle":"","family":"Landau","given":"Susan","non-dropping-particle":"","parse-names":false,"suffix":""},{"dropping-particle":"","family":"Koeppe","given":"Robert","non-dropping-particle":"","parse-names":false,"suffix":""},{"dropping-particle":"","family":"Jagust","given":"William","non-dropping-particle":"","parse-names":false,"suffix":""}],"id":"ITEM-1","issued":{"date-parts":[["2011"]]},"title":"Florbetaben processing and positivity threshold derivation Motivation for changing the threshold","type":"report"},"uris":["http://www.mendeley.com/documents/?uuid=3128ba38-fb1a-3b8e-89c2-30e57452ea98"]},{"id":"ITEM-2","itemData":{"abstract":"ADNI Florbetapir summary data are updated regularly and uploaded to LONI by our group. We use a native-space MRI scan for each subject that is segmented and parcellated with Freesurfer (version 4.5.0) to define cortical grey matter regions of interest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florbetapir scan to the corresponding MRI and calculate the mean florbetapir uptake within the cortical and reference regions. Florbetapir SUVRs can be created by averaging across the 4 cortical regions and dividing this cortical summary ROI by one of the five reference regions. Selection of a cortical region of interest and reference region depend on the goals of the analysis. We have provided two summary SUVRs in our dataset. The first is the cortical summary ROI divided by the whole cerebellum reference region (SUMMARYSUVR_WHOLECEREBNORM), which our group [1, 2] and others have used for cross-sectional florbetapir analyses. The second is the cortical summary ROI divided by a composite reference region (SUMMARYSUVR_COMPOSITE_REFNORM), which we have evaluated recently for longitudinal florbetapir analyses and is described below. Method Acquisition of florbetapir and MRI image data from LONI We download florbetapir data from LONI in the most fully pre-processed format (series description in LONI Advanced Search: \"AV45 Coreg, Avg, Std Img and Vox Siz, Uniform Resolution\"). Each subject's first florbetapir image is coregistered using SPM5 to that subject's MRI image (series description: ADNI 1 scans *N3;* and ADNI GO/2 scans *N3*) that was closest in time to the florbetapir scan. We use the MRI scan that is closest in time to the first florbetapir scan, but note that not all subjects have a concurrent MRI available on LONI so in some cases we use an MRI scan acquired at another visit. The baseline MRI is used to define regions for all subsequent florbetapir scans. Freesurfer-defined cortical regions We carry out Freesurfer processing to skull-strip, segment, and delineate cortical and subcortical regions in all MRI scans. We then extract florbetapir means from grey matter in Figure 1: All cortical grey matter-only regions that can be used to create a composite florbetapir index (SUVR) are shown in red on a…","author":[{"dropping-particle":"","family":"Landau","given":"Susan","non-dropping-particle":"","parse-names":false,"suffix":""},{"dropping-particle":"","family":"Jagust","given":"William","non-dropping-particle":"","parse-names":false,"suffix":""}],"id":"ITEM-2","issued":{"date-parts":[["2011"]]},"title":"Florbetapir processing methods","type":"report"},"uris":["http://www.mendeley.com/documents/?uuid=c1e6f39f-96f6-37d8-8f45-223d1cbae16a"]},{"id":"ITEM-3","itemData":{"DOI":"10.1212/WNL.0b013e3181bc010c","ISSN":"1526632X","PMID":"19822868","abstract":"BACKGROUND: PET imaging using [F]fluorodeoxyglucose (FDG) and [C]Pittsburgh compound B (PIB) have been proposed as biomarkers of Alzheimer disease (AD), as have CSF measures of the 42 amino acid β-amyloid protein (Aβ1-42) and total and phosphorylated tau (t-tau and p-tau). Relationships between biomarkers and with disease severity are incompletely understood. METHODS: Ten subjects with AD, 11 control subjects, and 34 subjects with mild cognitive impairment from the Alzheimer's Disease Neuroimaging Initiative underwent clinical evaluation; CSF measurement of Aβ1-42, t-tau, and p-tau; and PIB-PET and FDG-PET scanning. Data were analyzed using continuous regression and dichotomous outcomes with subjects classified as \"positive\" or \"negative\" for AD based on cutoffs established in patients with AD and controls from other cohorts. RESULTS:: Dichotomous categorization showed substantial agreement between PIB-PET and CSF Aβ1-42 measures (91% agreement, κ = 0.74), modest agreement between PIB-PET and p-tau (76% agreement, κ = 0.50), and minimal agreement for other comparisons (κ &lt;0.3). Mini-Mental State Examination score was significantly correlated with FDG-PET but not with PIB-PET or CSF Aβ1-42. Regression models adjusted for diagnosis showed that PIB-PET was significantly correlated with Aβ1-42, t-tau, and p-tau181p, whereas FDG-PET was correlated only with Aβ1-42. CONCLUSIONS: PET and CSF biomarkers of Aβ agree with one another but are not related to cognitive impairment. [F]fluorodeoxyglucose-PET is modestly related to other biomarkers but is better related to cognition. Different biomarkers for Alzheimer disease provide different information from one another that is likely to be complementary. © 2009 by AAN Enterprises, Inc. All rights reserved.","author":[{"dropping-particle":"","family":"Jagust","given":"William J.","non-dropping-particle":"","parse-names":false,"suffix":""},{"dropping-particle":"","family":"Landau","given":"S. M.","non-dropping-particle":"","parse-names":false,"suffix":""},{"dropping-particle":"","family":"Shaw","given":"L. M.","non-dropping-particle":"","parse-names":false,"suffix":""},{"dropping-particle":"","family":"Trojanowski","given":"J. Q.","non-dropping-particle":"","parse-names":false,"suffix":""},{"dropping-particle":"","family":"Koeppe","given":"R. A.","non-dropping-particle":"","parse-names":false,"suffix":""},{"dropping-particle":"","family":"Reiman","given":"E. M.","non-dropping-particle":"","parse-names":false,"suffix":""},{"dropping-particle":"","family":"Foster","given":"N. L.","non-dropping-particle":"","parse-names":false,"suffix":""},{"dropping-particle":"","family":"Petersen","given":"R. C.","non-dropping-particle":"","parse-names":false,"suffix":""},{"dropping-particle":"","family":"Weiner","given":"M. W.","non-dropping-particle":"","parse-names":false,"suffix":""},{"dropping-particle":"","family":"Price","given":"J. C.","non-dropping-particle":"","parse-names":false,"suffix":""},{"dropping-particle":"","family":"Mathis","given":"C. A.","non-dropping-particle":"","parse-names":false,"suffix":""}],"container-title":"Neurology","id":"ITEM-3","issue":"15","issued":{"date-parts":[["2009"]]},"page":"1193-1199","publisher":"Neurology","title":"Relationships between biomarkers in aging and dementia","type":"article-journal","volume":"73"},"uris":["http://www.mendeley.com/documents/?uuid=5633df35-c396-3eab-b86d-f87dedfaeb24"]},{"id":"ITEM-4","itemData":{"DOI":"10.1016/j.jalz.2010.03.003","ISSN":"15525260","abstract":"Background: This is a progress report of the Alzheimer's Disease Neuroimaging Initiative (ADNI) positron emission tomography (PET) Core. Methods: The Core has supervised the acquisition, quality control, and analysis of longitudinal [18F]fluorodeoxyglucose PET (FDG-PET) data in approximately half of the ADNI cohort. In an \"add on\" study, approximately 100 subjects also underwent scanning with [11C] Pittsburgh compound B PET for amyloid imaging. The Core developed quality control procedures and standardized image acquisition by developing an imaging protocol that has been widely adopted in academic and pharmaceutical industry studies. Data processing provides users with scans that have identical orientation and resolution characteristics despite acquisition on multiple scanner models. The Core labs have used many different approaches to characterize differences between subject groups (Alzheimer's disease, mild cognitive impairment, controls), to examine longitudinal change over time in glucose metabolism and amyloid deposition, and to assess the use of FDG-PET as a potential outcome measure in clinical trials. Results: ADNI data indicate that FDG-PET increases statistical power over traditional cognitive measures, might aid subject selection, and could substantially reduce the sample size in a clinical trial. Pittsburgh compound B PET data showed expected group differences, and identified subjects with significant annual increases in amyloid load across the subject groups. The next activities of the PET core in ADNI will entail developing standardized protocols for amyloid imaging using the [18F]-labeled amyloid imaging agent AV45, which can be delivered to virtually all ADNI sites. Conclusions: ADNI has demonstrated the feasibility and utility of multicenter PET studies and is helping to clarify the role of biomarkers in the study of aging and dementia. © 2010 The Alzheimer's Association. All rights reserved.","author":[{"dropping-particle":"","family":"Jagust","given":"William J.","non-dropping-particle":"","parse-names":false,"suffix":""},{"dropping-particle":"","family":"Bandy","given":"Dan","non-dropping-particle":"","parse-names":false,"suffix":""},{"dropping-particle":"","family":"Chen","given":"Kewei","non-dropping-particle":"","parse-names":false,"suffix":""},{"dropping-particle":"","family":"Foster","given":"Norman L.","non-dropping-particle":"","parse-names":false,"suffix":""},{"dropping-particle":"","family":"Landau","given":"Susan M.","non-dropping-particle":"","parse-names":false,"suffix":""},{"dropping-particle":"","family":"Mathis","given":"Chester A.","non-dropping-particle":"","parse-names":false,"suffix":""},{"dropping-particle":"","family":"Price","given":"Julie C.","non-dropping-particle":"","parse-names":false,"suffix":""},{"dropping-particle":"","family":"Reiman","given":"Eric M.","non-dropping-particle":"","parse-names":false,"suffix":""},{"dropping-particle":"","family":"Skovronsky","given":"Daniel","non-dropping-particle":"","parse-names":false,"suffix":""},{"dropping-particle":"","family":"Koeppe","given":"Robert A.","non-dropping-particle":"","parse-names":false,"suffix":""}],"container-title":"Alzheimer's and Dementia","id":"ITEM-4","issue":"3","issued":{"date-parts":[["2010"]]},"title":"The Alzheimer's Disease Neuroimaging Initiative positron emission tomography core","type":"article-journal","volume":"6"},"uris":["http://www.mendeley.com/documents/?uuid=3833c8ad-4e97-3149-af1f-4c8f2c8b7815"]}],"mendeley":{"formattedCitation":"&lt;sup&gt;26–29&lt;/sup&gt;","plainTextFormattedCitation":"26–29","previouslyFormattedCitation":"&lt;sup&gt;26–29&lt;/sup&gt;"},"properties":{"noteIndex":0},"schema":"https://github.com/citation-style-language/schema/raw/master/csl-citation.json"}</w:instrText>
      </w:r>
      <w:r w:rsidRPr="00FA4FCE">
        <w:rPr>
          <w:rStyle w:val="Funotenzeichen"/>
          <w:rFonts w:ascii="Times New Roman" w:hAnsi="Times New Roman" w:cs="Times New Roman"/>
          <w:iCs/>
          <w:lang w:val="en-GB"/>
        </w:rPr>
        <w:fldChar w:fldCharType="separate"/>
      </w:r>
      <w:r w:rsidRPr="00FA4FCE">
        <w:rPr>
          <w:rFonts w:ascii="Times New Roman" w:hAnsi="Times New Roman" w:cs="Times New Roman"/>
          <w:bCs/>
          <w:iCs/>
          <w:noProof/>
          <w:vertAlign w:val="superscript"/>
          <w:lang w:val="en-US"/>
        </w:rPr>
        <w:t>26–29</w:t>
      </w:r>
      <w:r w:rsidRPr="00FA4FCE">
        <w:rPr>
          <w:rStyle w:val="Funotenzeichen"/>
          <w:rFonts w:ascii="Times New Roman" w:hAnsi="Times New Roman" w:cs="Times New Roman"/>
          <w:iCs/>
          <w:lang w:val="en-GB"/>
        </w:rPr>
        <w:fldChar w:fldCharType="end"/>
      </w:r>
      <w:r w:rsidRPr="00FA4FCE">
        <w:rPr>
          <w:rFonts w:ascii="Times New Roman" w:hAnsi="Times New Roman" w:cs="Times New Roman"/>
          <w:iCs/>
          <w:lang w:val="en-GB"/>
        </w:rPr>
        <w:t xml:space="preserve">. </w:t>
      </w:r>
      <w:r w:rsidRPr="00FA4FCE">
        <w:rPr>
          <w:rFonts w:ascii="Times New Roman" w:hAnsi="Times New Roman" w:cs="Times New Roman"/>
          <w:lang w:val="en-US"/>
        </w:rPr>
        <w:t>CSF Aβ</w:t>
      </w:r>
      <w:r w:rsidRPr="00FA4FCE">
        <w:rPr>
          <w:rFonts w:ascii="Times New Roman" w:hAnsi="Times New Roman" w:cs="Times New Roman"/>
          <w:vertAlign w:val="subscript"/>
          <w:lang w:val="en-US"/>
        </w:rPr>
        <w:t>1-42</w:t>
      </w:r>
      <w:r w:rsidRPr="00FA4FCE">
        <w:rPr>
          <w:rFonts w:ascii="Times New Roman" w:hAnsi="Times New Roman" w:cs="Times New Roman"/>
          <w:lang w:val="en-US"/>
        </w:rPr>
        <w:t xml:space="preserve">, Tau and </w:t>
      </w:r>
      <w:r w:rsidRPr="00FA4FCE">
        <w:rPr>
          <w:rFonts w:ascii="Times New Roman" w:hAnsi="Times New Roman" w:cs="Times New Roman"/>
          <w:vertAlign w:val="subscript"/>
          <w:lang w:val="en-US"/>
        </w:rPr>
        <w:t xml:space="preserve"> </w:t>
      </w:r>
      <w:r w:rsidRPr="00FA4FCE">
        <w:rPr>
          <w:rFonts w:ascii="Times New Roman" w:eastAsia="Times New Roman" w:hAnsi="Times New Roman" w:cs="Times New Roman"/>
          <w:color w:val="000000"/>
          <w:lang w:val="en-US"/>
        </w:rPr>
        <w:t>p-Tau</w:t>
      </w:r>
      <w:r w:rsidRPr="00FA4FCE">
        <w:rPr>
          <w:rFonts w:ascii="Times New Roman" w:eastAsia="Times New Roman" w:hAnsi="Times New Roman" w:cs="Times New Roman"/>
          <w:color w:val="000000"/>
          <w:vertAlign w:val="subscript"/>
          <w:lang w:val="en-US"/>
        </w:rPr>
        <w:t>181</w:t>
      </w:r>
      <w:r w:rsidRPr="00FA4FCE">
        <w:rPr>
          <w:rFonts w:ascii="Times New Roman" w:eastAsia="Times New Roman" w:hAnsi="Times New Roman" w:cs="Times New Roman"/>
          <w:color w:val="000000"/>
          <w:lang w:val="en-US"/>
        </w:rPr>
        <w:t xml:space="preserve"> were acquired via lumbar puncture and analyzed using the Roche </w:t>
      </w:r>
      <w:proofErr w:type="spellStart"/>
      <w:r w:rsidRPr="00FA4FCE">
        <w:rPr>
          <w:rFonts w:ascii="Times New Roman" w:eastAsia="Times New Roman" w:hAnsi="Times New Roman" w:cs="Times New Roman"/>
          <w:color w:val="000000"/>
          <w:lang w:val="en-US"/>
        </w:rPr>
        <w:t>Elecsys</w:t>
      </w:r>
      <w:proofErr w:type="spellEnd"/>
      <w:r w:rsidRPr="00FA4FCE">
        <w:rPr>
          <w:rFonts w:ascii="Times New Roman" w:eastAsia="Times New Roman" w:hAnsi="Times New Roman" w:cs="Times New Roman"/>
          <w:color w:val="000000"/>
          <w:lang w:val="en-US"/>
        </w:rPr>
        <w:t>® immunoassays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{"citationItems":[{"id":"ITEM-1","itemData":{"DOI":"10.1038/s41598-019-54204-z","ISSN":"20452322","abstract":"We evaluated the performance of CSF biomarkers for predicting risk of clinical decline and conversion to dementia in non-demented patients with cognitive symptoms. CSF samples from patients in two multicentre longitudinal studies (ADNI, n = 619; BioFINDER, n = 431) were analysed. Aβ(1–42), tTau and pTau CSF concentrations were measured using Elecsys CSF immunoassays, and tTau/Aβ(1–42) and pTau/Aβ(1–42) ratios calculated. Patients were classified as biomarker (BM)-positive or BM-negative at baseline. Ability of biomarkers to predict risk of clinical decline and conversion to AD/dementia was assessed using pre-established cut-offs for Aβ(1–42) and ratios; tTau and pTau cut-offs were determined. BM-positive patients showed greater clinical decline than BM-negative patients, demonstrated by greater decreases in MMSE scores (all biomarkers: –2.10 to –0.70). Risk of conversion to AD/dementia was higher in BM-positive patients (HR: 1.67 to 11.48). Performance of Tau/Aβ(1–42) ratios was superior to single biomarkers, and consistent even when using cut-offs derived in a different cohort. Optimal pTau and tTau cut-offs were approximately 27 pg/mL and 300 pg/mL in both BioFINDER and ADNI. Elecsys pTau/Aβ(1–42) and tTau/Aβ(1–42) are robust biomarkers for predicting risk of clinical decline and conversion to dementia in non-demented patients, and may support AD diagnosis in clinical practice.","author":[{"dropping-particle":"","family":"Blennow","given":"Kaj","non-dropping-particle":"","parse-names":false,"suffix":""},{"dropping-particle":"","family":"Shaw","given":"Leslie M.","non-dropping-particle":"","parse-names":false,"suffix":""},{"dropping-particle":"","family":"Stomrud","given":"Erik","non-dropping-particle":"","parse-names":false,"suffix":""},{"dropping-particle":"","family":"Mattsson","given":"Niklas","non-dropping-particle":"","parse-names":false,"suffix":""},{"dropping-particle":"","family":"Toledo","given":"Jon B.","non-dropping-particle":"","parse-names":false,"suffix":""},{"dropping-particle":"","family":"Buck","given":"Katharina","non-dropping-particle":"","parse-names":false,"suffix":""},{"dropping-particle":"","family":"Wahl","given":"Simone","non-dropping-particle":"","parse-names":false,"suffix":""},{"dropping-particle":"","family":"Eichenlaub","given":"Udo","non-dropping-particle":"","parse-names":false,"suffix":""},{"dropping-particle":"","family":"Lifke","given":"Valeria","non-dropping-particle":"","parse-names":false,"suffix":""},{"dropping-particle":"","family":"Simon","given":"Maryline","non-dropping-particle":"","parse-names":false,"suffix":""},{"dropping-particle":"","family":"Trojanowski","given":"John Q.","non-dropping-particle":"","parse-names":false,"suffix":""},{"dropping-particle":"","family":"Hansson","given":"Oskar","non-dropping-particle":"","parse-names":false,"suffix":""}],"container-title":"Scientific Reports","id":"ITEM-1","issue":"1","issued":{"date-parts":[["2019"]]},"title":"Predicting clinical decline and conversion to Alzheimer’s disease or dementia using novel Elecsys Aβ(1–42), pTau and tTau CSF immunoassays","type":"article-journal","volume":"9"},"uris":["http://www.mendeley.com/documents/?uuid=607a77de-0f74-3a8b-99e2-714a64108247"]}],"mendeley":{"formattedCitation":"&lt;sup&gt;30&lt;/sup&gt;","plainTextFormattedCitation":"30","previouslyFormattedCitation":"&lt;sup&gt;30&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30</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bCs/>
          <w:color w:val="000000"/>
          <w:lang w:val="en-US"/>
        </w:rPr>
        <w:t>The number of tau PET scans already evaluated for SUVR in the current cohorts was too small to include this biomarker in the current analyses.</w:t>
      </w:r>
      <w:r w:rsidR="008A5776">
        <w:rPr>
          <w:rFonts w:ascii="Times New Roman" w:eastAsia="Times New Roman" w:hAnsi="Times New Roman" w:cs="Times New Roman"/>
          <w:bCs/>
          <w:color w:val="000000"/>
          <w:lang w:val="en-US"/>
        </w:rPr>
        <w:t xml:space="preserve"> </w:t>
      </w:r>
      <w:r w:rsidR="008A5776">
        <w:rPr>
          <w:rFonts w:ascii="Times New Roman" w:eastAsia="Times New Roman" w:hAnsi="Times New Roman" w:cs="Times New Roman"/>
          <w:color w:val="000000"/>
          <w:lang w:val="en-US"/>
        </w:rPr>
        <w:t>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AD neuropathology </w:t>
      </w:r>
      <w:proofErr w:type="gramStart"/>
      <w:r w:rsidR="008A5776">
        <w:rPr>
          <w:rFonts w:ascii="Times New Roman" w:eastAsia="Times New Roman" w:hAnsi="Times New Roman" w:cs="Times New Roman"/>
          <w:color w:val="000000"/>
          <w:lang w:val="en-US"/>
        </w:rPr>
        <w:t>were tested</w:t>
      </w:r>
      <w:proofErr w:type="gramEnd"/>
      <w:r w:rsidR="008A5776">
        <w:rPr>
          <w:rFonts w:ascii="Times New Roman" w:eastAsia="Times New Roman" w:hAnsi="Times New Roman" w:cs="Times New Roman"/>
          <w:color w:val="000000"/>
          <w:lang w:val="en-US"/>
        </w:rPr>
        <w:t xml:space="preserve"> against a Bonferroni-corrected </w:t>
      </w:r>
      <w:r w:rsidR="008A5776" w:rsidRPr="00FA4FCE">
        <w:rPr>
          <w:rFonts w:ascii="Times New Roman" w:eastAsia="Times New Roman" w:hAnsi="Times New Roman" w:cs="Times New Roman"/>
          <w:color w:val="000000"/>
          <w:lang w:val="en-US"/>
        </w:rPr>
        <w:t xml:space="preserve">α-level </w:t>
      </w:r>
      <w:r w:rsidR="008A5776">
        <w:rPr>
          <w:rFonts w:ascii="Times New Roman" w:eastAsia="Times New Roman" w:hAnsi="Times New Roman" w:cs="Times New Roman"/>
          <w:color w:val="000000"/>
          <w:lang w:val="en-US"/>
        </w:rPr>
        <w:t xml:space="preserve">of </w:t>
      </w:r>
      <w:r w:rsidR="008A5776" w:rsidRPr="00FA4FCE">
        <w:rPr>
          <w:rFonts w:ascii="Times New Roman" w:eastAsia="Times New Roman" w:hAnsi="Times New Roman" w:cs="Times New Roman"/>
          <w:color w:val="000000"/>
          <w:lang w:val="en-US"/>
        </w:rPr>
        <w:t>0.0125 (0.05/4).</w:t>
      </w:r>
    </w:p>
    <w:p w:rsidR="007E19FA" w:rsidRDefault="00371B09" w:rsidP="008A5776">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Results</w:t>
      </w:r>
    </w:p>
    <w:p w:rsidR="00371B09" w:rsidRPr="007E19FA" w:rsidRDefault="00371B09"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6938A5" w:rsidRPr="00371B09" w:rsidRDefault="00AF4A0D" w:rsidP="008A5776">
      <w:pPr>
        <w:spacing w:line="480" w:lineRule="auto"/>
        <w:rPr>
          <w:rFonts w:ascii="Times New Roman" w:hAnsi="Times New Roman" w:cs="Times New Roman"/>
          <w:b/>
          <w:lang w:val="en-US"/>
        </w:rPr>
      </w:pPr>
      <w:r>
        <w:rPr>
          <w:rFonts w:ascii="Times New Roman" w:hAnsi="Times New Roman" w:cs="Times New Roman"/>
          <w:lang w:val="en-US"/>
        </w:rPr>
        <w:t>For reproducibility, Table SM1 outlines hyperparameter configurations of the final models.</w:t>
      </w:r>
    </w:p>
    <w:tbl>
      <w:tblPr>
        <w:tblStyle w:val="Tabellenraster"/>
        <w:tblW w:w="0" w:type="auto"/>
        <w:tblLook w:val="04A0" w:firstRow="1" w:lastRow="0" w:firstColumn="1" w:lastColumn="0" w:noHBand="0" w:noVBand="1"/>
      </w:tblPr>
      <w:tblGrid>
        <w:gridCol w:w="1491"/>
        <w:gridCol w:w="1657"/>
        <w:gridCol w:w="1543"/>
        <w:gridCol w:w="1628"/>
        <w:gridCol w:w="1412"/>
        <w:gridCol w:w="1331"/>
      </w:tblGrid>
      <w:tr w:rsidR="00E66FC6" w:rsidRPr="00E77BCE" w:rsidTr="009946B0">
        <w:tc>
          <w:tcPr>
            <w:tcW w:w="9062" w:type="dxa"/>
            <w:gridSpan w:val="6"/>
          </w:tcPr>
          <w:p w:rsidR="00E66FC6" w:rsidRDefault="00E66FC6" w:rsidP="008A5776">
            <w:pPr>
              <w:spacing w:line="480" w:lineRule="auto"/>
              <w:rPr>
                <w:rFonts w:ascii="Times New Roman" w:hAnsi="Times New Roman" w:cs="Times New Roman"/>
                <w:b/>
                <w:lang w:val="en-US"/>
              </w:rPr>
            </w:pPr>
            <w:r>
              <w:rPr>
                <w:rFonts w:ascii="Times New Roman" w:hAnsi="Times New Roman" w:cs="Times New Roman"/>
                <w:b/>
                <w:lang w:val="en-US"/>
              </w:rPr>
              <w:t>Table S</w:t>
            </w:r>
            <w:r w:rsidR="0024443C">
              <w:rPr>
                <w:rFonts w:ascii="Times New Roman" w:hAnsi="Times New Roman" w:cs="Times New Roman"/>
                <w:b/>
                <w:lang w:val="en-US"/>
              </w:rPr>
              <w:t>M</w:t>
            </w:r>
            <w:r>
              <w:rPr>
                <w:rFonts w:ascii="Times New Roman" w:hAnsi="Times New Roman" w:cs="Times New Roman"/>
                <w:b/>
                <w:lang w:val="en-US"/>
              </w:rPr>
              <w:t>1. Final models with optimal hyperparameter configurations.</w:t>
            </w:r>
          </w:p>
        </w:tc>
      </w:tr>
      <w:tr w:rsidR="00371B09" w:rsidTr="00371B09">
        <w:tc>
          <w:tcPr>
            <w:tcW w:w="1491" w:type="dxa"/>
          </w:tcPr>
          <w:p w:rsidR="00371B09" w:rsidRDefault="00371B09" w:rsidP="008A5776">
            <w:pPr>
              <w:spacing w:line="480" w:lineRule="auto"/>
              <w:rPr>
                <w:rFonts w:ascii="Times New Roman" w:hAnsi="Times New Roman" w:cs="Times New Roman"/>
                <w:b/>
                <w:lang w:val="en-US"/>
              </w:rPr>
            </w:pPr>
          </w:p>
        </w:tc>
        <w:tc>
          <w:tcPr>
            <w:tcW w:w="1657" w:type="dxa"/>
          </w:tcPr>
          <w:p w:rsidR="00371B09" w:rsidRDefault="00371B09" w:rsidP="008A5776">
            <w:pPr>
              <w:spacing w:line="480" w:lineRule="auto"/>
              <w:rPr>
                <w:rFonts w:ascii="Times New Roman" w:hAnsi="Times New Roman" w:cs="Times New Roman"/>
                <w:b/>
                <w:lang w:val="en-US"/>
              </w:rPr>
            </w:pPr>
          </w:p>
        </w:tc>
        <w:tc>
          <w:tcPr>
            <w:tcW w:w="1543" w:type="dxa"/>
          </w:tcPr>
          <w:p w:rsidR="00371B09" w:rsidRDefault="00371B09" w:rsidP="008A5776">
            <w:pPr>
              <w:spacing w:line="480" w:lineRule="auto"/>
              <w:rPr>
                <w:rFonts w:ascii="Times New Roman" w:hAnsi="Times New Roman" w:cs="Times New Roman"/>
                <w:b/>
                <w:lang w:val="en-US"/>
              </w:rPr>
            </w:pPr>
            <w:r>
              <w:rPr>
                <w:rFonts w:ascii="Times New Roman" w:hAnsi="Times New Roman" w:cs="Times New Roman"/>
                <w:b/>
                <w:lang w:val="en-US"/>
              </w:rPr>
              <w:t>Model</w:t>
            </w:r>
          </w:p>
        </w:tc>
        <w:tc>
          <w:tcPr>
            <w:tcW w:w="1628" w:type="dxa"/>
          </w:tcPr>
          <w:p w:rsidR="00371B09" w:rsidRDefault="00371B09" w:rsidP="008A5776">
            <w:pPr>
              <w:spacing w:line="480" w:lineRule="auto"/>
              <w:rPr>
                <w:rFonts w:ascii="Times New Roman" w:hAnsi="Times New Roman" w:cs="Times New Roman"/>
                <w:b/>
                <w:lang w:val="en-US"/>
              </w:rPr>
            </w:pPr>
            <w:r>
              <w:rPr>
                <w:rFonts w:ascii="Times New Roman" w:hAnsi="Times New Roman" w:cs="Times New Roman"/>
                <w:b/>
                <w:lang w:val="en-US"/>
              </w:rPr>
              <w:t>Kernel</w:t>
            </w:r>
          </w:p>
        </w:tc>
        <w:tc>
          <w:tcPr>
            <w:tcW w:w="1412" w:type="dxa"/>
          </w:tcPr>
          <w:p w:rsidR="00371B09" w:rsidRDefault="00371B09" w:rsidP="008A5776">
            <w:pPr>
              <w:spacing w:line="480" w:lineRule="auto"/>
              <w:rPr>
                <w:rFonts w:ascii="Times New Roman" w:hAnsi="Times New Roman" w:cs="Times New Roman"/>
                <w:b/>
                <w:lang w:val="en-US"/>
              </w:rPr>
            </w:pPr>
            <w:r>
              <w:rPr>
                <w:rFonts w:ascii="Times New Roman" w:hAnsi="Times New Roman" w:cs="Times New Roman"/>
                <w:b/>
                <w:lang w:val="en-US"/>
              </w:rPr>
              <w:t>Degree</w:t>
            </w:r>
          </w:p>
        </w:tc>
        <w:tc>
          <w:tcPr>
            <w:tcW w:w="1331" w:type="dxa"/>
          </w:tcPr>
          <w:p w:rsidR="00371B09" w:rsidRDefault="00371B09" w:rsidP="008A5776">
            <w:pPr>
              <w:spacing w:line="480" w:lineRule="auto"/>
              <w:rPr>
                <w:rFonts w:ascii="Times New Roman" w:hAnsi="Times New Roman" w:cs="Times New Roman"/>
                <w:b/>
                <w:lang w:val="en-US"/>
              </w:rPr>
            </w:pPr>
            <w:r>
              <w:rPr>
                <w:rFonts w:ascii="Times New Roman" w:hAnsi="Times New Roman" w:cs="Times New Roman"/>
                <w:b/>
                <w:lang w:val="en-US"/>
              </w:rPr>
              <w:t>C</w:t>
            </w:r>
          </w:p>
        </w:tc>
      </w:tr>
      <w:tr w:rsidR="00371B09" w:rsidTr="00371B09">
        <w:tc>
          <w:tcPr>
            <w:tcW w:w="1491" w:type="dxa"/>
            <w:vMerge w:val="restart"/>
            <w:vAlign w:val="center"/>
          </w:tcPr>
          <w:p w:rsidR="00371B09" w:rsidRPr="00371B09" w:rsidRDefault="00371B09" w:rsidP="008A5776">
            <w:pPr>
              <w:spacing w:line="480" w:lineRule="auto"/>
              <w:jc w:val="center"/>
              <w:rPr>
                <w:rFonts w:ascii="Times New Roman" w:hAnsi="Times New Roman" w:cs="Times New Roman"/>
                <w:b/>
                <w:lang w:val="en-US"/>
              </w:rPr>
            </w:pPr>
            <w:r w:rsidRPr="00371B09">
              <w:rPr>
                <w:rFonts w:ascii="Times New Roman" w:hAnsi="Times New Roman" w:cs="Times New Roman"/>
                <w:b/>
                <w:lang w:val="en-US"/>
              </w:rPr>
              <w:t>MRI</w:t>
            </w:r>
          </w:p>
        </w:tc>
        <w:tc>
          <w:tcPr>
            <w:tcW w:w="1657" w:type="dxa"/>
          </w:tcPr>
          <w:p w:rsidR="00371B09" w:rsidRPr="00371B09" w:rsidRDefault="00371B09" w:rsidP="008A5776">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371B09" w:rsidTr="00371B09">
        <w:tc>
          <w:tcPr>
            <w:tcW w:w="1491" w:type="dxa"/>
            <w:vMerge w:val="restart"/>
            <w:vAlign w:val="center"/>
          </w:tcPr>
          <w:p w:rsidR="00371B09" w:rsidRDefault="00371B09" w:rsidP="008A5776">
            <w:pPr>
              <w:spacing w:line="480" w:lineRule="auto"/>
              <w:jc w:val="center"/>
              <w:rPr>
                <w:rFonts w:ascii="Times New Roman" w:hAnsi="Times New Roman" w:cs="Times New Roman"/>
                <w:b/>
                <w:lang w:val="en-US"/>
              </w:rPr>
            </w:pPr>
            <w:r>
              <w:rPr>
                <w:rFonts w:ascii="Times New Roman" w:hAnsi="Times New Roman" w:cs="Times New Roman"/>
                <w:b/>
                <w:lang w:val="en-US"/>
              </w:rPr>
              <w:t>FDG-PET</w:t>
            </w:r>
          </w:p>
        </w:tc>
        <w:tc>
          <w:tcPr>
            <w:tcW w:w="1657" w:type="dxa"/>
          </w:tcPr>
          <w:p w:rsidR="00371B09" w:rsidRPr="00371B09" w:rsidRDefault="00371B09" w:rsidP="008A5776">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RBF</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10</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bl>
    <w:p w:rsidR="006938A5" w:rsidRDefault="006938A5" w:rsidP="008A5776">
      <w:pPr>
        <w:spacing w:line="480" w:lineRule="auto"/>
        <w:rPr>
          <w:rFonts w:ascii="Times New Roman" w:hAnsi="Times New Roman" w:cs="Times New Roman"/>
          <w:b/>
          <w:lang w:val="en-US"/>
        </w:rPr>
      </w:pPr>
    </w:p>
    <w:p w:rsidR="00503480" w:rsidRPr="00013EDF" w:rsidRDefault="00503480" w:rsidP="008A5776">
      <w:pPr>
        <w:pStyle w:val="Listenabsatz"/>
        <w:numPr>
          <w:ilvl w:val="1"/>
          <w:numId w:val="2"/>
        </w:numPr>
        <w:spacing w:line="480" w:lineRule="auto"/>
        <w:ind w:left="709" w:hanging="709"/>
        <w:rPr>
          <w:rFonts w:ascii="Times New Roman" w:hAnsi="Times New Roman" w:cs="Times New Roman"/>
          <w:b/>
          <w:lang w:val="en-US"/>
        </w:rPr>
      </w:pPr>
      <w:r w:rsidRPr="00013EDF">
        <w:rPr>
          <w:rFonts w:ascii="Times New Roman" w:hAnsi="Times New Roman" w:cs="Times New Roman"/>
          <w:b/>
          <w:lang w:val="en-US"/>
        </w:rPr>
        <w:t>Feature Importance</w:t>
      </w:r>
    </w:p>
    <w:p w:rsidR="00581648" w:rsidRDefault="00EF5C34" w:rsidP="008A5776">
      <w:pPr>
        <w:spacing w:line="480" w:lineRule="auto"/>
        <w:rPr>
          <w:rFonts w:ascii="Times New Roman" w:hAnsi="Times New Roman" w:cs="Times New Roman"/>
          <w:lang w:val="en-US"/>
        </w:rPr>
      </w:pPr>
      <w:r>
        <w:rPr>
          <w:rFonts w:ascii="Times New Roman" w:hAnsi="Times New Roman" w:cs="Times New Roman"/>
          <w:lang w:val="en-US"/>
        </w:rPr>
        <w:t>Most</w:t>
      </w:r>
      <w:r w:rsidR="00503480">
        <w:rPr>
          <w:rFonts w:ascii="Times New Roman" w:hAnsi="Times New Roman" w:cs="Times New Roman"/>
          <w:lang w:val="en-US"/>
        </w:rPr>
        <w:t xml:space="preserve"> important regions were defined as mean(δ) - 2*SD(δ) &lt; </w:t>
      </w:r>
      <w:proofErr w:type="spellStart"/>
      <w:r w:rsidR="00503480">
        <w:rPr>
          <w:rFonts w:ascii="Times New Roman" w:hAnsi="Times New Roman" w:cs="Times New Roman"/>
          <w:lang w:val="en-US"/>
        </w:rPr>
        <w:t>δ</w:t>
      </w:r>
      <w:r w:rsidR="00503480">
        <w:rPr>
          <w:rFonts w:ascii="Times New Roman" w:hAnsi="Times New Roman" w:cs="Times New Roman"/>
          <w:vertAlign w:val="subscript"/>
          <w:lang w:val="en-US"/>
        </w:rPr>
        <w:t>i</w:t>
      </w:r>
      <w:proofErr w:type="spellEnd"/>
      <w:r w:rsidR="00503480">
        <w:rPr>
          <w:rFonts w:ascii="Times New Roman" w:hAnsi="Times New Roman" w:cs="Times New Roman"/>
          <w:vertAlign w:val="subscript"/>
          <w:lang w:val="en-US"/>
        </w:rPr>
        <w:t xml:space="preserve"> </w:t>
      </w:r>
      <w:r w:rsidR="00503480">
        <w:rPr>
          <w:rFonts w:ascii="Times New Roman" w:hAnsi="Times New Roman" w:cs="Times New Roman"/>
          <w:lang w:val="en-US"/>
        </w:rPr>
        <w:t>&lt; mean(δ) + 2SD(δ), with δ being the average weight coefficient average across all models of a modality with a linear kernel.</w:t>
      </w:r>
      <w:r w:rsidR="00503480">
        <w:rPr>
          <w:rFonts w:ascii="Times New Roman" w:hAnsi="Times New Roman" w:cs="Times New Roman"/>
          <w:lang w:val="en-US"/>
        </w:rPr>
        <w:br/>
      </w:r>
      <w:proofErr w:type="gramStart"/>
      <w:r w:rsidR="00503480">
        <w:rPr>
          <w:rFonts w:ascii="Times New Roman" w:hAnsi="Times New Roman" w:cs="Times New Roman"/>
          <w:lang w:val="en-US"/>
        </w:rPr>
        <w:t xml:space="preserve">Across the 5 MRI models with linear kernel, </w:t>
      </w:r>
      <w:r>
        <w:rPr>
          <w:rFonts w:ascii="Times New Roman" w:hAnsi="Times New Roman" w:cs="Times New Roman"/>
          <w:lang w:val="en-US"/>
        </w:rPr>
        <w:t>most</w:t>
      </w:r>
      <w:r w:rsidR="00503480">
        <w:rPr>
          <w:rFonts w:ascii="Times New Roman" w:hAnsi="Times New Roman" w:cs="Times New Roman"/>
          <w:lang w:val="en-US"/>
        </w:rPr>
        <w:t xml:space="preserve"> important regions were:</w:t>
      </w:r>
      <w:r w:rsidR="00503480">
        <w:rPr>
          <w:rFonts w:ascii="Times New Roman" w:hAnsi="Times New Roman" w:cs="Times New Roman"/>
          <w:lang w:val="en-US"/>
        </w:rPr>
        <w:br/>
        <w:t>17Networks_LH_ContA_PFCl_2</w:t>
      </w:r>
      <w:r w:rsidR="00581648">
        <w:rPr>
          <w:rFonts w:ascii="Times New Roman" w:hAnsi="Times New Roman" w:cs="Times New Roman"/>
          <w:lang w:val="en-US"/>
        </w:rPr>
        <w:t xml:space="preserve"> </w:t>
      </w:r>
      <w:r w:rsidR="00251726">
        <w:rPr>
          <w:rFonts w:ascii="Times New Roman" w:hAnsi="Times New Roman" w:cs="Times New Roman"/>
          <w:lang w:val="en-US"/>
        </w:rPr>
        <w:t>(r = -.191, p = .0002)**</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lastRenderedPageBreak/>
        <w:t>17Networks_RH_VisPeri_StriCal_1</w:t>
      </w:r>
      <w:r w:rsidR="00251726">
        <w:rPr>
          <w:rFonts w:ascii="Times New Roman" w:hAnsi="Times New Roman" w:cs="Times New Roman"/>
          <w:i/>
          <w:lang w:val="en-US"/>
        </w:rPr>
        <w:t xml:space="preserve"> (r = -.391, p = 2.157e-15)**</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17Networks_RH_VisPeri_ExStrSup_3</w:t>
      </w:r>
      <w:r w:rsidR="00251726">
        <w:rPr>
          <w:rFonts w:ascii="Times New Roman" w:hAnsi="Times New Roman" w:cs="Times New Roman"/>
          <w:i/>
          <w:lang w:val="en-US"/>
        </w:rPr>
        <w:t xml:space="preserve"> (r = -.221, p = 1.338e-05)**</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w:t>
      </w:r>
      <w:r w:rsidR="00503480">
        <w:rPr>
          <w:rFonts w:ascii="Times New Roman" w:hAnsi="Times New Roman" w:cs="Times New Roman"/>
          <w:lang w:val="en-US"/>
        </w:rPr>
        <w:t>tworks_LH_SalVentAttnA_ParMed_1</w:t>
      </w:r>
      <w:r w:rsidR="00251726">
        <w:rPr>
          <w:rFonts w:ascii="Times New Roman" w:hAnsi="Times New Roman" w:cs="Times New Roman"/>
          <w:lang w:val="en-US"/>
        </w:rPr>
        <w:t xml:space="preserve"> (r = -.191, p = .0002)**</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17Networks_LH_DefaultB_PFCd_2</w:t>
      </w:r>
      <w:r w:rsidR="00251726">
        <w:rPr>
          <w:rFonts w:ascii="Times New Roman" w:hAnsi="Times New Roman" w:cs="Times New Roman"/>
          <w:lang w:val="en-US"/>
        </w:rPr>
        <w:t>v (r = -.099, p = .054)</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17Networks_LH_DefaultB_PFCd_4</w:t>
      </w:r>
      <w:r w:rsidR="00251726">
        <w:rPr>
          <w:rFonts w:ascii="Times New Roman" w:hAnsi="Times New Roman" w:cs="Times New Roman"/>
          <w:lang w:val="en-US"/>
        </w:rPr>
        <w:t xml:space="preserve"> (r = -.093, p = .068)</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17Networks_RH_SalVentAttnA_Ins_1</w:t>
      </w:r>
      <w:r w:rsidR="00251726">
        <w:rPr>
          <w:rFonts w:ascii="Times New Roman" w:hAnsi="Times New Roman" w:cs="Times New Roman"/>
          <w:i/>
          <w:lang w:val="en-US"/>
        </w:rPr>
        <w:t xml:space="preserve"> (r = -.159, p = .002)**</w:t>
      </w:r>
      <w:r w:rsidR="00503480">
        <w:rPr>
          <w:rFonts w:ascii="Times New Roman" w:hAnsi="Times New Roman" w:cs="Times New Roman"/>
          <w:lang w:val="en-US"/>
        </w:rPr>
        <w:t xml:space="preserve"> and </w:t>
      </w:r>
      <w:r w:rsidR="00581648">
        <w:rPr>
          <w:rFonts w:ascii="Times New Roman" w:hAnsi="Times New Roman" w:cs="Times New Roman"/>
          <w:lang w:val="en-US"/>
        </w:rPr>
        <w:br/>
      </w:r>
      <w:r w:rsidR="00503480" w:rsidRPr="00503480">
        <w:rPr>
          <w:rFonts w:ascii="Times New Roman" w:hAnsi="Times New Roman" w:cs="Times New Roman"/>
          <w:i/>
          <w:lang w:val="en-US"/>
        </w:rPr>
        <w:t>17Networks_RH_ContB_IPL_2</w:t>
      </w:r>
      <w:r w:rsidR="00251726">
        <w:rPr>
          <w:rFonts w:ascii="Times New Roman" w:hAnsi="Times New Roman" w:cs="Times New Roman"/>
          <w:i/>
          <w:lang w:val="en-US"/>
        </w:rPr>
        <w:t xml:space="preserve"> (r = -.177, p = .0005)**</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from the Schaefer atlas, as well as</w:t>
      </w:r>
      <w:proofErr w:type="gramEnd"/>
      <w:r w:rsidR="00503480">
        <w:rPr>
          <w:rFonts w:ascii="Times New Roman" w:hAnsi="Times New Roman" w:cs="Times New Roman"/>
          <w:lang w:val="en-US"/>
        </w:rPr>
        <w:t xml:space="preserve"> </w:t>
      </w:r>
    </w:p>
    <w:p w:rsidR="00503480" w:rsidRDefault="00503480" w:rsidP="008A5776">
      <w:pPr>
        <w:spacing w:line="480" w:lineRule="auto"/>
        <w:rPr>
          <w:rFonts w:ascii="Times New Roman" w:hAnsi="Times New Roman" w:cs="Times New Roman"/>
          <w:lang w:val="en-US"/>
        </w:rPr>
      </w:pPr>
      <w:proofErr w:type="spellStart"/>
      <w:r w:rsidRPr="00503480">
        <w:rPr>
          <w:rFonts w:ascii="Times New Roman" w:hAnsi="Times New Roman" w:cs="Times New Roman"/>
          <w:i/>
          <w:lang w:val="en-US"/>
        </w:rPr>
        <w:t>NAc.rh</w:t>
      </w:r>
      <w:proofErr w:type="spellEnd"/>
      <w:r w:rsidR="00251726">
        <w:rPr>
          <w:rFonts w:ascii="Times New Roman" w:hAnsi="Times New Roman" w:cs="Times New Roman"/>
          <w:i/>
          <w:lang w:val="en-US"/>
        </w:rPr>
        <w:t xml:space="preserve"> (r = -.256, p = 3.13e-07</w:t>
      </w:r>
      <w:proofErr w:type="gramStart"/>
      <w:r w:rsidR="00251726">
        <w:rPr>
          <w:rFonts w:ascii="Times New Roman" w:hAnsi="Times New Roman" w:cs="Times New Roman"/>
          <w:i/>
          <w:lang w:val="en-US"/>
        </w:rPr>
        <w:t>)*</w:t>
      </w:r>
      <w:proofErr w:type="gramEnd"/>
      <w:r w:rsidR="00251726">
        <w:rPr>
          <w:rFonts w:ascii="Times New Roman" w:hAnsi="Times New Roman" w:cs="Times New Roman"/>
          <w:i/>
          <w:lang w:val="en-US"/>
        </w:rPr>
        <w:t>*</w:t>
      </w:r>
      <w:r w:rsidRPr="00503480">
        <w:rPr>
          <w:rFonts w:ascii="Times New Roman" w:hAnsi="Times New Roman" w:cs="Times New Roman"/>
          <w:lang w:val="en-US"/>
        </w:rPr>
        <w:t xml:space="preserve">, </w:t>
      </w:r>
      <w:r w:rsidR="00581648">
        <w:rPr>
          <w:rFonts w:ascii="Times New Roman" w:hAnsi="Times New Roman" w:cs="Times New Roman"/>
          <w:lang w:val="en-US"/>
        </w:rPr>
        <w:br/>
      </w:r>
      <w:proofErr w:type="spellStart"/>
      <w:r w:rsidRPr="00503480">
        <w:rPr>
          <w:rFonts w:ascii="Times New Roman" w:hAnsi="Times New Roman" w:cs="Times New Roman"/>
          <w:i/>
          <w:lang w:val="en-US"/>
        </w:rPr>
        <w:t>GP.rh</w:t>
      </w:r>
      <w:proofErr w:type="spellEnd"/>
      <w:r w:rsidR="00251726">
        <w:rPr>
          <w:rFonts w:ascii="Times New Roman" w:hAnsi="Times New Roman" w:cs="Times New Roman"/>
          <w:i/>
          <w:lang w:val="en-US"/>
        </w:rPr>
        <w:t xml:space="preserve"> (r = .135, p = .008)*</w:t>
      </w:r>
      <w:r w:rsidRPr="00503480">
        <w:rPr>
          <w:rFonts w:ascii="Times New Roman" w:hAnsi="Times New Roman" w:cs="Times New Roman"/>
          <w:lang w:val="en-US"/>
        </w:rPr>
        <w:t>,</w:t>
      </w:r>
      <w:r>
        <w:rPr>
          <w:rFonts w:ascii="Times New Roman" w:hAnsi="Times New Roman" w:cs="Times New Roman"/>
          <w:lang w:val="en-US"/>
        </w:rPr>
        <w:t xml:space="preserve"> </w:t>
      </w:r>
      <w:r w:rsidR="00581648">
        <w:rPr>
          <w:rFonts w:ascii="Times New Roman" w:hAnsi="Times New Roman" w:cs="Times New Roman"/>
          <w:lang w:val="en-US"/>
        </w:rPr>
        <w:br/>
      </w:r>
      <w:proofErr w:type="spellStart"/>
      <w:r w:rsidRPr="00503480">
        <w:rPr>
          <w:rFonts w:ascii="Times New Roman" w:hAnsi="Times New Roman" w:cs="Times New Roman"/>
          <w:i/>
          <w:lang w:val="en-US"/>
        </w:rPr>
        <w:t>PUT.rh</w:t>
      </w:r>
      <w:proofErr w:type="spellEnd"/>
      <w:r w:rsidR="00251726">
        <w:rPr>
          <w:rFonts w:ascii="Times New Roman" w:hAnsi="Times New Roman" w:cs="Times New Roman"/>
          <w:i/>
          <w:lang w:val="en-US"/>
        </w:rPr>
        <w:t xml:space="preserve"> (r = -.179, p = .0004)**</w:t>
      </w:r>
      <w:r w:rsidRPr="00503480">
        <w:rPr>
          <w:rFonts w:ascii="Times New Roman" w:hAnsi="Times New Roman" w:cs="Times New Roman"/>
          <w:i/>
          <w:lang w:val="en-US"/>
        </w:rPr>
        <w:t xml:space="preserve">, </w:t>
      </w:r>
      <w:r w:rsidR="00581648">
        <w:rPr>
          <w:rFonts w:ascii="Times New Roman" w:hAnsi="Times New Roman" w:cs="Times New Roman"/>
          <w:i/>
          <w:lang w:val="en-US"/>
        </w:rPr>
        <w:br/>
      </w:r>
      <w:proofErr w:type="spellStart"/>
      <w:r w:rsidRPr="00503480">
        <w:rPr>
          <w:rFonts w:ascii="Times New Roman" w:hAnsi="Times New Roman" w:cs="Times New Roman"/>
          <w:i/>
          <w:lang w:val="en-US"/>
        </w:rPr>
        <w:t>CAU.rh</w:t>
      </w:r>
      <w:proofErr w:type="spellEnd"/>
      <w:r w:rsidR="00251726">
        <w:rPr>
          <w:rFonts w:ascii="Times New Roman" w:hAnsi="Times New Roman" w:cs="Times New Roman"/>
          <w:i/>
          <w:lang w:val="en-US"/>
        </w:rPr>
        <w:t xml:space="preserve"> (r = -.062, p = .2241)</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proofErr w:type="spellStart"/>
      <w:r w:rsidRPr="00503480">
        <w:rPr>
          <w:rFonts w:ascii="Times New Roman" w:hAnsi="Times New Roman" w:cs="Times New Roman"/>
          <w:i/>
          <w:lang w:val="en-US"/>
        </w:rPr>
        <w:t>HIP.rh</w:t>
      </w:r>
      <w:proofErr w:type="spellEnd"/>
      <w:r w:rsidR="00251726">
        <w:rPr>
          <w:rFonts w:ascii="Times New Roman" w:hAnsi="Times New Roman" w:cs="Times New Roman"/>
          <w:i/>
          <w:lang w:val="en-US"/>
        </w:rPr>
        <w:t xml:space="preserve"> (r = -.381, p = 1.267e-14)</w:t>
      </w:r>
      <w:r w:rsidRPr="00503480">
        <w:rPr>
          <w:rFonts w:ascii="Times New Roman" w:hAnsi="Times New Roman" w:cs="Times New Roman"/>
          <w:i/>
          <w:lang w:val="en-US"/>
        </w:rPr>
        <w:t xml:space="preserve"> </w:t>
      </w:r>
      <w:r w:rsidR="00251726">
        <w:rPr>
          <w:rFonts w:ascii="Times New Roman" w:hAnsi="Times New Roman" w:cs="Times New Roman"/>
          <w:i/>
          <w:lang w:val="en-US"/>
        </w:rPr>
        <w:t>**</w:t>
      </w:r>
      <w:r w:rsidR="00581648">
        <w:rPr>
          <w:rFonts w:ascii="Times New Roman" w:hAnsi="Times New Roman" w:cs="Times New Roman"/>
          <w:i/>
          <w:lang w:val="en-US"/>
        </w:rPr>
        <w:br/>
      </w:r>
      <w:r>
        <w:rPr>
          <w:rFonts w:ascii="Times New Roman" w:hAnsi="Times New Roman" w:cs="Times New Roman"/>
          <w:lang w:val="en-US"/>
        </w:rPr>
        <w:t xml:space="preserve">from the Tian atlas. </w:t>
      </w:r>
    </w:p>
    <w:p w:rsidR="00581648" w:rsidRDefault="00503480" w:rsidP="008A5776">
      <w:pPr>
        <w:spacing w:line="480" w:lineRule="auto"/>
        <w:rPr>
          <w:rFonts w:ascii="Times New Roman" w:hAnsi="Times New Roman" w:cs="Times New Roman"/>
          <w:lang w:val="en-US"/>
        </w:rPr>
      </w:pPr>
      <w:proofErr w:type="gramStart"/>
      <w:r>
        <w:rPr>
          <w:rFonts w:ascii="Times New Roman" w:hAnsi="Times New Roman" w:cs="Times New Roman"/>
          <w:lang w:val="en-US"/>
        </w:rPr>
        <w:t xml:space="preserve">For the 4 FDG-PET models with linear kernel, </w:t>
      </w:r>
      <w:r w:rsidR="00EF5C34">
        <w:rPr>
          <w:rFonts w:ascii="Times New Roman" w:hAnsi="Times New Roman" w:cs="Times New Roman"/>
          <w:lang w:val="en-US"/>
        </w:rPr>
        <w:t>most</w:t>
      </w:r>
      <w:r>
        <w:rPr>
          <w:rFonts w:ascii="Times New Roman" w:hAnsi="Times New Roman" w:cs="Times New Roman"/>
          <w:lang w:val="en-US"/>
        </w:rPr>
        <w:t xml:space="preserve"> important regions were:</w:t>
      </w:r>
      <w:r>
        <w:rPr>
          <w:rFonts w:ascii="Times New Roman" w:hAnsi="Times New Roman" w:cs="Times New Roman"/>
          <w:lang w:val="en-US"/>
        </w:rPr>
        <w:br/>
      </w:r>
      <w:r w:rsidRPr="00503480">
        <w:rPr>
          <w:rFonts w:ascii="Times New Roman" w:hAnsi="Times New Roman" w:cs="Times New Roman"/>
          <w:i/>
          <w:lang w:val="en-US"/>
        </w:rPr>
        <w:t>17Networks_RH_SalVentAttnB_PFCmp_1</w:t>
      </w:r>
      <w:r w:rsidR="00581648">
        <w:rPr>
          <w:rFonts w:ascii="Times New Roman" w:hAnsi="Times New Roman" w:cs="Times New Roman"/>
          <w:i/>
          <w:lang w:val="en-US"/>
        </w:rPr>
        <w:t xml:space="preserve"> (r = -.451, p &lt; 2.2e-16)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17Networks_RH_TempPar_4</w:t>
      </w:r>
      <w:r w:rsidR="00581648">
        <w:rPr>
          <w:rFonts w:ascii="Times New Roman" w:hAnsi="Times New Roman" w:cs="Times New Roman"/>
          <w:i/>
          <w:lang w:val="en-US"/>
        </w:rPr>
        <w:t xml:space="preserve"> (r = -.223, p = 9.416e-06)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17Networks_RH_DorsAttnA_TempOcc_1</w:t>
      </w:r>
      <w:r w:rsidR="00581648">
        <w:rPr>
          <w:rFonts w:ascii="Times New Roman" w:hAnsi="Times New Roman" w:cs="Times New Roman"/>
          <w:i/>
          <w:lang w:val="en-US"/>
        </w:rPr>
        <w:t xml:space="preserve"> (r = -.244</w:t>
      </w:r>
      <w:r w:rsidRPr="00503480">
        <w:rPr>
          <w:rFonts w:ascii="Times New Roman" w:hAnsi="Times New Roman" w:cs="Times New Roman"/>
          <w:i/>
          <w:lang w:val="en-US"/>
        </w:rPr>
        <w:t>,</w:t>
      </w:r>
      <w:r w:rsidR="00581648">
        <w:rPr>
          <w:rFonts w:ascii="Times New Roman" w:hAnsi="Times New Roman" w:cs="Times New Roman"/>
          <w:i/>
          <w:lang w:val="en-US"/>
        </w:rPr>
        <w:t xml:space="preserve"> p = 1.185e-06)</w:t>
      </w:r>
      <w:r w:rsidR="00251726">
        <w:rPr>
          <w:rFonts w:ascii="Times New Roman" w:hAnsi="Times New Roman" w:cs="Times New Roman"/>
          <w:i/>
          <w:lang w:val="en-US"/>
        </w:rPr>
        <w:t>**</w:t>
      </w:r>
      <w:r w:rsidR="00581648">
        <w:rPr>
          <w:rFonts w:ascii="Times New Roman" w:hAnsi="Times New Roman" w:cs="Times New Roman"/>
          <w:i/>
          <w:lang w:val="en-US"/>
        </w:rPr>
        <w:t>,</w:t>
      </w:r>
      <w:r w:rsidR="00581648">
        <w:rPr>
          <w:rFonts w:ascii="Times New Roman" w:hAnsi="Times New Roman" w:cs="Times New Roman"/>
          <w:i/>
          <w:lang w:val="en-US"/>
        </w:rPr>
        <w:br/>
      </w:r>
      <w:r w:rsidRPr="00503480">
        <w:rPr>
          <w:rFonts w:ascii="Times New Roman" w:hAnsi="Times New Roman" w:cs="Times New Roman"/>
          <w:i/>
          <w:lang w:val="en-US"/>
        </w:rPr>
        <w:t>17Networks_RH_DefaultA_PFCm_1</w:t>
      </w:r>
      <w:r w:rsidR="00581648">
        <w:rPr>
          <w:rFonts w:ascii="Times New Roman" w:hAnsi="Times New Roman" w:cs="Times New Roman"/>
          <w:i/>
          <w:lang w:val="en-US"/>
        </w:rPr>
        <w:t xml:space="preserve"> (r = -.372, p = 3.856e-14)</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17Networks_RH_DefaultA_PFCm_2</w:t>
      </w:r>
      <w:r w:rsidR="00581648">
        <w:rPr>
          <w:rFonts w:ascii="Times New Roman" w:hAnsi="Times New Roman" w:cs="Times New Roman"/>
          <w:i/>
          <w:lang w:val="en-US"/>
        </w:rPr>
        <w:t xml:space="preserve"> (r = -.323, p = 7.254e.11)</w:t>
      </w:r>
      <w:r w:rsidR="00251726">
        <w:rPr>
          <w:rFonts w:ascii="Times New Roman" w:hAnsi="Times New Roman" w:cs="Times New Roman"/>
          <w:i/>
          <w:lang w:val="en-US"/>
        </w:rPr>
        <w:t>**</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r w:rsidRPr="00503480">
        <w:rPr>
          <w:rFonts w:ascii="Times New Roman" w:hAnsi="Times New Roman" w:cs="Times New Roman"/>
          <w:i/>
          <w:lang w:val="en-US"/>
        </w:rPr>
        <w:t>17Networks_RH_DefaultC_Rsp_1</w:t>
      </w:r>
      <w:r w:rsidR="00581648">
        <w:rPr>
          <w:rFonts w:ascii="Times New Roman" w:hAnsi="Times New Roman" w:cs="Times New Roman"/>
          <w:lang w:val="en-US"/>
        </w:rPr>
        <w:t xml:space="preserve"> </w:t>
      </w:r>
      <w:r w:rsidR="00581648">
        <w:rPr>
          <w:rFonts w:ascii="Times New Roman" w:hAnsi="Times New Roman" w:cs="Times New Roman"/>
          <w:i/>
          <w:lang w:val="en-US"/>
        </w:rPr>
        <w:t>(r = -.291, p = 5.192e-09)</w:t>
      </w:r>
      <w:r w:rsidR="00251726">
        <w:rPr>
          <w:rFonts w:ascii="Times New Roman" w:hAnsi="Times New Roman" w:cs="Times New Roman"/>
          <w:i/>
          <w:lang w:val="en-US"/>
        </w:rPr>
        <w:t>**</w:t>
      </w:r>
      <w:r w:rsidR="00581648">
        <w:rPr>
          <w:rFonts w:ascii="Times New Roman" w:hAnsi="Times New Roman" w:cs="Times New Roman"/>
          <w:lang w:val="en-US"/>
        </w:rPr>
        <w:br/>
      </w:r>
      <w:r>
        <w:rPr>
          <w:rFonts w:ascii="Times New Roman" w:hAnsi="Times New Roman" w:cs="Times New Roman"/>
          <w:lang w:val="en-US"/>
        </w:rPr>
        <w:t>from the Schaefer atlas and</w:t>
      </w:r>
      <w:proofErr w:type="gramEnd"/>
      <w:r>
        <w:rPr>
          <w:rFonts w:ascii="Times New Roman" w:hAnsi="Times New Roman" w:cs="Times New Roman"/>
          <w:lang w:val="en-US"/>
        </w:rPr>
        <w:t xml:space="preserve"> </w:t>
      </w:r>
    </w:p>
    <w:p w:rsidR="00503480" w:rsidRPr="00581648" w:rsidRDefault="00503480" w:rsidP="008A5776">
      <w:pPr>
        <w:spacing w:line="480" w:lineRule="auto"/>
        <w:rPr>
          <w:rFonts w:ascii="Times New Roman" w:hAnsi="Times New Roman" w:cs="Times New Roman"/>
          <w:i/>
          <w:lang w:val="en-US"/>
        </w:rPr>
      </w:pPr>
      <w:proofErr w:type="spellStart"/>
      <w:r w:rsidRPr="00503480">
        <w:rPr>
          <w:rFonts w:ascii="Times New Roman" w:hAnsi="Times New Roman" w:cs="Times New Roman"/>
          <w:i/>
          <w:lang w:val="en-US"/>
        </w:rPr>
        <w:t>NAc.rh</w:t>
      </w:r>
      <w:proofErr w:type="spellEnd"/>
      <w:r w:rsidR="00581648">
        <w:rPr>
          <w:rFonts w:ascii="Times New Roman" w:hAnsi="Times New Roman" w:cs="Times New Roman"/>
          <w:i/>
          <w:lang w:val="en-US"/>
        </w:rPr>
        <w:t xml:space="preserve"> (r = -.210, p = 3.096e-05</w:t>
      </w:r>
      <w:proofErr w:type="gramStart"/>
      <w:r w:rsidR="00581648">
        <w:rPr>
          <w:rFonts w:ascii="Times New Roman" w:hAnsi="Times New Roman" w:cs="Times New Roman"/>
          <w:i/>
          <w:lang w:val="en-US"/>
        </w:rPr>
        <w:t>)</w:t>
      </w:r>
      <w:r w:rsidR="00251726">
        <w:rPr>
          <w:rFonts w:ascii="Times New Roman" w:hAnsi="Times New Roman" w:cs="Times New Roman"/>
          <w:i/>
          <w:lang w:val="en-US"/>
        </w:rPr>
        <w:t>*</w:t>
      </w:r>
      <w:proofErr w:type="gramEnd"/>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proofErr w:type="spellStart"/>
      <w:r w:rsidRPr="00503480">
        <w:rPr>
          <w:rFonts w:ascii="Times New Roman" w:hAnsi="Times New Roman" w:cs="Times New Roman"/>
          <w:i/>
          <w:lang w:val="en-US"/>
        </w:rPr>
        <w:t>GP.rh</w:t>
      </w:r>
      <w:proofErr w:type="spellEnd"/>
      <w:r w:rsidR="00581648">
        <w:rPr>
          <w:rFonts w:ascii="Times New Roman" w:hAnsi="Times New Roman" w:cs="Times New Roman"/>
          <w:i/>
          <w:lang w:val="en-US"/>
        </w:rPr>
        <w:t xml:space="preserve"> (r = -.152, p = .003)</w:t>
      </w:r>
      <w:r w:rsidR="00251726">
        <w:rPr>
          <w:rFonts w:ascii="Times New Roman" w:hAnsi="Times New Roman" w:cs="Times New Roman"/>
          <w:i/>
          <w:lang w:val="en-US"/>
        </w:rPr>
        <w:t>**</w:t>
      </w:r>
      <w:r>
        <w:rPr>
          <w:rFonts w:ascii="Times New Roman" w:hAnsi="Times New Roman" w:cs="Times New Roman"/>
          <w:lang w:val="en-US"/>
        </w:rPr>
        <w:t xml:space="preserve"> and </w:t>
      </w:r>
      <w:r w:rsidR="00581648">
        <w:rPr>
          <w:rFonts w:ascii="Times New Roman" w:hAnsi="Times New Roman" w:cs="Times New Roman"/>
          <w:lang w:val="en-US"/>
        </w:rPr>
        <w:br/>
      </w:r>
      <w:proofErr w:type="spellStart"/>
      <w:r w:rsidRPr="00503480">
        <w:rPr>
          <w:rFonts w:ascii="Times New Roman" w:hAnsi="Times New Roman" w:cs="Times New Roman"/>
          <w:i/>
          <w:lang w:val="en-US"/>
        </w:rPr>
        <w:t>CAU.rh</w:t>
      </w:r>
      <w:proofErr w:type="spellEnd"/>
      <w:r w:rsidR="00581648">
        <w:rPr>
          <w:rFonts w:ascii="Times New Roman" w:hAnsi="Times New Roman" w:cs="Times New Roman"/>
          <w:i/>
          <w:lang w:val="en-US"/>
        </w:rPr>
        <w:t xml:space="preserve"> (r = -.410, p &lt; 2.2e-16)</w:t>
      </w:r>
      <w:r w:rsidR="00251726">
        <w:rPr>
          <w:rFonts w:ascii="Times New Roman" w:hAnsi="Times New Roman" w:cs="Times New Roman"/>
          <w:i/>
          <w:lang w:val="en-US"/>
        </w:rPr>
        <w:t>**</w:t>
      </w:r>
      <w:r>
        <w:rPr>
          <w:rFonts w:ascii="Times New Roman" w:hAnsi="Times New Roman" w:cs="Times New Roman"/>
          <w:lang w:val="en-US"/>
        </w:rPr>
        <w:t xml:space="preserve"> </w:t>
      </w:r>
      <w:r w:rsidR="00581648">
        <w:rPr>
          <w:rFonts w:ascii="Times New Roman" w:hAnsi="Times New Roman" w:cs="Times New Roman"/>
          <w:lang w:val="en-US"/>
        </w:rPr>
        <w:br/>
      </w:r>
      <w:r>
        <w:rPr>
          <w:rFonts w:ascii="Times New Roman" w:hAnsi="Times New Roman" w:cs="Times New Roman"/>
          <w:lang w:val="en-US"/>
        </w:rPr>
        <w:t>from the Tian atlas.</w:t>
      </w:r>
    </w:p>
    <w:p w:rsidR="00503480" w:rsidRPr="00251726" w:rsidRDefault="00503480" w:rsidP="008A5776">
      <w:pPr>
        <w:spacing w:line="480" w:lineRule="auto"/>
        <w:rPr>
          <w:rFonts w:ascii="Times New Roman" w:hAnsi="Times New Roman" w:cs="Times New Roman"/>
          <w:lang w:val="en-US"/>
        </w:rPr>
      </w:pPr>
      <w:r>
        <w:rPr>
          <w:rFonts w:ascii="Times New Roman" w:hAnsi="Times New Roman" w:cs="Times New Roman"/>
          <w:lang w:val="en-US"/>
        </w:rPr>
        <w:lastRenderedPageBreak/>
        <w:t>Right hemispheric regions in italics for visibility.</w:t>
      </w:r>
      <w:r w:rsidR="00581648">
        <w:rPr>
          <w:rFonts w:ascii="Times New Roman" w:hAnsi="Times New Roman" w:cs="Times New Roman"/>
          <w:lang w:val="en-US"/>
        </w:rPr>
        <w:t xml:space="preserve"> Pearson’s r and p values </w:t>
      </w:r>
      <w:proofErr w:type="gramStart"/>
      <w:r w:rsidR="00581648">
        <w:rPr>
          <w:rFonts w:ascii="Times New Roman" w:hAnsi="Times New Roman" w:cs="Times New Roman"/>
          <w:lang w:val="en-US"/>
        </w:rPr>
        <w:t>are yielded</w:t>
      </w:r>
      <w:proofErr w:type="gramEnd"/>
      <w:r w:rsidR="00581648">
        <w:rPr>
          <w:rFonts w:ascii="Times New Roman" w:hAnsi="Times New Roman" w:cs="Times New Roman"/>
          <w:lang w:val="en-US"/>
        </w:rPr>
        <w:t xml:space="preserve"> from correlating mean signal in these regions with age in the whole sample of cognitively normal individuals.</w:t>
      </w:r>
      <w:r w:rsidR="00251726">
        <w:rPr>
          <w:rFonts w:ascii="Times New Roman" w:hAnsi="Times New Roman" w:cs="Times New Roman"/>
          <w:lang w:val="en-US"/>
        </w:rPr>
        <w:t xml:space="preserve"> * </w:t>
      </w:r>
      <w:proofErr w:type="gramStart"/>
      <w:r w:rsidR="00251726">
        <w:rPr>
          <w:rFonts w:ascii="Times New Roman" w:hAnsi="Times New Roman" w:cs="Times New Roman"/>
          <w:lang w:val="en-US"/>
        </w:rPr>
        <w:t>significant</w:t>
      </w:r>
      <w:proofErr w:type="gramEnd"/>
      <w:r w:rsidR="00251726">
        <w:rPr>
          <w:rFonts w:ascii="Times New Roman" w:hAnsi="Times New Roman" w:cs="Times New Roman"/>
          <w:lang w:val="en-US"/>
        </w:rPr>
        <w:t xml:space="preserve">, ** significant after Bonferroni correction </w:t>
      </w:r>
      <w:r w:rsidR="00251726" w:rsidRPr="00251726">
        <w:rPr>
          <w:rFonts w:ascii="Times New Roman" w:hAnsi="Times New Roman" w:cs="Times New Roman"/>
          <w:lang w:val="en-US"/>
        </w:rPr>
        <w:t>(α</w:t>
      </w:r>
      <w:r w:rsidR="00251726" w:rsidRPr="00251726">
        <w:rPr>
          <w:rFonts w:ascii="Times New Roman" w:hAnsi="Times New Roman" w:cs="Times New Roman"/>
          <w:vertAlign w:val="subscript"/>
          <w:lang w:val="en-US"/>
        </w:rPr>
        <w:t xml:space="preserve">MRI </w:t>
      </w:r>
      <w:r w:rsidR="00251726" w:rsidRPr="00251726">
        <w:rPr>
          <w:rFonts w:ascii="Times New Roman" w:hAnsi="Times New Roman" w:cs="Times New Roman"/>
          <w:lang w:val="en-US"/>
        </w:rPr>
        <w:t>= .00385, α</w:t>
      </w:r>
      <w:r w:rsidR="00251726" w:rsidRPr="00251726">
        <w:rPr>
          <w:rFonts w:ascii="Times New Roman" w:hAnsi="Times New Roman" w:cs="Times New Roman"/>
          <w:vertAlign w:val="subscript"/>
          <w:lang w:val="en-US"/>
        </w:rPr>
        <w:t xml:space="preserve">FDG-PET </w:t>
      </w:r>
      <w:r w:rsidR="00251726" w:rsidRPr="00251726">
        <w:rPr>
          <w:rFonts w:ascii="Times New Roman" w:hAnsi="Times New Roman" w:cs="Times New Roman"/>
          <w:lang w:val="en-US"/>
        </w:rPr>
        <w:t>= 0.00555)</w:t>
      </w:r>
      <w:r w:rsidR="00251726">
        <w:rPr>
          <w:rFonts w:ascii="Times New Roman" w:hAnsi="Times New Roman" w:cs="Times New Roman"/>
          <w:lang w:val="en-US"/>
        </w:rPr>
        <w:t>.</w:t>
      </w:r>
    </w:p>
    <w:p w:rsidR="00FA3171" w:rsidRPr="004D093A" w:rsidRDefault="00FA3171" w:rsidP="008A5776">
      <w:pPr>
        <w:pStyle w:val="Listenabsatz"/>
        <w:numPr>
          <w:ilvl w:val="1"/>
          <w:numId w:val="2"/>
        </w:numPr>
        <w:spacing w:line="480" w:lineRule="auto"/>
        <w:ind w:left="709" w:hanging="709"/>
        <w:rPr>
          <w:rFonts w:ascii="Times New Roman" w:hAnsi="Times New Roman" w:cs="Times New Roman"/>
          <w:b/>
          <w:lang w:val="en-US"/>
        </w:rPr>
      </w:pPr>
      <w:r w:rsidRPr="004D093A">
        <w:rPr>
          <w:rFonts w:ascii="Times New Roman" w:hAnsi="Times New Roman" w:cs="Times New Roman"/>
          <w:b/>
          <w:lang w:val="en-US"/>
        </w:rPr>
        <w:t>Prediction of Cognitive Outcome</w:t>
      </w:r>
    </w:p>
    <w:p w:rsidR="006938A5" w:rsidRDefault="00FA3171" w:rsidP="008A5776">
      <w:pPr>
        <w:spacing w:line="480" w:lineRule="auto"/>
        <w:rPr>
          <w:rFonts w:ascii="Times New Roman" w:hAnsi="Times New Roman" w:cs="Times New Roman"/>
          <w:lang w:val="en-US"/>
        </w:rPr>
      </w:pPr>
      <w:r>
        <w:rPr>
          <w:rFonts w:ascii="Times New Roman" w:hAnsi="Times New Roman" w:cs="Times New Roman"/>
          <w:lang w:val="en-US"/>
        </w:rPr>
        <w:t>In the CN+SCI</w:t>
      </w:r>
      <w:r>
        <w:rPr>
          <w:rFonts w:ascii="Times New Roman" w:hAnsi="Times New Roman" w:cs="Times New Roman"/>
          <w:vertAlign w:val="subscript"/>
          <w:lang w:val="en-US"/>
        </w:rPr>
        <w:t xml:space="preserve">ADNI </w:t>
      </w:r>
      <w:r>
        <w:rPr>
          <w:rFonts w:ascii="Times New Roman" w:hAnsi="Times New Roman" w:cs="Times New Roman"/>
          <w:lang w:val="en-US"/>
        </w:rPr>
        <w:t>sample</w:t>
      </w:r>
      <w:r w:rsidR="004A4BF6">
        <w:rPr>
          <w:rFonts w:ascii="Times New Roman" w:hAnsi="Times New Roman" w:cs="Times New Roman"/>
          <w:lang w:val="en-US"/>
        </w:rPr>
        <w:t xml:space="preserve"> 2</w:t>
      </w:r>
      <w:r>
        <w:rPr>
          <w:rFonts w:ascii="Times New Roman" w:hAnsi="Times New Roman" w:cs="Times New Roman"/>
          <w:lang w:val="en-US"/>
        </w:rPr>
        <w:t>, 217 individuals remained stable until year two, while 24 obtained a diagnosis of cognitive impairment (MCI or dementia) within two years.</w:t>
      </w:r>
      <w:r w:rsidRPr="000F7936">
        <w:rPr>
          <w:rFonts w:ascii="Times New Roman" w:hAnsi="Times New Roman" w:cs="Times New Roman"/>
          <w:lang w:val="en-US"/>
        </w:rPr>
        <w:t xml:space="preserve"> </w:t>
      </w:r>
      <w:r>
        <w:rPr>
          <w:rFonts w:ascii="Times New Roman" w:hAnsi="Times New Roman" w:cs="Times New Roman"/>
          <w:lang w:val="en-US"/>
        </w:rPr>
        <w:t>Consequently, a subsample of 24 stables and all 24 decliners constituted the subsample for prediction of cognitive outcome in CN</w:t>
      </w:r>
      <w:r w:rsidR="004A4BF6">
        <w:rPr>
          <w:rFonts w:ascii="Times New Roman" w:hAnsi="Times New Roman" w:cs="Times New Roman"/>
          <w:lang w:val="en-US"/>
        </w:rPr>
        <w:t>+SCD</w:t>
      </w:r>
      <w:r w:rsidR="004A4BF6">
        <w:rPr>
          <w:rFonts w:ascii="Times New Roman" w:hAnsi="Times New Roman" w:cs="Times New Roman"/>
          <w:vertAlign w:val="subscript"/>
          <w:lang w:val="en-US"/>
        </w:rPr>
        <w:t>ADNI</w:t>
      </w:r>
      <w:r>
        <w:rPr>
          <w:rFonts w:ascii="Times New Roman" w:hAnsi="Times New Roman" w:cs="Times New Roman"/>
          <w:lang w:val="en-US"/>
        </w:rPr>
        <w:t>. We found that, holding all other predictor variables constant, FDG-PET-derived BAG and APOE-</w:t>
      </w:r>
      <w:r>
        <w:rPr>
          <w:rFonts w:ascii="Helvetica" w:hAnsi="Helvetica" w:cs="Times New Roman"/>
          <w:lang w:val="en-US"/>
        </w:rPr>
        <w:t>ε</w:t>
      </w:r>
      <w:r>
        <w:rPr>
          <w:rFonts w:ascii="Times New Roman" w:hAnsi="Times New Roman" w:cs="Times New Roman"/>
          <w:lang w:val="en-US"/>
        </w:rPr>
        <w:t xml:space="preserve">4 carriership significantly, and years of education marginally predicted cognitive outcome after two years. The odds of a cognitive impairment diagnosis within two years were increased by 31% (95% CI [1.047, 1.739], </w:t>
      </w:r>
      <w:r w:rsidRPr="00291723">
        <w:rPr>
          <w:rFonts w:ascii="Times New Roman" w:hAnsi="Times New Roman" w:cs="Times New Roman"/>
          <w:i/>
          <w:lang w:val="en-US"/>
        </w:rPr>
        <w:t>p</w:t>
      </w:r>
      <w:r>
        <w:rPr>
          <w:rFonts w:ascii="Times New Roman" w:hAnsi="Times New Roman" w:cs="Times New Roman"/>
          <w:lang w:val="en-US"/>
        </w:rPr>
        <w:t xml:space="preserve"> = .032) for every FDG-PET-derived BAG year. Moreover, the odds of developing cognitive impairment were increased by seven-fold with a positive APOE-</w:t>
      </w:r>
      <w:r>
        <w:rPr>
          <w:rFonts w:ascii="Helvetica" w:hAnsi="Helvetica" w:cs="Times New Roman"/>
          <w:lang w:val="en-US"/>
        </w:rPr>
        <w:t>ε</w:t>
      </w:r>
      <w:r>
        <w:rPr>
          <w:rFonts w:ascii="Times New Roman" w:hAnsi="Times New Roman" w:cs="Times New Roman"/>
          <w:lang w:val="en-US"/>
        </w:rPr>
        <w:t xml:space="preserve">4 carriership status (95% CI [1.209, 67.541], </w:t>
      </w:r>
      <w:r>
        <w:rPr>
          <w:rFonts w:ascii="Times New Roman" w:hAnsi="Times New Roman" w:cs="Times New Roman"/>
          <w:i/>
          <w:lang w:val="en-US"/>
        </w:rPr>
        <w:t>p</w:t>
      </w:r>
      <w:r>
        <w:rPr>
          <w:rFonts w:ascii="Times New Roman" w:hAnsi="Times New Roman" w:cs="Times New Roman"/>
          <w:lang w:val="en-US"/>
        </w:rPr>
        <w:t xml:space="preserve"> = .46). Finally, a trend was observed that with every additional year of education, the odds of cognitive impairment were decreased by 23% (95% CI [0.573, 1.001], p = .065). To obtain a cutoff for prognoses of cognitive impairment, we fit a logistic regression model on cognitive outcome by BAG on FDG-PET. The intersection of the curve with 50% probability of receiving such a diagnosis was at 0.32 years FDG-PET BAG. </w:t>
      </w:r>
      <w:r w:rsidR="005C155F">
        <w:rPr>
          <w:rFonts w:ascii="Times New Roman" w:hAnsi="Times New Roman" w:cs="Times New Roman"/>
          <w:lang w:val="en-US"/>
        </w:rPr>
        <w:t>In the current sample, this yielded a s</w:t>
      </w:r>
      <w:r w:rsidR="00ED38CD">
        <w:rPr>
          <w:rFonts w:ascii="Times New Roman" w:hAnsi="Times New Roman" w:cs="Times New Roman"/>
          <w:lang w:val="en-US"/>
        </w:rPr>
        <w:t>ensitivity</w:t>
      </w:r>
      <w:r w:rsidR="005C155F">
        <w:rPr>
          <w:rFonts w:ascii="Times New Roman" w:hAnsi="Times New Roman" w:cs="Times New Roman"/>
          <w:lang w:val="en-US"/>
        </w:rPr>
        <w:t xml:space="preserve"> of 75% and a s</w:t>
      </w:r>
      <w:r w:rsidR="00ED38CD">
        <w:rPr>
          <w:rFonts w:ascii="Times New Roman" w:hAnsi="Times New Roman" w:cs="Times New Roman"/>
          <w:lang w:val="en-US"/>
        </w:rPr>
        <w:t>pecificity</w:t>
      </w:r>
      <w:r w:rsidR="005C155F">
        <w:rPr>
          <w:rFonts w:ascii="Times New Roman" w:hAnsi="Times New Roman" w:cs="Times New Roman"/>
          <w:lang w:val="en-US"/>
        </w:rPr>
        <w:t xml:space="preserve"> of 67%. In DELCODE, this cutoff enabled to correctly identify all eight decliners (s</w:t>
      </w:r>
      <w:r w:rsidR="00ED38CD">
        <w:rPr>
          <w:rFonts w:ascii="Times New Roman" w:hAnsi="Times New Roman" w:cs="Times New Roman"/>
          <w:lang w:val="en-US"/>
        </w:rPr>
        <w:t>ensitivity</w:t>
      </w:r>
      <w:r w:rsidR="005C155F">
        <w:rPr>
          <w:rFonts w:ascii="Times New Roman" w:hAnsi="Times New Roman" w:cs="Times New Roman"/>
          <w:lang w:val="en-US"/>
        </w:rPr>
        <w:t xml:space="preserve"> = 100%), while most stable individuals would be falsely predicted to develop cognitive impairment (s</w:t>
      </w:r>
      <w:r w:rsidR="00ED38CD">
        <w:rPr>
          <w:rFonts w:ascii="Times New Roman" w:hAnsi="Times New Roman" w:cs="Times New Roman"/>
          <w:lang w:val="en-US"/>
        </w:rPr>
        <w:t>pecificity</w:t>
      </w:r>
      <w:r w:rsidR="005C155F">
        <w:rPr>
          <w:rFonts w:ascii="Times New Roman" w:hAnsi="Times New Roman" w:cs="Times New Roman"/>
          <w:lang w:val="en-US"/>
        </w:rPr>
        <w:t xml:space="preserve"> = 8%).</w:t>
      </w:r>
    </w:p>
    <w:p w:rsidR="005C155F" w:rsidRDefault="005C155F" w:rsidP="008A5776">
      <w:pPr>
        <w:pStyle w:val="KeinLeerraum"/>
        <w:spacing w:line="480" w:lineRule="auto"/>
        <w:ind w:firstLine="708"/>
        <w:jc w:val="both"/>
        <w:rPr>
          <w:rFonts w:ascii="Times New Roman" w:hAnsi="Times New Roman" w:cs="Times New Roman"/>
          <w:lang w:val="en-US"/>
        </w:rPr>
      </w:pPr>
      <w:r>
        <w:rPr>
          <w:rFonts w:ascii="Times New Roman" w:hAnsi="Times New Roman" w:cs="Times New Roman"/>
          <w:lang w:val="en-US"/>
        </w:rPr>
        <w:t xml:space="preserve">In </w:t>
      </w:r>
      <w:r w:rsidR="007250F1">
        <w:rPr>
          <w:rFonts w:ascii="Times New Roman" w:hAnsi="Times New Roman" w:cs="Times New Roman"/>
          <w:lang w:val="en-US"/>
        </w:rPr>
        <w:t xml:space="preserve">sample </w:t>
      </w:r>
      <w:proofErr w:type="gramStart"/>
      <w:r w:rsidR="007250F1">
        <w:rPr>
          <w:rFonts w:ascii="Times New Roman" w:hAnsi="Times New Roman" w:cs="Times New Roman"/>
          <w:lang w:val="en-US"/>
        </w:rPr>
        <w:t>2</w:t>
      </w:r>
      <w:proofErr w:type="gramEnd"/>
      <w:r>
        <w:rPr>
          <w:rFonts w:ascii="Times New Roman" w:hAnsi="Times New Roman" w:cs="Times New Roman"/>
          <w:lang w:val="en-US"/>
        </w:rPr>
        <w:t xml:space="preserve"> of MCI</w:t>
      </w:r>
      <w:r>
        <w:rPr>
          <w:rFonts w:ascii="Times New Roman" w:hAnsi="Times New Roman" w:cs="Times New Roman"/>
          <w:vertAlign w:val="subscript"/>
          <w:lang w:val="en-US"/>
        </w:rPr>
        <w:t>ADNI</w:t>
      </w:r>
      <w:r w:rsidRPr="005C155F">
        <w:rPr>
          <w:vertAlign w:val="subscript"/>
          <w:lang w:val="en-US"/>
        </w:rPr>
        <w:t xml:space="preserve"> </w:t>
      </w:r>
      <w:r>
        <w:rPr>
          <w:rFonts w:ascii="Times New Roman" w:hAnsi="Times New Roman" w:cs="Times New Roman"/>
          <w:lang w:val="en-US"/>
        </w:rPr>
        <w:t xml:space="preserve">patients, 93 patients converted to dementia, while 276 remained stable. Consequently, a subsample of 93 stables and all 93 decliners constituted the subsample for prediction of cognitive outcome. Holding all other predictor variables constant, MRI-derived BAG, a positive amyloid status in CSF, and </w:t>
      </w:r>
      <w:r w:rsidRPr="007504E4">
        <w:rPr>
          <w:rFonts w:ascii="Times New Roman" w:hAnsi="Times New Roman" w:cs="Times New Roman"/>
          <w:lang w:val="en-US"/>
        </w:rPr>
        <w:t>APOE-ε4</w:t>
      </w:r>
      <w:r>
        <w:rPr>
          <w:rFonts w:ascii="Times New Roman" w:hAnsi="Times New Roman" w:cs="Times New Roman"/>
          <w:lang w:val="en-US"/>
        </w:rPr>
        <w:t xml:space="preserve"> carriership significantly predicted cognitive outcome after two years. With every one-year increase in BAG on MRI, the odds of converting to MCI or dementia were increased by 40% (95% CI [1.208, 1.655]), while a positive amyloid status and APOE-</w:t>
      </w:r>
      <w:r>
        <w:rPr>
          <w:rFonts w:ascii="Helvetica" w:hAnsi="Helvetica" w:cs="Times New Roman"/>
          <w:lang w:val="en-US"/>
        </w:rPr>
        <w:t>ε</w:t>
      </w:r>
      <w:r>
        <w:rPr>
          <w:rFonts w:ascii="Times New Roman" w:hAnsi="Times New Roman" w:cs="Times New Roman"/>
          <w:lang w:val="en-US"/>
        </w:rPr>
        <w:t>4 carriership both increased those odds by threefold (95% CI</w:t>
      </w:r>
      <w:r>
        <w:rPr>
          <w:rFonts w:ascii="Times New Roman" w:hAnsi="Times New Roman" w:cs="Times New Roman"/>
          <w:vertAlign w:val="subscript"/>
          <w:lang w:val="en-US"/>
        </w:rPr>
        <w:t>ABETA+</w:t>
      </w:r>
      <w:r>
        <w:rPr>
          <w:rFonts w:ascii="Times New Roman" w:hAnsi="Times New Roman" w:cs="Times New Roman"/>
          <w:lang w:val="en-US"/>
        </w:rPr>
        <w:t xml:space="preserve"> [1.114, 8.748]; 95% CI</w:t>
      </w:r>
      <w:r>
        <w:rPr>
          <w:rFonts w:ascii="Times New Roman" w:hAnsi="Times New Roman" w:cs="Times New Roman"/>
          <w:vertAlign w:val="subscript"/>
          <w:lang w:val="en-US"/>
        </w:rPr>
        <w:t>APOE+</w:t>
      </w:r>
      <w:r>
        <w:rPr>
          <w:rFonts w:ascii="Times New Roman" w:hAnsi="Times New Roman" w:cs="Times New Roman"/>
          <w:lang w:val="en-US"/>
        </w:rPr>
        <w:t xml:space="preserve"> [1.336, 6.767]), </w:t>
      </w:r>
      <w:r>
        <w:rPr>
          <w:rFonts w:ascii="Times New Roman" w:hAnsi="Times New Roman" w:cs="Times New Roman"/>
          <w:lang w:val="en-US"/>
        </w:rPr>
        <w:lastRenderedPageBreak/>
        <w:t>respectively. The intersection of the curve with 50% probability of receiving a diagnosis of dementia within two years was at 1.88 years of MRI BAG. In the current MCI</w:t>
      </w:r>
      <w:r w:rsidRPr="005407A2">
        <w:rPr>
          <w:rFonts w:ascii="Times New Roman" w:hAnsi="Times New Roman" w:cs="Times New Roman"/>
          <w:vertAlign w:val="subscript"/>
          <w:lang w:val="en-US"/>
        </w:rPr>
        <w:t>ADNI</w:t>
      </w:r>
      <w:r>
        <w:rPr>
          <w:rFonts w:ascii="Times New Roman" w:hAnsi="Times New Roman" w:cs="Times New Roman"/>
          <w:lang w:val="en-US"/>
        </w:rPr>
        <w:t xml:space="preserve"> subsample, stratification by this cutoff yielded a s</w:t>
      </w:r>
      <w:r w:rsidR="00ED38CD">
        <w:rPr>
          <w:rFonts w:ascii="Times New Roman" w:hAnsi="Times New Roman" w:cs="Times New Roman"/>
          <w:lang w:val="en-US"/>
        </w:rPr>
        <w:t>ensitivity</w:t>
      </w:r>
      <w:r>
        <w:rPr>
          <w:rFonts w:ascii="Times New Roman" w:hAnsi="Times New Roman" w:cs="Times New Roman"/>
          <w:lang w:val="en-US"/>
        </w:rPr>
        <w:t xml:space="preserve"> of 76% and a s</w:t>
      </w:r>
      <w:r w:rsidR="00ED38CD">
        <w:rPr>
          <w:rFonts w:ascii="Times New Roman" w:hAnsi="Times New Roman" w:cs="Times New Roman"/>
          <w:lang w:val="en-US"/>
        </w:rPr>
        <w:t>pecificity</w:t>
      </w:r>
      <w:r>
        <w:rPr>
          <w:rFonts w:ascii="Times New Roman" w:hAnsi="Times New Roman" w:cs="Times New Roman"/>
          <w:lang w:val="en-US"/>
        </w:rPr>
        <w:t xml:space="preserve"> of 70%. In the MCI</w:t>
      </w:r>
      <w:r>
        <w:rPr>
          <w:rFonts w:ascii="Times New Roman" w:hAnsi="Times New Roman" w:cs="Times New Roman"/>
          <w:vertAlign w:val="subscript"/>
          <w:lang w:val="en-US"/>
        </w:rPr>
        <w:t xml:space="preserve">DELCODE </w:t>
      </w:r>
      <w:proofErr w:type="gramStart"/>
      <w:r w:rsidR="003F27D7">
        <w:rPr>
          <w:rFonts w:ascii="Times New Roman" w:hAnsi="Times New Roman" w:cs="Times New Roman"/>
          <w:lang w:val="en-US"/>
        </w:rPr>
        <w:t>sample</w:t>
      </w:r>
      <w:proofErr w:type="gramEnd"/>
      <w:r w:rsidR="003F27D7">
        <w:rPr>
          <w:rFonts w:ascii="Times New Roman" w:hAnsi="Times New Roman" w:cs="Times New Roman"/>
          <w:lang w:val="en-US"/>
        </w:rPr>
        <w:t xml:space="preserve"> </w:t>
      </w:r>
      <w:r>
        <w:rPr>
          <w:rFonts w:ascii="Times New Roman" w:hAnsi="Times New Roman" w:cs="Times New Roman"/>
          <w:lang w:val="en-US"/>
        </w:rPr>
        <w:t>the cutoff had a s</w:t>
      </w:r>
      <w:r w:rsidR="00ED38CD">
        <w:rPr>
          <w:rFonts w:ascii="Times New Roman" w:hAnsi="Times New Roman" w:cs="Times New Roman"/>
          <w:lang w:val="en-US"/>
        </w:rPr>
        <w:t>ensitivity</w:t>
      </w:r>
      <w:r>
        <w:rPr>
          <w:rFonts w:ascii="Times New Roman" w:hAnsi="Times New Roman" w:cs="Times New Roman"/>
          <w:lang w:val="en-US"/>
        </w:rPr>
        <w:t xml:space="preserve"> of 6</w:t>
      </w:r>
      <w:r w:rsidR="003F27D7">
        <w:rPr>
          <w:rFonts w:ascii="Times New Roman" w:hAnsi="Times New Roman" w:cs="Times New Roman"/>
          <w:lang w:val="en-US"/>
        </w:rPr>
        <w:t>9</w:t>
      </w:r>
      <w:r>
        <w:rPr>
          <w:rFonts w:ascii="Times New Roman" w:hAnsi="Times New Roman" w:cs="Times New Roman"/>
          <w:lang w:val="en-US"/>
        </w:rPr>
        <w:t>% and a s</w:t>
      </w:r>
      <w:r w:rsidR="00ED38CD">
        <w:rPr>
          <w:rFonts w:ascii="Times New Roman" w:hAnsi="Times New Roman" w:cs="Times New Roman"/>
          <w:lang w:val="en-US"/>
        </w:rPr>
        <w:t>pecificity</w:t>
      </w:r>
      <w:r w:rsidR="003F27D7">
        <w:rPr>
          <w:rFonts w:ascii="Times New Roman" w:hAnsi="Times New Roman" w:cs="Times New Roman"/>
          <w:lang w:val="en-US"/>
        </w:rPr>
        <w:t xml:space="preserve"> of 71</w:t>
      </w:r>
      <w:r>
        <w:rPr>
          <w:rFonts w:ascii="Times New Roman" w:hAnsi="Times New Roman" w:cs="Times New Roman"/>
          <w:lang w:val="en-US"/>
        </w:rPr>
        <w:t xml:space="preserve">%. </w:t>
      </w:r>
    </w:p>
    <w:p w:rsidR="00E66FC6" w:rsidRPr="00164EEB" w:rsidRDefault="00E66FC6" w:rsidP="008A5776">
      <w:pPr>
        <w:pStyle w:val="KeinLeerraum"/>
        <w:spacing w:line="480" w:lineRule="auto"/>
        <w:ind w:firstLine="708"/>
        <w:jc w:val="both"/>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2"/>
        <w:gridCol w:w="1812"/>
        <w:gridCol w:w="1812"/>
        <w:gridCol w:w="1813"/>
        <w:gridCol w:w="1813"/>
      </w:tblGrid>
      <w:tr w:rsidR="00E66FC6" w:rsidRPr="00E77BCE" w:rsidTr="00730FDB">
        <w:tc>
          <w:tcPr>
            <w:tcW w:w="9062" w:type="dxa"/>
            <w:gridSpan w:val="5"/>
          </w:tcPr>
          <w:p w:rsidR="00E66FC6" w:rsidRPr="00E66FC6" w:rsidRDefault="00E66FC6"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2.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MRI BAG as predictor</w:t>
            </w:r>
          </w:p>
        </w:tc>
      </w:tr>
      <w:tr w:rsidR="00E66FC6" w:rsidTr="00E66FC6">
        <w:tc>
          <w:tcPr>
            <w:tcW w:w="1812" w:type="dxa"/>
          </w:tcPr>
          <w:p w:rsidR="00E66FC6" w:rsidRDefault="00E66FC6" w:rsidP="008A5776">
            <w:pPr>
              <w:spacing w:line="480" w:lineRule="auto"/>
              <w:rPr>
                <w:rFonts w:ascii="Times New Roman" w:hAnsi="Times New Roman" w:cs="Times New Roman"/>
                <w:b/>
                <w:lang w:val="en-US"/>
              </w:rPr>
            </w:pP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E66FC6" w:rsidRDefault="00E66FC6"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sidR="002317F9">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0.25011</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0.09655</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2.590</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0.00959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-0.49955</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0.78849</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-0.634</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0.52637</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-0.23647</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0.72048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-0.328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0.74275</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sidR="002317F9" w:rsidRPr="002317F9">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2.07650</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0.94512</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2.197</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0.02801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-0.16003</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0.11289</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-1.418</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0.15633</w:t>
            </w:r>
          </w:p>
        </w:tc>
      </w:tr>
    </w:tbl>
    <w:p w:rsidR="00E66FC6" w:rsidRDefault="00E66FC6" w:rsidP="008A5776">
      <w:pPr>
        <w:pBdr>
          <w:bottom w:val="single" w:sz="6" w:space="1" w:color="auto"/>
        </w:pBdr>
        <w:spacing w:line="480" w:lineRule="auto"/>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2"/>
        <w:gridCol w:w="1812"/>
        <w:gridCol w:w="1812"/>
        <w:gridCol w:w="1813"/>
        <w:gridCol w:w="1813"/>
      </w:tblGrid>
      <w:tr w:rsidR="002317F9" w:rsidRPr="00E77BCE"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3.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0.050259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0.113422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0.443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0.6577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-0.004879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0.714663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0.9946</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0.188144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0.648534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0.290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0.7717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1.292239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0.782596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1.651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0.0987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-0.109366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0.101333</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-1.079</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0.2805</w:t>
            </w:r>
          </w:p>
        </w:tc>
      </w:tr>
    </w:tbl>
    <w:p w:rsidR="006938A5" w:rsidRDefault="006938A5"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2"/>
        <w:gridCol w:w="1812"/>
        <w:gridCol w:w="1812"/>
        <w:gridCol w:w="1813"/>
        <w:gridCol w:w="1813"/>
      </w:tblGrid>
      <w:tr w:rsidR="002317F9" w:rsidRPr="00E77BCE"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4.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MRI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0.188953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0.058779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3.215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0.00131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1.257901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0.531529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2.367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Pr>
                <w:rFonts w:ascii="Times New Roman" w:hAnsi="Times New Roman" w:cs="Times New Roman"/>
                <w:lang w:val="en-US"/>
              </w:rPr>
              <w:t>0.01795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1.783196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0.457962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3.894</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9.87e-05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1.047244</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0.333144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0.00167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-0.004455</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0.059747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-0.075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0.94057    </w:t>
            </w:r>
          </w:p>
        </w:tc>
      </w:tr>
    </w:tbl>
    <w:p w:rsidR="002317F9" w:rsidRPr="00371B09" w:rsidRDefault="002317F9"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2"/>
        <w:gridCol w:w="1812"/>
        <w:gridCol w:w="1812"/>
        <w:gridCol w:w="1813"/>
        <w:gridCol w:w="1813"/>
      </w:tblGrid>
      <w:tr w:rsidR="002317F9" w:rsidRPr="00E77BCE"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5.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0.43237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0.07523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5.747</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9.08e-09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0.48095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0.58592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0.821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0.41174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1.42208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0.48662</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2.922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0.00347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1.09720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0.36234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3.028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Pr>
                <w:rFonts w:ascii="Times New Roman" w:hAnsi="Times New Roman" w:cs="Times New Roman"/>
                <w:lang w:val="en-US"/>
              </w:rPr>
              <w:t>0.00246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-0.04905</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0.06627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-0.740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0.45924  </w:t>
            </w:r>
          </w:p>
        </w:tc>
      </w:tr>
    </w:tbl>
    <w:p w:rsidR="0006273E" w:rsidRDefault="0006273E" w:rsidP="008A5776">
      <w:pPr>
        <w:spacing w:line="480" w:lineRule="auto"/>
        <w:rPr>
          <w:rFonts w:ascii="Times New Roman" w:hAnsi="Times New Roman" w:cs="Times New Roman"/>
          <w:lang w:val="en-US"/>
        </w:rPr>
      </w:pPr>
    </w:p>
    <w:p w:rsidR="006938A5" w:rsidRPr="002317F9" w:rsidRDefault="0006273E" w:rsidP="008A5776">
      <w:pPr>
        <w:spacing w:line="480" w:lineRule="auto"/>
        <w:rPr>
          <w:rFonts w:ascii="Times New Roman" w:hAnsi="Times New Roman" w:cs="Times New Roman"/>
          <w:lang w:val="en-US"/>
        </w:rPr>
      </w:pPr>
      <w:proofErr w:type="spellStart"/>
      <w:r w:rsidRPr="0006273E">
        <w:rPr>
          <w:rFonts w:ascii="Times New Roman" w:hAnsi="Times New Roman" w:cs="Times New Roman"/>
          <w:lang w:val="en-US"/>
        </w:rPr>
        <w:t>Signif</w:t>
      </w:r>
      <w:proofErr w:type="spellEnd"/>
      <w:r w:rsidRPr="0006273E">
        <w:rPr>
          <w:rFonts w:ascii="Times New Roman" w:hAnsi="Times New Roman" w:cs="Times New Roman"/>
          <w:lang w:val="en-US"/>
        </w:rPr>
        <w:t xml:space="preserve">. </w:t>
      </w:r>
      <w:proofErr w:type="gramStart"/>
      <w:r w:rsidRPr="0006273E">
        <w:rPr>
          <w:rFonts w:ascii="Times New Roman" w:hAnsi="Times New Roman" w:cs="Times New Roman"/>
          <w:lang w:val="en-US"/>
        </w:rPr>
        <w:t>codes</w:t>
      </w:r>
      <w:proofErr w:type="gramEnd"/>
      <w:r w:rsidRPr="0006273E">
        <w:rPr>
          <w:rFonts w:ascii="Times New Roman" w:hAnsi="Times New Roman" w:cs="Times New Roman"/>
          <w:lang w:val="en-US"/>
        </w:rPr>
        <w:t xml:space="preserve">:  0 ‘***’ 0.001 ‘**’ 0.01 ‘*’ 0.05 ‘.’ 0.1 </w:t>
      </w:r>
      <w:proofErr w:type="gramStart"/>
      <w:r w:rsidRPr="0006273E">
        <w:rPr>
          <w:rFonts w:ascii="Times New Roman" w:hAnsi="Times New Roman" w:cs="Times New Roman"/>
          <w:lang w:val="en-US"/>
        </w:rPr>
        <w:t>‘ ’</w:t>
      </w:r>
      <w:proofErr w:type="gramEnd"/>
      <w:r w:rsidRPr="0006273E">
        <w:rPr>
          <w:rFonts w:ascii="Times New Roman" w:hAnsi="Times New Roman" w:cs="Times New Roman"/>
          <w:lang w:val="en-US"/>
        </w:rPr>
        <w:t xml:space="preserve"> 1</w:t>
      </w:r>
      <w:r w:rsidR="00E66FC6" w:rsidRPr="002317F9">
        <w:rPr>
          <w:rFonts w:ascii="Times New Roman" w:hAnsi="Times New Roman" w:cs="Times New Roman"/>
          <w:lang w:val="en-US"/>
        </w:rPr>
        <w:t xml:space="preserve"> </w:t>
      </w:r>
    </w:p>
    <w:sectPr w:rsidR="006938A5" w:rsidRPr="002317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64969"/>
    <w:multiLevelType w:val="hybridMultilevel"/>
    <w:tmpl w:val="46A4585C"/>
    <w:lvl w:ilvl="0" w:tplc="A626A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0439C"/>
    <w:multiLevelType w:val="hybridMultilevel"/>
    <w:tmpl w:val="07FE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8F"/>
    <w:rsid w:val="00013EDF"/>
    <w:rsid w:val="0006273E"/>
    <w:rsid w:val="000749AF"/>
    <w:rsid w:val="00157C20"/>
    <w:rsid w:val="001E37D8"/>
    <w:rsid w:val="001F59CB"/>
    <w:rsid w:val="002257B7"/>
    <w:rsid w:val="002317F9"/>
    <w:rsid w:val="0024443C"/>
    <w:rsid w:val="00251726"/>
    <w:rsid w:val="00371B09"/>
    <w:rsid w:val="003F27D7"/>
    <w:rsid w:val="004A4BF6"/>
    <w:rsid w:val="004D093A"/>
    <w:rsid w:val="004E0A03"/>
    <w:rsid w:val="00503480"/>
    <w:rsid w:val="005777B1"/>
    <w:rsid w:val="00581648"/>
    <w:rsid w:val="005C155F"/>
    <w:rsid w:val="006938A5"/>
    <w:rsid w:val="00694EDD"/>
    <w:rsid w:val="006A30AC"/>
    <w:rsid w:val="007250F1"/>
    <w:rsid w:val="007C1CE0"/>
    <w:rsid w:val="007E19FA"/>
    <w:rsid w:val="007F3C8F"/>
    <w:rsid w:val="00861901"/>
    <w:rsid w:val="008A5776"/>
    <w:rsid w:val="009B1835"/>
    <w:rsid w:val="009B5C2B"/>
    <w:rsid w:val="00AA1164"/>
    <w:rsid w:val="00AE20C8"/>
    <w:rsid w:val="00AF1676"/>
    <w:rsid w:val="00AF4A0D"/>
    <w:rsid w:val="00B03F94"/>
    <w:rsid w:val="00CC4831"/>
    <w:rsid w:val="00CE1583"/>
    <w:rsid w:val="00D148EA"/>
    <w:rsid w:val="00D425E4"/>
    <w:rsid w:val="00D74F6C"/>
    <w:rsid w:val="00D97E57"/>
    <w:rsid w:val="00DD542A"/>
    <w:rsid w:val="00E1576F"/>
    <w:rsid w:val="00E30831"/>
    <w:rsid w:val="00E66FC6"/>
    <w:rsid w:val="00E77BCE"/>
    <w:rsid w:val="00ED38CD"/>
    <w:rsid w:val="00EF5C34"/>
    <w:rsid w:val="00FA31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A8AC"/>
  <w15:chartTrackingRefBased/>
  <w15:docId w15:val="{53A471E5-DBA8-4DE3-8F60-6EA5514A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F3C8F"/>
    <w:rPr>
      <w:sz w:val="16"/>
      <w:szCs w:val="16"/>
    </w:rPr>
  </w:style>
  <w:style w:type="paragraph" w:styleId="Kommentartext">
    <w:name w:val="annotation text"/>
    <w:basedOn w:val="Standard"/>
    <w:link w:val="KommentartextZchn"/>
    <w:uiPriority w:val="99"/>
    <w:unhideWhenUsed/>
    <w:rsid w:val="007F3C8F"/>
    <w:pPr>
      <w:spacing w:line="240" w:lineRule="auto"/>
    </w:pPr>
    <w:rPr>
      <w:sz w:val="20"/>
      <w:szCs w:val="20"/>
    </w:rPr>
  </w:style>
  <w:style w:type="character" w:customStyle="1" w:styleId="KommentartextZchn">
    <w:name w:val="Kommentartext Zchn"/>
    <w:basedOn w:val="Absatz-Standardschriftart"/>
    <w:link w:val="Kommentartext"/>
    <w:uiPriority w:val="99"/>
    <w:rsid w:val="007F3C8F"/>
    <w:rPr>
      <w:sz w:val="20"/>
      <w:szCs w:val="20"/>
    </w:rPr>
  </w:style>
  <w:style w:type="paragraph" w:styleId="KeinLeerraum">
    <w:name w:val="No Spacing"/>
    <w:uiPriority w:val="1"/>
    <w:qFormat/>
    <w:rsid w:val="007F3C8F"/>
    <w:pPr>
      <w:spacing w:after="0" w:line="240" w:lineRule="auto"/>
    </w:pPr>
  </w:style>
  <w:style w:type="table" w:styleId="Tabellenraster">
    <w:name w:val="Table Grid"/>
    <w:basedOn w:val="NormaleTabelle"/>
    <w:uiPriority w:val="39"/>
    <w:rsid w:val="007F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F3C8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C8F"/>
    <w:rPr>
      <w:rFonts w:ascii="Segoe UI" w:hAnsi="Segoe UI" w:cs="Segoe UI"/>
      <w:sz w:val="18"/>
      <w:szCs w:val="18"/>
    </w:rPr>
  </w:style>
  <w:style w:type="character" w:styleId="Funotenzeichen">
    <w:name w:val="footnote reference"/>
    <w:basedOn w:val="Absatz-Standardschriftart"/>
    <w:uiPriority w:val="99"/>
    <w:semiHidden/>
    <w:unhideWhenUsed/>
    <w:rsid w:val="00B03F94"/>
    <w:rPr>
      <w:vertAlign w:val="superscript"/>
    </w:rPr>
  </w:style>
  <w:style w:type="paragraph" w:styleId="Listenabsatz">
    <w:name w:val="List Paragraph"/>
    <w:basedOn w:val="Standard"/>
    <w:uiPriority w:val="34"/>
    <w:qFormat/>
    <w:rsid w:val="007E1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il.ion.uc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7112</Words>
  <Characters>40544</Characters>
  <Application>Microsoft Office Word</Application>
  <DocSecurity>0</DocSecurity>
  <Lines>337</Lines>
  <Paragraphs>95</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47561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15</cp:revision>
  <dcterms:created xsi:type="dcterms:W3CDTF">2022-11-29T09:51:00Z</dcterms:created>
  <dcterms:modified xsi:type="dcterms:W3CDTF">2023-03-02T16:54:00Z</dcterms:modified>
</cp:coreProperties>
</file>