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w:t>
      </w:r>
      <w:r w:rsidR="00760CCF">
        <w:rPr>
          <w:rFonts w:ascii="Times New Roman" w:eastAsia="Times New Roman" w:hAnsi="Times New Roman" w:cs="Times New Roman"/>
          <w:color w:val="000000"/>
          <w:lang w:val="en-US"/>
        </w:rPr>
        <w:t xml:space="preserve"> from ADNI and OASIS</w:t>
      </w:r>
      <w:r w:rsidRPr="009B1835">
        <w:rPr>
          <w:rFonts w:ascii="Times New Roman" w:eastAsia="Times New Roman" w:hAnsi="Times New Roman" w:cs="Times New Roman"/>
          <w:color w:val="000000"/>
          <w:lang w:val="en-US"/>
        </w:rPr>
        <w:t xml:space="preserve"> had no significant impairment in memory or cognitive functions or activities of daily living, and no significant memory concern.</w:t>
      </w:r>
      <w:r w:rsidR="00760CCF">
        <w:rPr>
          <w:rFonts w:ascii="Times New Roman" w:eastAsia="Times New Roman" w:hAnsi="Times New Roman" w:cs="Times New Roman"/>
          <w:color w:val="000000"/>
          <w:lang w:val="en-US"/>
        </w:rPr>
        <w:t xml:space="preserve"> In ADNI, a differentiation of CN and SCD </w:t>
      </w:r>
      <w:proofErr w:type="gramStart"/>
      <w:r w:rsidR="00760CCF">
        <w:rPr>
          <w:rFonts w:ascii="Times New Roman" w:eastAsia="Times New Roman" w:hAnsi="Times New Roman" w:cs="Times New Roman"/>
          <w:color w:val="000000"/>
          <w:lang w:val="en-US"/>
        </w:rPr>
        <w:t>was only made</w:t>
      </w:r>
      <w:proofErr w:type="gramEnd"/>
      <w:r w:rsidR="00760CCF">
        <w:rPr>
          <w:rFonts w:ascii="Times New Roman" w:eastAsia="Times New Roman" w:hAnsi="Times New Roman" w:cs="Times New Roman"/>
          <w:color w:val="000000"/>
          <w:lang w:val="en-US"/>
        </w:rPr>
        <w:t xml:space="preserve"> starting from ADNI-2, causing us to exclude individuals from ADNI-1 due to uncertain diagnosis.</w:t>
      </w:r>
      <w:r w:rsidRPr="009B1835">
        <w:rPr>
          <w:rFonts w:ascii="Times New Roman" w:eastAsia="Times New Roman" w:hAnsi="Times New Roman" w:cs="Times New Roman"/>
          <w:color w:val="000000"/>
          <w:lang w:val="en-US"/>
        </w:rPr>
        <w:t xml:space="preserve"> </w:t>
      </w:r>
      <w:r w:rsidR="00760CCF">
        <w:rPr>
          <w:rFonts w:ascii="Times New Roman" w:eastAsia="Times New Roman" w:hAnsi="Times New Roman" w:cs="Times New Roman"/>
          <w:color w:val="000000"/>
          <w:lang w:val="en-US"/>
        </w:rPr>
        <w:t xml:space="preserve">In OASIS, SCD individuals who reported memory concerns or whose spouse or clinician mentioned concerns as assessed in the USD-b9 questionnaire (n=10), were discarded from our sample due to the small sample size. </w:t>
      </w:r>
      <w:r w:rsidRPr="009B1835">
        <w:rPr>
          <w:rFonts w:ascii="Times New Roman" w:eastAsia="Times New Roman" w:hAnsi="Times New Roman" w:cs="Times New Roman"/>
          <w:color w:val="000000"/>
          <w:lang w:val="en-US"/>
        </w:rPr>
        <w:t xml:space="preserve">To </w:t>
      </w:r>
      <w:proofErr w:type="gramStart"/>
      <w:r w:rsidRPr="009B1835">
        <w:rPr>
          <w:rFonts w:ascii="Times New Roman" w:eastAsia="Times New Roman" w:hAnsi="Times New Roman" w:cs="Times New Roman"/>
          <w:color w:val="000000"/>
          <w:lang w:val="en-US"/>
        </w:rPr>
        <w:t>be considered</w:t>
      </w:r>
      <w:proofErr w:type="gramEnd"/>
      <w:r w:rsidRPr="009B1835">
        <w:rPr>
          <w:rFonts w:ascii="Times New Roman" w:eastAsia="Times New Roman" w:hAnsi="Times New Roman" w:cs="Times New Roman"/>
          <w:color w:val="000000"/>
          <w:lang w:val="en-US"/>
        </w:rPr>
        <w:t xml:space="preserve"> SCD, either the study participant, an informant, or the clinician (in ADNI)/the study participant (in DELCODE) reported a significant memory concern in the absence of objective impairment of memory of cognitive function. SCD in ADNI</w:t>
      </w:r>
      <w:r w:rsidR="00E77BCE">
        <w:rPr>
          <w:rFonts w:ascii="Times New Roman" w:eastAsia="Times New Roman" w:hAnsi="Times New Roman" w:cs="Times New Roman"/>
          <w:color w:val="000000"/>
          <w:lang w:val="en-US"/>
        </w:rPr>
        <w:t xml:space="preserve"> </w:t>
      </w:r>
      <w:proofErr w:type="gramStart"/>
      <w:r w:rsidRPr="009B1835">
        <w:rPr>
          <w:rFonts w:ascii="Times New Roman" w:eastAsia="Times New Roman" w:hAnsi="Times New Roman" w:cs="Times New Roman"/>
          <w:color w:val="000000"/>
          <w:lang w:val="en-US"/>
        </w:rPr>
        <w:t>were recruited</w:t>
      </w:r>
      <w:proofErr w:type="gramEnd"/>
      <w:r w:rsidRPr="009B1835">
        <w:rPr>
          <w:rFonts w:ascii="Times New Roman" w:eastAsia="Times New Roman" w:hAnsi="Times New Roman" w:cs="Times New Roman"/>
          <w:color w:val="000000"/>
          <w:lang w:val="en-US"/>
        </w:rPr>
        <w:t xml:space="preserve"> from the general population, whereas SCD in DELCODE were recruited from memory clinics. An MCI diagnosis </w:t>
      </w:r>
      <w:proofErr w:type="gramStart"/>
      <w:r w:rsidRPr="009B1835">
        <w:rPr>
          <w:rFonts w:ascii="Times New Roman" w:eastAsia="Times New Roman" w:hAnsi="Times New Roman" w:cs="Times New Roman"/>
          <w:color w:val="000000"/>
          <w:lang w:val="en-US"/>
        </w:rPr>
        <w:t>was provided</w:t>
      </w:r>
      <w:proofErr w:type="gramEnd"/>
      <w:r w:rsidRPr="009B1835">
        <w:rPr>
          <w:rFonts w:ascii="Times New Roman" w:eastAsia="Times New Roman" w:hAnsi="Times New Roman" w:cs="Times New Roman"/>
          <w:color w:val="000000"/>
          <w:lang w:val="en-US"/>
        </w:rPr>
        <w:t xml:space="preserve">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6"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xml:space="preserve">) in MATLAB (r2021b, The MathWorks </w:t>
      </w:r>
      <w:proofErr w:type="spellStart"/>
      <w:r w:rsidRPr="008A5776">
        <w:rPr>
          <w:rFonts w:ascii="Times New Roman" w:eastAsia="Times New Roman" w:hAnsi="Times New Roman" w:cs="Times New Roman"/>
          <w:color w:val="000000"/>
          <w:lang w:val="en-US"/>
        </w:rPr>
        <w:t>Inc</w:t>
      </w:r>
      <w:proofErr w:type="spellEnd"/>
      <w:r w:rsidRPr="008A5776">
        <w:rPr>
          <w:rFonts w:ascii="Times New Roman" w:eastAsia="Times New Roman" w:hAnsi="Times New Roman" w:cs="Times New Roman"/>
          <w:color w:val="000000"/>
          <w:lang w:val="en-US"/>
        </w:rPr>
        <w:t xml:space="preserve">). All FDG-PET scans </w:t>
      </w:r>
      <w:proofErr w:type="gramStart"/>
      <w:r w:rsidRPr="008A5776">
        <w:rPr>
          <w:rFonts w:ascii="Times New Roman" w:eastAsia="Times New Roman" w:hAnsi="Times New Roman" w:cs="Times New Roman"/>
          <w:color w:val="000000"/>
          <w:lang w:val="en-US"/>
        </w:rPr>
        <w:t xml:space="preserve">were aligned to the anterior commissure/posterior commissure, and subsequently co-registered and normalized to </w:t>
      </w:r>
      <w:r w:rsidR="00E77BCE">
        <w:rPr>
          <w:rFonts w:ascii="Times New Roman" w:eastAsia="Times New Roman" w:hAnsi="Times New Roman" w:cs="Times New Roman"/>
          <w:color w:val="000000"/>
          <w:lang w:val="en-US"/>
        </w:rPr>
        <w:t>the tissue probability map (TPM)</w:t>
      </w:r>
      <w:r w:rsidRPr="008A5776">
        <w:rPr>
          <w:rFonts w:ascii="Times New Roman" w:eastAsia="Times New Roman" w:hAnsi="Times New Roman" w:cs="Times New Roman"/>
          <w:color w:val="000000"/>
          <w:lang w:val="en-US"/>
        </w:rPr>
        <w:t xml:space="preserve"> template in standard MNI152 space</w:t>
      </w:r>
      <w:proofErr w:type="gramEnd"/>
      <w:r w:rsidRPr="008A5776">
        <w:rPr>
          <w:rFonts w:ascii="Times New Roman" w:eastAsia="Times New Roman" w:hAnsi="Times New Roman" w:cs="Times New Roman"/>
          <w:color w:val="000000"/>
          <w:lang w:val="en-US"/>
        </w:rPr>
        <w:t>.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00B52782">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lt;/sup&gt;","plainTextFormattedCitation":"1","previouslyFormattedCitation":"&lt;sup&gt;1&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00B52782" w:rsidRPr="00B52782">
        <w:rPr>
          <w:rFonts w:ascii="Times New Roman" w:eastAsia="Times New Roman" w:hAnsi="Times New Roman" w:cs="Times New Roman"/>
          <w:noProof/>
          <w:color w:val="000000"/>
          <w:vertAlign w:val="superscript"/>
          <w:lang w:val="en-US"/>
        </w:rPr>
        <w:t>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t>
      </w:r>
      <w:proofErr w:type="gramStart"/>
      <w:r w:rsidRPr="00FA4FCE">
        <w:rPr>
          <w:rFonts w:ascii="Times New Roman" w:eastAsia="Times New Roman" w:hAnsi="Times New Roman" w:cs="Times New Roman"/>
          <w:color w:val="000000"/>
          <w:lang w:val="en-US"/>
        </w:rPr>
        <w:t>were applied</w:t>
      </w:r>
      <w:proofErr w:type="gramEnd"/>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sidR="00B52782">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2&lt;/sup&gt;","plainTextFormattedCitation":"2","previouslyFormattedCitation":"&lt;sup&gt;2&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00B52782" w:rsidRPr="00B52782">
        <w:rPr>
          <w:rFonts w:ascii="Times New Roman" w:eastAsia="Times New Roman" w:hAnsi="Times New Roman" w:cs="Times New Roman"/>
          <w:noProof/>
          <w:color w:val="000000"/>
          <w:vertAlign w:val="superscript"/>
          <w:lang w:val="en-US"/>
        </w:rPr>
        <w:t>2</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sidR="00B52782">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3&lt;/sup&gt;","plainTextFormattedCitation":"3","previouslyFormattedCitation":"&lt;sup&gt;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00B52782" w:rsidRPr="00B52782">
        <w:rPr>
          <w:rFonts w:ascii="Times New Roman" w:eastAsia="Times New Roman" w:hAnsi="Times New Roman" w:cs="Times New Roman"/>
          <w:noProof/>
          <w:color w:val="000000"/>
          <w:vertAlign w:val="superscript"/>
          <w:lang w:val="en-US"/>
        </w:rPr>
        <w:t>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 xml:space="preserve">he Geodesic Shooting Algorithm </w:t>
      </w:r>
      <w:proofErr w:type="gramStart"/>
      <w:r w:rsidRPr="00FA4FCE">
        <w:rPr>
          <w:rFonts w:ascii="Times New Roman" w:eastAsia="Times New Roman" w:hAnsi="Times New Roman" w:cs="Times New Roman"/>
          <w:color w:val="000000"/>
          <w:lang w:val="en-US"/>
        </w:rPr>
        <w:t>was used</w:t>
      </w:r>
      <w:proofErr w:type="gramEnd"/>
      <w:r>
        <w:rPr>
          <w:rFonts w:ascii="Times New Roman" w:eastAsia="Times New Roman" w:hAnsi="Times New Roman" w:cs="Times New Roman"/>
          <w:color w:val="000000"/>
          <w:lang w:val="en-US"/>
        </w:rPr>
        <w:t xml:space="preserve"> for the nonlinear transformation</w:t>
      </w:r>
      <w:r w:rsidR="00E77BCE">
        <w:rPr>
          <w:rFonts w:ascii="Times New Roman" w:eastAsia="Times New Roman" w:hAnsi="Times New Roman" w:cs="Times New Roman"/>
          <w:color w:val="000000"/>
          <w:lang w:val="en-US"/>
        </w:rPr>
        <w:t>.</w:t>
      </w:r>
    </w:p>
    <w:p w:rsidR="00E77BCE" w:rsidRDefault="00E77BCE" w:rsidP="008A5776">
      <w:pPr>
        <w:pStyle w:val="Listenabsatz"/>
        <w:spacing w:after="0" w:line="480" w:lineRule="auto"/>
        <w:ind w:left="0" w:firstLine="708"/>
        <w:jc w:val="both"/>
        <w:rPr>
          <w:rFonts w:ascii="Times New Roman" w:hAnsi="Times New Roman" w:cs="Times New Roman"/>
          <w:b/>
          <w:lang w:val="en-US"/>
        </w:rPr>
      </w:pPr>
      <w:r w:rsidRPr="00694EDD">
        <w:rPr>
          <w:rFonts w:ascii="Times New Roman" w:eastAsia="Times New Roman" w:hAnsi="Times New Roman" w:cs="Times New Roman"/>
          <w:color w:val="000000"/>
          <w:highlight w:val="yellow"/>
          <w:lang w:val="en-US"/>
        </w:rPr>
        <w:t xml:space="preserve">To extract regional averages from 90 cortical and sub-cortical brain regions, we used the AAL1 atlas. The spatial overlap of AAL1 and template images in standard space, such as TPM, is sub-optimal, therefore, to avoid strong influence of zero-valued voxels, we resized AAL1 to fit the TPM template by </w:t>
      </w:r>
      <w:r w:rsidRPr="00694EDD">
        <w:rPr>
          <w:rFonts w:ascii="Times New Roman" w:eastAsia="Times New Roman" w:hAnsi="Times New Roman" w:cs="Times New Roman"/>
          <w:color w:val="000000"/>
          <w:highlight w:val="yellow"/>
          <w:lang w:val="en-US"/>
        </w:rPr>
        <w:lastRenderedPageBreak/>
        <w:t xml:space="preserve">only considering those voxels or AAL which corresponded to a gray matter </w:t>
      </w:r>
      <w:r w:rsidR="00694EDD" w:rsidRPr="00694EDD">
        <w:rPr>
          <w:rFonts w:ascii="Times New Roman" w:eastAsia="Times New Roman" w:hAnsi="Times New Roman" w:cs="Times New Roman"/>
          <w:color w:val="000000"/>
          <w:highlight w:val="yellow"/>
          <w:lang w:val="en-US"/>
        </w:rPr>
        <w:t xml:space="preserve">tissue </w:t>
      </w:r>
      <w:r w:rsidRPr="00694EDD">
        <w:rPr>
          <w:rFonts w:ascii="Times New Roman" w:eastAsia="Times New Roman" w:hAnsi="Times New Roman" w:cs="Times New Roman"/>
          <w:color w:val="000000"/>
          <w:highlight w:val="yellow"/>
          <w:lang w:val="en-US"/>
        </w:rPr>
        <w:t>probability of at least 0.3 in TPM.</w:t>
      </w:r>
      <w:r w:rsidR="00694EDD" w:rsidRPr="00694EDD">
        <w:rPr>
          <w:rFonts w:ascii="Times New Roman" w:eastAsia="Times New Roman" w:hAnsi="Times New Roman" w:cs="Times New Roman"/>
          <w:color w:val="000000"/>
          <w:highlight w:val="yellow"/>
          <w:lang w:val="en-US"/>
        </w:rPr>
        <w:t xml:space="preserve"> Given the limited spatial resolution of PET images compared to MRI, computation of non-zero means would have falsified our comparison between modalities.</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Outlier exclusion was performed in the outer cross-validation loop to ensure data quality in an automated manner. Interquartile ranges (IQRs) </w:t>
      </w:r>
      <w:proofErr w:type="gramStart"/>
      <w:r w:rsidRPr="00FA4FCE">
        <w:rPr>
          <w:rFonts w:ascii="Times New Roman" w:eastAsia="Times New Roman" w:hAnsi="Times New Roman" w:cs="Times New Roman"/>
          <w:color w:val="000000"/>
          <w:lang w:val="en-US"/>
        </w:rPr>
        <w:t>were inferred</w:t>
      </w:r>
      <w:proofErr w:type="gramEnd"/>
      <w:r w:rsidRPr="00FA4FCE">
        <w:rPr>
          <w:rFonts w:ascii="Times New Roman" w:eastAsia="Times New Roman" w:hAnsi="Times New Roman" w:cs="Times New Roman"/>
          <w:color w:val="000000"/>
          <w:lang w:val="en-US"/>
        </w:rPr>
        <w:t xml:space="preserve"> from the CN</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 xml:space="preserve">training sets. Subjects outside 6xIQR </w:t>
      </w:r>
      <w:proofErr w:type="gramStart"/>
      <w:r w:rsidRPr="00FA4FCE">
        <w:rPr>
          <w:rFonts w:ascii="Times New Roman" w:eastAsia="Times New Roman" w:hAnsi="Times New Roman" w:cs="Times New Roman"/>
          <w:color w:val="000000"/>
          <w:lang w:val="en-US"/>
        </w:rPr>
        <w:t>were removed</w:t>
      </w:r>
      <w:proofErr w:type="gramEnd"/>
      <w:r w:rsidRPr="00FA4FCE">
        <w:rPr>
          <w:rFonts w:ascii="Times New Roman" w:eastAsia="Times New Roman" w:hAnsi="Times New Roman" w:cs="Times New Roman"/>
          <w:color w:val="000000"/>
          <w:lang w:val="en-US"/>
        </w:rPr>
        <w:t xml:space="preserve"> from the training and respective </w:t>
      </w:r>
      <w:r w:rsidR="001E37D8">
        <w:rPr>
          <w:rFonts w:ascii="Times New Roman" w:eastAsia="Times New Roman" w:hAnsi="Times New Roman" w:cs="Times New Roman"/>
          <w:color w:val="000000"/>
          <w:lang w:val="en-US"/>
        </w:rPr>
        <w:t xml:space="preserve">test sets of </w:t>
      </w:r>
      <w:r w:rsidRPr="00FA4FCE">
        <w:rPr>
          <w:rFonts w:ascii="Times New Roman" w:eastAsia="Times New Roman" w:hAnsi="Times New Roman" w:cs="Times New Roman"/>
          <w:color w:val="000000"/>
          <w:lang w:val="en-US"/>
        </w:rPr>
        <w:t>CN</w:t>
      </w:r>
      <w:r w:rsidRPr="00FA4FCE">
        <w:rPr>
          <w:rFonts w:ascii="Times New Roman" w:eastAsia="Times New Roman" w:hAnsi="Times New Roman" w:cs="Times New Roman"/>
          <w:color w:val="000000"/>
          <w:vertAlign w:val="subscript"/>
          <w:lang w:val="en-US"/>
        </w:rPr>
        <w:t xml:space="preserve">ADNI </w:t>
      </w:r>
      <w:r w:rsidR="001E37D8">
        <w:rPr>
          <w:rFonts w:ascii="Times New Roman" w:eastAsia="Times New Roman" w:hAnsi="Times New Roman" w:cs="Times New Roman"/>
          <w:color w:val="000000"/>
          <w:lang w:val="en-US"/>
        </w:rPr>
        <w:t>and CN</w:t>
      </w:r>
      <w:r w:rsidR="001E37D8">
        <w:rPr>
          <w:rFonts w:ascii="Times New Roman" w:eastAsia="Times New Roman" w:hAnsi="Times New Roman" w:cs="Times New Roman"/>
          <w:color w:val="000000"/>
          <w:vertAlign w:val="subscript"/>
          <w:lang w:val="en-US"/>
        </w:rPr>
        <w:t>OASIS.</w:t>
      </w:r>
      <w:r w:rsidRPr="00FA4FCE">
        <w:rPr>
          <w:rFonts w:ascii="Times New Roman" w:eastAsia="Times New Roman" w:hAnsi="Times New Roman" w:cs="Times New Roman"/>
          <w:color w:val="000000"/>
          <w:lang w:val="en-US"/>
        </w:rPr>
        <w:t xml:space="preserve"> Importantly, as previous works have shown, MCI </w:t>
      </w:r>
      <w:r w:rsidR="001E37D8">
        <w:rPr>
          <w:rFonts w:ascii="Times New Roman" w:eastAsia="Times New Roman" w:hAnsi="Times New Roman" w:cs="Times New Roman"/>
          <w:color w:val="000000"/>
          <w:lang w:val="en-US"/>
        </w:rPr>
        <w:t>and even SCD</w:t>
      </w:r>
      <w:r w:rsidRPr="00FA4FCE">
        <w:rPr>
          <w:rFonts w:ascii="Times New Roman" w:eastAsia="Times New Roman" w:hAnsi="Times New Roman" w:cs="Times New Roman"/>
          <w:color w:val="000000"/>
          <w:lang w:val="en-US"/>
        </w:rPr>
        <w:t xml:space="preserve"> </w:t>
      </w:r>
      <w:r w:rsidR="001E37D8" w:rsidRPr="00FA4FCE">
        <w:rPr>
          <w:rFonts w:ascii="Times New Roman" w:eastAsia="Times New Roman" w:hAnsi="Times New Roman" w:cs="Times New Roman"/>
          <w:color w:val="000000"/>
          <w:lang w:val="en-US"/>
        </w:rPr>
        <w:t>subjects</w:t>
      </w:r>
      <w:r w:rsidR="001E37D8">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color w:val="000000"/>
          <w:lang w:val="en-US"/>
        </w:rPr>
        <w:t>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00B52782">
        <w:rPr>
          <w:rFonts w:ascii="Times New Roman" w:eastAsia="Times New Roman" w:hAnsi="Times New Roman" w:cs="Times New Roman"/>
          <w:color w:val="000000"/>
          <w:lang w:val="en-US"/>
        </w:rPr>
        <w:instrText>ADDIN CSL_CITATION {"citationItems":[{"id":"ITEM-1","itemData":{"DOI":"10.1371/journal.pone.0067346","ISSN":"19326203","PMID":"23826273","abstract":"Alzheimer's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ONE","id":"ITEM-1","issue":"6","issued":{"date-parts":[["2013"]]},"page":"e67346","title":"BrainAGE in Mild Cognitive Impaired Patients: Predicting the Conversion to Alzheimer's Disease","type":"article-journal","volume":"8"},"uris":["http://www.mendeley.com/documents/?uuid=8c452047-4521-3e9a-91b5-8a75a8e949ea"]}],"mendeley":{"formattedCitation":"&lt;sup&gt;4&lt;/sup&gt;","plainTextFormattedCitation":"4","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00B52782" w:rsidRPr="00B52782">
        <w:rPr>
          <w:rFonts w:ascii="Times New Roman" w:eastAsia="Times New Roman" w:hAnsi="Times New Roman" w:cs="Times New Roman"/>
          <w:noProof/>
          <w:color w:val="000000"/>
          <w:vertAlign w:val="superscript"/>
          <w:lang w:val="en-US"/>
        </w:rPr>
        <w:t>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Thus, outlier exclusion </w:t>
      </w:r>
      <w:proofErr w:type="gramStart"/>
      <w:r w:rsidRPr="00FA4FCE">
        <w:rPr>
          <w:rFonts w:ascii="Times New Roman" w:eastAsia="Times New Roman" w:hAnsi="Times New Roman" w:cs="Times New Roman"/>
          <w:color w:val="000000"/>
          <w:lang w:val="en-US"/>
        </w:rPr>
        <w:t>was not applied</w:t>
      </w:r>
      <w:proofErr w:type="gramEnd"/>
      <w:r w:rsidRPr="00FA4FCE">
        <w:rPr>
          <w:rFonts w:ascii="Times New Roman" w:eastAsia="Times New Roman" w:hAnsi="Times New Roman" w:cs="Times New Roman"/>
          <w:color w:val="000000"/>
          <w:lang w:val="en-US"/>
        </w:rPr>
        <w:t xml:space="preserve"> to </w:t>
      </w:r>
      <w:r w:rsidR="001E37D8">
        <w:rPr>
          <w:rFonts w:ascii="Times New Roman" w:eastAsia="Times New Roman" w:hAnsi="Times New Roman" w:cs="Times New Roman"/>
          <w:color w:val="000000"/>
          <w:lang w:val="en-US"/>
        </w:rPr>
        <w:t>the patient samples.</w:t>
      </w:r>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F56132" w:rsidRP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lang w:val="en-US"/>
        </w:rPr>
        <w:t xml:space="preserve">For both the support vector, and </w:t>
      </w:r>
      <w:proofErr w:type="gramStart"/>
      <w:r w:rsidRPr="00BB7BA7">
        <w:rPr>
          <w:rFonts w:ascii="Times New Roman" w:hAnsi="Times New Roman" w:cs="Times New Roman"/>
          <w:lang w:val="en-US"/>
        </w:rPr>
        <w:t>relevance vector regression models</w:t>
      </w:r>
      <w:proofErr w:type="gramEnd"/>
      <w:r w:rsidRPr="00BB7BA7">
        <w:rPr>
          <w:rFonts w:ascii="Times New Roman" w:hAnsi="Times New Roman" w:cs="Times New Roman"/>
          <w:lang w:val="en-US"/>
        </w:rPr>
        <w:t>, the following hyperparameters were available for tuning:</w:t>
      </w:r>
    </w:p>
    <w:p w:rsidR="00BB7BA7" w:rsidRDefault="00F56132" w:rsidP="00BB7BA7">
      <w:pPr>
        <w:spacing w:line="480" w:lineRule="auto"/>
        <w:rPr>
          <w:rFonts w:ascii="Times New Roman" w:hAnsi="Times New Roman" w:cs="Times New Roman"/>
          <w:lang w:val="en-US"/>
        </w:rPr>
      </w:pPr>
      <w:r w:rsidRPr="00BB7BA7">
        <w:rPr>
          <w:rFonts w:ascii="Times New Roman" w:hAnsi="Times New Roman" w:cs="Times New Roman"/>
          <w:b/>
          <w:lang w:val="en-US"/>
        </w:rPr>
        <w:t>Kernel</w:t>
      </w:r>
      <w:r w:rsidRPr="00BB7BA7">
        <w:rPr>
          <w:rFonts w:ascii="Times New Roman" w:hAnsi="Times New Roman" w:cs="Times New Roman"/>
          <w:lang w:val="en-US"/>
        </w:rPr>
        <w:t>: [‘linear’, ‘</w:t>
      </w:r>
      <w:proofErr w:type="spellStart"/>
      <w:r w:rsidRPr="00BB7BA7">
        <w:rPr>
          <w:rFonts w:ascii="Times New Roman" w:hAnsi="Times New Roman" w:cs="Times New Roman"/>
          <w:lang w:val="en-US"/>
        </w:rPr>
        <w:t>rbf</w:t>
      </w:r>
      <w:proofErr w:type="spellEnd"/>
      <w:r w:rsidRPr="00BB7BA7">
        <w:rPr>
          <w:rFonts w:ascii="Times New Roman" w:hAnsi="Times New Roman" w:cs="Times New Roman"/>
          <w:lang w:val="en-US"/>
        </w:rPr>
        <w:t>’, ‘poly’</w:t>
      </w:r>
      <w:proofErr w:type="gramStart"/>
      <w:r w:rsidRPr="00BB7BA7">
        <w:rPr>
          <w:rFonts w:ascii="Times New Roman" w:hAnsi="Times New Roman" w:cs="Times New Roman"/>
          <w:lang w:val="en-US"/>
        </w:rPr>
        <w:t>]  #</w:t>
      </w:r>
      <w:proofErr w:type="gramEnd"/>
      <w:r w:rsidRPr="00BB7BA7">
        <w:rPr>
          <w:rFonts w:ascii="Times New Roman" w:hAnsi="Times New Roman" w:cs="Times New Roman"/>
          <w:lang w:val="en-US"/>
        </w:rPr>
        <w:t xml:space="preserve"> kernel type to be used in algorithm</w:t>
      </w:r>
      <w:r w:rsidRPr="00BB7BA7">
        <w:rPr>
          <w:rFonts w:ascii="Times New Roman" w:hAnsi="Times New Roman" w:cs="Times New Roman"/>
          <w:lang w:val="en-US"/>
        </w:rPr>
        <w:br/>
      </w:r>
      <w:r w:rsidRPr="00BB7BA7">
        <w:rPr>
          <w:rFonts w:ascii="Times New Roman" w:hAnsi="Times New Roman" w:cs="Times New Roman"/>
          <w:b/>
          <w:lang w:val="en-US"/>
        </w:rPr>
        <w:t>Degree</w:t>
      </w:r>
      <w:r w:rsidRPr="00BB7BA7">
        <w:rPr>
          <w:rFonts w:ascii="Times New Roman" w:hAnsi="Times New Roman" w:cs="Times New Roman"/>
          <w:lang w:val="en-US"/>
        </w:rPr>
        <w:t>: [2, 3]  # degree if kernel is polynomial</w:t>
      </w:r>
    </w:p>
    <w:p w:rsidR="00BB7BA7" w:rsidRPr="00BB7BA7" w:rsidRDefault="00BB7BA7" w:rsidP="00BB7BA7">
      <w:pPr>
        <w:spacing w:line="480" w:lineRule="auto"/>
        <w:rPr>
          <w:rFonts w:ascii="Times New Roman" w:hAnsi="Times New Roman" w:cs="Times New Roman"/>
          <w:lang w:val="en-US"/>
        </w:rPr>
      </w:pPr>
      <w:r>
        <w:rPr>
          <w:rFonts w:ascii="Times New Roman" w:hAnsi="Times New Roman" w:cs="Times New Roman"/>
          <w:lang w:val="en-US"/>
        </w:rPr>
        <w:t xml:space="preserve">For support vector regression, we additionally tuned the regularization parameter C. </w:t>
      </w:r>
      <w:r w:rsidRPr="00BB7BA7">
        <w:rPr>
          <w:rFonts w:ascii="Times New Roman" w:hAnsi="Times New Roman" w:cs="Times New Roman"/>
          <w:lang w:val="en-US"/>
        </w:rPr>
        <w:t>Unlike support vector regression, relevance vector regression does not involve a margin-based optimization problem that requires C to control the trade-off between fitting the training data and controlling the model complexity.</w:t>
      </w:r>
      <w:r w:rsidR="00F56132" w:rsidRPr="00BB7BA7">
        <w:rPr>
          <w:rFonts w:ascii="Times New Roman" w:hAnsi="Times New Roman" w:cs="Times New Roman"/>
          <w:lang w:val="en-US"/>
        </w:rPr>
        <w:br/>
      </w:r>
      <w:r w:rsidR="00F56132" w:rsidRPr="00BB7BA7">
        <w:rPr>
          <w:rFonts w:ascii="Times New Roman" w:hAnsi="Times New Roman" w:cs="Times New Roman"/>
          <w:b/>
          <w:lang w:val="en-US"/>
        </w:rPr>
        <w:t>C</w:t>
      </w:r>
      <w:r w:rsidR="00F56132" w:rsidRPr="00BB7BA7">
        <w:rPr>
          <w:rFonts w:ascii="Times New Roman" w:hAnsi="Times New Roman" w:cs="Times New Roman"/>
          <w:lang w:val="en-US"/>
        </w:rPr>
        <w:t>: [0.001, 0.01, 0.1, 1, 10, 100, 500</w:t>
      </w:r>
      <w:proofErr w:type="gramStart"/>
      <w:r w:rsidR="00F56132" w:rsidRPr="00BB7BA7">
        <w:rPr>
          <w:rFonts w:ascii="Times New Roman" w:hAnsi="Times New Roman" w:cs="Times New Roman"/>
          <w:lang w:val="en-US"/>
        </w:rPr>
        <w:t>]  #</w:t>
      </w:r>
      <w:proofErr w:type="gramEnd"/>
      <w:r w:rsidR="00F56132" w:rsidRPr="00BB7BA7">
        <w:rPr>
          <w:rFonts w:ascii="Times New Roman" w:hAnsi="Times New Roman" w:cs="Times New Roman"/>
          <w:lang w:val="en-US"/>
        </w:rPr>
        <w:t xml:space="preserve"> regularization parameter (strength of regularization is inversely proportional to C)</w:t>
      </w:r>
    </w:p>
    <w:p w:rsidR="00405BA8" w:rsidRPr="00861901" w:rsidRDefault="00405BA8" w:rsidP="00405BA8">
      <w:pPr>
        <w:pStyle w:val="Listenabsatz"/>
        <w:keepNext/>
        <w:numPr>
          <w:ilvl w:val="0"/>
          <w:numId w:val="4"/>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t>Bias correction</w:t>
      </w:r>
    </w:p>
    <w:p w:rsidR="00405BA8" w:rsidRPr="00FA4FCE" w:rsidRDefault="00405BA8" w:rsidP="00405BA8">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00B52782">
        <w:rPr>
          <w:rFonts w:ascii="Times New Roman" w:eastAsia="Times New Roman" w:hAnsi="Times New Roman" w:cs="Times New Roman"/>
          <w:color w:val="000000"/>
          <w:lang w:val="en-US"/>
        </w:rPr>
        <w:instrText>ADDIN CSL_CITATION {"citationItems":[{"id":"ITEM-1","itemData":{"DOI":"10.1016/j.nicl.2019.102063","ISSN":"22131582","PMID":"31795063","abstract":"The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Clinical","id":"ITEM-1","issued":{"date-parts":[["2019"]]},"page":"102063","title":"Bias-adjustment in neuroimaging-based brain age frameworks: A robust scheme","type":"article-journal","volume":"24"},"uris":["http://www.mendeley.com/documents/?uuid=9e38288c-47a7-3fd8-a73f-0ceebcf7b5e7"]}],"mendeley":{"formattedCitation":"&lt;sup&gt;5&lt;/sup&gt;","plainTextFormattedCitation":"5","previouslyFormattedCitation":"&lt;sup&gt;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00B52782" w:rsidRPr="00B52782">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00B52782">
        <w:rPr>
          <w:rFonts w:ascii="Times New Roman" w:eastAsia="Times New Roman" w:hAnsi="Times New Roman" w:cs="Times New Roman"/>
          <w:color w:val="000000"/>
          <w:lang w:val="en-US"/>
        </w:rPr>
        <w:instrText>ADDIN CSL_CITATION {"citationItems":[{"id":"ITEM-1","itemData":{"DOI":"10.1016/j.nicl.2019.102063","ISSN":"22131582","PMID":"31795063","abstract":"The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Clinical","id":"ITEM-1","issued":{"date-parts":[["2019"]]},"page":"102063","title":"Bias-adjustment in neuroimaging-based brain age frameworks: A robust scheme","type":"article-journal","volume":"24"},"uris":["http://www.mendeley.com/documents/?uuid=9e38288c-47a7-3fd8-a73f-0ceebcf7b5e7"]}],"mendeley":{"formattedCitation":"&lt;sup&gt;5&lt;/sup&gt;","plainTextFormattedCitation":"5","previouslyFormattedCitation":"&lt;sup&gt;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00B52782" w:rsidRPr="00B52782">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t>
      </w:r>
      <w:proofErr w:type="gramStart"/>
      <w:r w:rsidRPr="00FA4FCE">
        <w:rPr>
          <w:rFonts w:ascii="Times New Roman" w:eastAsia="Times New Roman" w:hAnsi="Times New Roman" w:cs="Times New Roman"/>
          <w:color w:val="000000"/>
          <w:lang w:val="en-US"/>
        </w:rPr>
        <w:t>was calculated</w:t>
      </w:r>
      <w:proofErr w:type="gramEnd"/>
      <w:r w:rsidRPr="00FA4FCE">
        <w:rPr>
          <w:rFonts w:ascii="Times New Roman" w:eastAsia="Times New Roman" w:hAnsi="Times New Roman" w:cs="Times New Roman"/>
          <w:color w:val="000000"/>
          <w:lang w:val="en-US"/>
        </w:rPr>
        <w:t xml:space="preserve"> using slope (ɑ) and an intercept (β) as follows:</w:t>
      </w:r>
    </w:p>
    <w:p w:rsidR="00405BA8" w:rsidRPr="00405BA8" w:rsidRDefault="006110AF" w:rsidP="00405BA8">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3D2D6E" w:rsidRDefault="003D2D6E" w:rsidP="00F56132">
      <w:pPr>
        <w:pStyle w:val="Listenabsatz"/>
        <w:numPr>
          <w:ilvl w:val="0"/>
          <w:numId w:val="3"/>
        </w:numPr>
        <w:spacing w:line="480" w:lineRule="auto"/>
        <w:ind w:left="709" w:hanging="709"/>
        <w:rPr>
          <w:rFonts w:ascii="Times New Roman" w:hAnsi="Times New Roman" w:cs="Times New Roman"/>
          <w:b/>
          <w:lang w:val="en-US"/>
        </w:rPr>
      </w:pPr>
      <w:r>
        <w:rPr>
          <w:rFonts w:ascii="Times New Roman" w:hAnsi="Times New Roman" w:cs="Times New Roman"/>
          <w:b/>
          <w:lang w:val="en-US"/>
        </w:rPr>
        <w:t>Feature importance</w:t>
      </w:r>
    </w:p>
    <w:p w:rsidR="003D2D6E" w:rsidRDefault="003D2D6E" w:rsidP="003D2D6E">
      <w:pPr>
        <w:spacing w:line="480" w:lineRule="auto"/>
        <w:rPr>
          <w:rFonts w:ascii="Times New Roman" w:hAnsi="Times New Roman" w:cs="Times New Roman"/>
          <w:lang w:val="en-US"/>
        </w:rPr>
      </w:pPr>
      <w:r>
        <w:rPr>
          <w:rFonts w:ascii="Times New Roman" w:hAnsi="Times New Roman" w:cs="Times New Roman"/>
          <w:lang w:val="en-US"/>
        </w:rPr>
        <w:t>To understand feature importance of our brain age estimation frameworks beyond single brain regions, we summarized AAL atlas regions into lobes as follows:</w:t>
      </w:r>
    </w:p>
    <w:p w:rsidR="003D2D6E" w:rsidRDefault="003D2D6E" w:rsidP="003D2D6E">
      <w:pPr>
        <w:pStyle w:val="Listenabsatz"/>
        <w:numPr>
          <w:ilvl w:val="0"/>
          <w:numId w:val="7"/>
        </w:numPr>
        <w:spacing w:line="480" w:lineRule="auto"/>
        <w:rPr>
          <w:rFonts w:ascii="Times New Roman" w:hAnsi="Times New Roman" w:cs="Times New Roman"/>
          <w:lang w:val="en-US"/>
        </w:rPr>
      </w:pPr>
      <w:r w:rsidRPr="003D2D6E">
        <w:rPr>
          <w:rFonts w:ascii="Times New Roman" w:hAnsi="Times New Roman" w:cs="Times New Roman"/>
          <w:b/>
          <w:lang w:val="en-US"/>
        </w:rPr>
        <w:t>Frontal:</w:t>
      </w:r>
      <w:r>
        <w:rPr>
          <w:rFonts w:ascii="Times New Roman" w:hAnsi="Times New Roman" w:cs="Times New Roman"/>
          <w:lang w:val="en-US"/>
        </w:rPr>
        <w:t xml:space="preserve"> </w:t>
      </w:r>
      <w:proofErr w:type="spellStart"/>
      <w:r>
        <w:rPr>
          <w:rFonts w:ascii="Times New Roman" w:hAnsi="Times New Roman" w:cs="Times New Roman"/>
          <w:lang w:val="en-US"/>
        </w:rPr>
        <w:t>Pr</w:t>
      </w:r>
      <w:r w:rsidRPr="003D2D6E">
        <w:rPr>
          <w:rFonts w:ascii="Times New Roman" w:hAnsi="Times New Roman" w:cs="Times New Roman"/>
          <w:lang w:val="en-US"/>
        </w:rPr>
        <w:t>ecentral_L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Precentral_R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Frontal_Sup_L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Frontal_Sup_R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Frontal_Sup_Orb_L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Frontal_Sup_Orb_R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Frontal_Mid_L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Frontal_Mid_R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Frontal_Mid_Orb_L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Frontal_Mid_Orb_R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Frontal_Inf_Oper_L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Frontal_Inf_Oper_R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Frontal_Inf_Tri_L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Frontal_Inf_Tri_R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Frontal_Inf_Orb_L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Frontal_Inf_Orb_R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Rolandic_Oper_L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Rolandic_Oper_R</w:t>
      </w:r>
      <w:proofErr w:type="spellEnd"/>
      <w:r w:rsidRPr="003D2D6E">
        <w:rPr>
          <w:rFonts w:ascii="Times New Roman" w:hAnsi="Times New Roman" w:cs="Times New Roman"/>
          <w:lang w:val="en-US"/>
        </w:rPr>
        <w:t>,</w:t>
      </w:r>
      <w:r w:rsidRPr="003D2D6E">
        <w:rPr>
          <w:lang w:val="en-US"/>
        </w:rPr>
        <w:t xml:space="preserve"> </w:t>
      </w:r>
      <w:proofErr w:type="spellStart"/>
      <w:r w:rsidRPr="003D2D6E">
        <w:rPr>
          <w:rFonts w:ascii="Times New Roman" w:hAnsi="Times New Roman" w:cs="Times New Roman"/>
          <w:lang w:val="en-US"/>
        </w:rPr>
        <w:t>Supp_Motor_Area_L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Supp_Motor_Area_R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Olfactory_L</w:t>
      </w:r>
      <w:proofErr w:type="spellEnd"/>
      <w:r w:rsidRPr="003D2D6E">
        <w:rPr>
          <w:rFonts w:ascii="Times New Roman" w:hAnsi="Times New Roman" w:cs="Times New Roman"/>
          <w:lang w:val="en-US"/>
        </w:rPr>
        <w:t>,</w:t>
      </w:r>
      <w:r w:rsidRPr="003D2D6E">
        <w:rPr>
          <w:lang w:val="en-US"/>
        </w:rPr>
        <w:t xml:space="preserve"> </w:t>
      </w:r>
      <w:proofErr w:type="spellStart"/>
      <w:r w:rsidRPr="003D2D6E">
        <w:rPr>
          <w:rFonts w:ascii="Times New Roman" w:hAnsi="Times New Roman" w:cs="Times New Roman"/>
          <w:lang w:val="en-US"/>
        </w:rPr>
        <w:t>Olfactory_R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Frontal_Sup_Medial_L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Frontal_Sup_Medial_R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Frontal_Med_Orb_L</w:t>
      </w:r>
      <w:proofErr w:type="spellEnd"/>
      <w:r w:rsidRPr="003D2D6E">
        <w:rPr>
          <w:rFonts w:ascii="Times New Roman" w:hAnsi="Times New Roman" w:cs="Times New Roman"/>
          <w:lang w:val="en-US"/>
        </w:rPr>
        <w:t>,</w:t>
      </w:r>
      <w:r w:rsidRPr="003D2D6E">
        <w:rPr>
          <w:lang w:val="en-US"/>
        </w:rPr>
        <w:t xml:space="preserve"> </w:t>
      </w:r>
      <w:proofErr w:type="spellStart"/>
      <w:r w:rsidRPr="003D2D6E">
        <w:rPr>
          <w:rFonts w:ascii="Times New Roman" w:hAnsi="Times New Roman" w:cs="Times New Roman"/>
          <w:lang w:val="en-US"/>
        </w:rPr>
        <w:t>Frontal_Med_Orb_R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Rectus_L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Rectus_R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Cingulum_Ant_L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Cingulum_Ant_R</w:t>
      </w:r>
      <w:proofErr w:type="spellEnd"/>
    </w:p>
    <w:p w:rsidR="003D2D6E" w:rsidRPr="003D2D6E" w:rsidRDefault="003D2D6E" w:rsidP="003D2D6E">
      <w:pPr>
        <w:pStyle w:val="Listenabsatz"/>
        <w:numPr>
          <w:ilvl w:val="0"/>
          <w:numId w:val="7"/>
        </w:numPr>
        <w:spacing w:line="480" w:lineRule="auto"/>
        <w:rPr>
          <w:rFonts w:ascii="Times New Roman" w:hAnsi="Times New Roman" w:cs="Times New Roman"/>
          <w:lang w:val="en-US"/>
        </w:rPr>
      </w:pPr>
      <w:r w:rsidRPr="003D2D6E">
        <w:rPr>
          <w:rFonts w:ascii="Times New Roman" w:hAnsi="Times New Roman" w:cs="Times New Roman"/>
          <w:b/>
          <w:lang w:val="en-US"/>
        </w:rPr>
        <w:t>Temporal:</w:t>
      </w:r>
      <w:r>
        <w:rPr>
          <w:rFonts w:ascii="Times New Roman" w:hAnsi="Times New Roman" w:cs="Times New Roman"/>
          <w:lang w:val="en-US"/>
        </w:rPr>
        <w:t xml:space="preserve"> </w:t>
      </w:r>
      <w:proofErr w:type="spellStart"/>
      <w:r w:rsidRPr="003D2D6E">
        <w:rPr>
          <w:rFonts w:ascii="Times New Roman" w:hAnsi="Times New Roman" w:cs="Times New Roman"/>
          <w:lang w:val="en-US"/>
        </w:rPr>
        <w:t>Insula_L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Insula_R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Fusiform_L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Fusiform_R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Heschl_L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Heschl_R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Temporal_Sup_L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Temporal_Sup_R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Temporal_Pole_Sup_L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Temporal_Pole_Sup_R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Temporal_Mid_L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Temporal_Mid_R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Temporal_Pole_Mid_L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Temporal_Pole_Mid_R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Temporal_Inf_L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Temporal_Inf_R</w:t>
      </w:r>
      <w:proofErr w:type="spellEnd"/>
    </w:p>
    <w:p w:rsidR="003D2D6E" w:rsidRDefault="003D2D6E" w:rsidP="003D2D6E">
      <w:pPr>
        <w:pStyle w:val="Listenabsatz"/>
        <w:numPr>
          <w:ilvl w:val="0"/>
          <w:numId w:val="7"/>
        </w:numPr>
        <w:spacing w:line="480" w:lineRule="auto"/>
        <w:rPr>
          <w:rFonts w:ascii="Times New Roman" w:hAnsi="Times New Roman" w:cs="Times New Roman"/>
          <w:lang w:val="en-US"/>
        </w:rPr>
      </w:pPr>
      <w:r w:rsidRPr="003D2D6E">
        <w:rPr>
          <w:rFonts w:ascii="Times New Roman" w:hAnsi="Times New Roman" w:cs="Times New Roman"/>
          <w:b/>
          <w:lang w:val="en-US"/>
        </w:rPr>
        <w:t>Limbic:</w:t>
      </w:r>
      <w:r>
        <w:rPr>
          <w:rFonts w:ascii="Times New Roman" w:hAnsi="Times New Roman" w:cs="Times New Roman"/>
          <w:lang w:val="en-US"/>
        </w:rPr>
        <w:t xml:space="preserve"> </w:t>
      </w:r>
      <w:proofErr w:type="spellStart"/>
      <w:r w:rsidRPr="003D2D6E">
        <w:rPr>
          <w:rFonts w:ascii="Times New Roman" w:hAnsi="Times New Roman" w:cs="Times New Roman"/>
          <w:lang w:val="en-US"/>
        </w:rPr>
        <w:t>Cingulum_Mid_L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Cingulum_Mid_R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Cingulum_Post_L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Cingulum_Post_R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Hippocampus_L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Hippocampus_R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ParaHippocampal_L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ParaHippocampal_R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Amygdala_L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Amygdala_R</w:t>
      </w:r>
      <w:proofErr w:type="spellEnd"/>
    </w:p>
    <w:p w:rsidR="003D2D6E" w:rsidRDefault="003D2D6E" w:rsidP="003D2D6E">
      <w:pPr>
        <w:pStyle w:val="Listenabsatz"/>
        <w:numPr>
          <w:ilvl w:val="0"/>
          <w:numId w:val="7"/>
        </w:numPr>
        <w:spacing w:line="480" w:lineRule="auto"/>
        <w:rPr>
          <w:rFonts w:ascii="Times New Roman" w:hAnsi="Times New Roman" w:cs="Times New Roman"/>
          <w:lang w:val="en-US"/>
        </w:rPr>
      </w:pPr>
      <w:r w:rsidRPr="003D2D6E">
        <w:rPr>
          <w:rFonts w:ascii="Times New Roman" w:hAnsi="Times New Roman" w:cs="Times New Roman"/>
          <w:b/>
          <w:lang w:val="en-US"/>
        </w:rPr>
        <w:t>Occipital:</w:t>
      </w:r>
      <w:r>
        <w:rPr>
          <w:rFonts w:ascii="Times New Roman" w:hAnsi="Times New Roman" w:cs="Times New Roman"/>
          <w:lang w:val="en-US"/>
        </w:rPr>
        <w:t xml:space="preserve"> </w:t>
      </w:r>
      <w:proofErr w:type="spellStart"/>
      <w:r w:rsidRPr="003D2D6E">
        <w:rPr>
          <w:rFonts w:ascii="Times New Roman" w:hAnsi="Times New Roman" w:cs="Times New Roman"/>
          <w:lang w:val="en-US"/>
        </w:rPr>
        <w:t>Calcarine_L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Calcarine_R</w:t>
      </w:r>
      <w:proofErr w:type="spellEnd"/>
      <w:r w:rsidRPr="003D2D6E">
        <w:rPr>
          <w:rFonts w:ascii="Times New Roman" w:hAnsi="Times New Roman" w:cs="Times New Roman"/>
          <w:lang w:val="en-US"/>
        </w:rPr>
        <w:t>,</w:t>
      </w:r>
      <w:r w:rsidRPr="003D2D6E">
        <w:rPr>
          <w:lang w:val="en-US"/>
        </w:rPr>
        <w:t xml:space="preserve"> </w:t>
      </w:r>
      <w:proofErr w:type="spellStart"/>
      <w:r w:rsidRPr="003D2D6E">
        <w:rPr>
          <w:rFonts w:ascii="Times New Roman" w:hAnsi="Times New Roman" w:cs="Times New Roman"/>
          <w:lang w:val="en-US"/>
        </w:rPr>
        <w:t>Lingual_L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Lingual_R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Occipital_Sup_L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Occipital_Sup_R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Occipital_Mid_L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Occipital_Mid_R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Occipital_Inf_L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Occipital_Inf_R</w:t>
      </w:r>
      <w:proofErr w:type="spellEnd"/>
    </w:p>
    <w:p w:rsidR="003D2D6E" w:rsidRDefault="003D2D6E" w:rsidP="003D2D6E">
      <w:pPr>
        <w:pStyle w:val="Listenabsatz"/>
        <w:numPr>
          <w:ilvl w:val="0"/>
          <w:numId w:val="7"/>
        </w:numPr>
        <w:spacing w:line="480" w:lineRule="auto"/>
        <w:rPr>
          <w:rFonts w:ascii="Times New Roman" w:hAnsi="Times New Roman" w:cs="Times New Roman"/>
          <w:lang w:val="en-US"/>
        </w:rPr>
      </w:pPr>
      <w:r w:rsidRPr="003D2D6E">
        <w:rPr>
          <w:rFonts w:ascii="Times New Roman" w:hAnsi="Times New Roman" w:cs="Times New Roman"/>
          <w:b/>
          <w:lang w:val="en-US"/>
        </w:rPr>
        <w:t>Parietal:</w:t>
      </w:r>
      <w:r>
        <w:rPr>
          <w:rFonts w:ascii="Times New Roman" w:hAnsi="Times New Roman" w:cs="Times New Roman"/>
          <w:lang w:val="en-US"/>
        </w:rPr>
        <w:t xml:space="preserve"> </w:t>
      </w:r>
      <w:proofErr w:type="spellStart"/>
      <w:r w:rsidRPr="003D2D6E">
        <w:rPr>
          <w:rFonts w:ascii="Times New Roman" w:hAnsi="Times New Roman" w:cs="Times New Roman"/>
          <w:lang w:val="en-US"/>
        </w:rPr>
        <w:t>Cuneus_L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Cuneus_R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Postcentral_L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Postcentral_R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Parietal_Sup_L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Parietal_Sup_R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Parietal_Inf_L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Parietal_Inf_R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SupraMarginal_L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SupraMarginal_R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Angular_L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Angular_R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Precuneus_L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Precuneus_R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Paracentral_Lobule_L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Paracentral_Lobule_R</w:t>
      </w:r>
      <w:proofErr w:type="spellEnd"/>
    </w:p>
    <w:p w:rsidR="003D2D6E" w:rsidRPr="003E2040" w:rsidRDefault="003D2D6E" w:rsidP="003D2D6E">
      <w:pPr>
        <w:pStyle w:val="Listenabsatz"/>
        <w:numPr>
          <w:ilvl w:val="0"/>
          <w:numId w:val="7"/>
        </w:numPr>
        <w:spacing w:line="480" w:lineRule="auto"/>
        <w:rPr>
          <w:rFonts w:ascii="Times New Roman" w:hAnsi="Times New Roman" w:cs="Times New Roman"/>
          <w:b/>
          <w:lang w:val="en-US"/>
        </w:rPr>
      </w:pPr>
      <w:r w:rsidRPr="003D2D6E">
        <w:rPr>
          <w:rFonts w:ascii="Times New Roman" w:hAnsi="Times New Roman" w:cs="Times New Roman"/>
          <w:b/>
          <w:lang w:val="en-US"/>
        </w:rPr>
        <w:t>Subcortical:</w:t>
      </w:r>
      <w:r w:rsidRPr="003D2D6E">
        <w:rPr>
          <w:lang w:val="en-US"/>
        </w:rPr>
        <w:t xml:space="preserve"> </w:t>
      </w:r>
      <w:proofErr w:type="spellStart"/>
      <w:r w:rsidRPr="003D2D6E">
        <w:rPr>
          <w:rFonts w:ascii="Times New Roman" w:hAnsi="Times New Roman" w:cs="Times New Roman"/>
          <w:lang w:val="en-US"/>
        </w:rPr>
        <w:t>Caudate_L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Caudate_R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Putamen_L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Putamen_R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Pallidum_L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Pallidum_R</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Thalamus_L</w:t>
      </w:r>
      <w:proofErr w:type="spellEnd"/>
      <w:r w:rsidRPr="003D2D6E">
        <w:rPr>
          <w:rFonts w:ascii="Times New Roman" w:hAnsi="Times New Roman" w:cs="Times New Roman"/>
          <w:lang w:val="en-US"/>
        </w:rPr>
        <w:t>,</w:t>
      </w:r>
      <w:r>
        <w:rPr>
          <w:rFonts w:ascii="Times New Roman" w:hAnsi="Times New Roman" w:cs="Times New Roman"/>
          <w:lang w:val="en-US"/>
        </w:rPr>
        <w:t xml:space="preserve"> </w:t>
      </w:r>
      <w:proofErr w:type="spellStart"/>
      <w:r w:rsidRPr="003D2D6E">
        <w:rPr>
          <w:rFonts w:ascii="Times New Roman" w:hAnsi="Times New Roman" w:cs="Times New Roman"/>
          <w:lang w:val="en-US"/>
        </w:rPr>
        <w:t>Thalamus_R</w:t>
      </w:r>
      <w:proofErr w:type="spellEnd"/>
    </w:p>
    <w:p w:rsidR="003E2040" w:rsidRPr="003E2040" w:rsidRDefault="003E2040" w:rsidP="003E2040">
      <w:pPr>
        <w:spacing w:line="480" w:lineRule="auto"/>
        <w:rPr>
          <w:rFonts w:ascii="Times New Roman" w:hAnsi="Times New Roman" w:cs="Times New Roman"/>
          <w:b/>
          <w:lang w:val="en-US"/>
        </w:rPr>
      </w:pPr>
    </w:p>
    <w:p w:rsidR="00B03F94" w:rsidRPr="007E19FA" w:rsidRDefault="00B03F94" w:rsidP="00F56132">
      <w:pPr>
        <w:pStyle w:val="Listenabsatz"/>
        <w:numPr>
          <w:ilvl w:val="0"/>
          <w:numId w:val="3"/>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lastRenderedPageBreak/>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 xml:space="preserve">The ADNI-MEM combines several scores used to evaluate individuals’ memory performance from the Rey Auditory Verbal Learning Test, </w:t>
      </w:r>
      <w:proofErr w:type="gramStart"/>
      <w:r w:rsidRPr="00FA4FCE">
        <w:rPr>
          <w:rFonts w:ascii="Times New Roman" w:eastAsia="Times New Roman" w:hAnsi="Times New Roman" w:cs="Times New Roman"/>
          <w:color w:val="000000"/>
          <w:lang w:val="en-US"/>
        </w:rPr>
        <w:t>Alzheimer’s Disease</w:t>
      </w:r>
      <w:proofErr w:type="gramEnd"/>
      <w:r w:rsidRPr="00FA4FCE">
        <w:rPr>
          <w:rFonts w:ascii="Times New Roman" w:eastAsia="Times New Roman" w:hAnsi="Times New Roman" w:cs="Times New Roman"/>
          <w:color w:val="000000"/>
          <w:lang w:val="en-US"/>
        </w:rPr>
        <w:t xml:space="preserve"> Assessment Scale and Mini Mental State Exam. The ADNI-EF is a summary score of several executive function tasks: Category Fluency, Trails, 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proofErr w:type="gramStart"/>
      <w:r w:rsidR="008A5776" w:rsidRPr="00FA4FCE">
        <w:rPr>
          <w:rFonts w:ascii="Times New Roman" w:eastAsia="Times New Roman" w:hAnsi="Times New Roman" w:cs="Times New Roman"/>
          <w:color w:val="000000"/>
          <w:lang w:val="en-US"/>
        </w:rPr>
        <w:t>were tested</w:t>
      </w:r>
      <w:proofErr w:type="gramEnd"/>
      <w:r w:rsidR="008A5776" w:rsidRPr="00FA4FCE">
        <w:rPr>
          <w:rFonts w:ascii="Times New Roman" w:eastAsia="Times New Roman" w:hAnsi="Times New Roman" w:cs="Times New Roman"/>
          <w:color w:val="000000"/>
          <w:lang w:val="en-US"/>
        </w:rPr>
        <w:t xml:space="preserve"> against a Bonferroni-corrected α-level of .025 (0.05/2). </w:t>
      </w:r>
    </w:p>
    <w:p w:rsidR="00B03F94" w:rsidRPr="007E19FA" w:rsidRDefault="00B03F94" w:rsidP="00F56132">
      <w:pPr>
        <w:pStyle w:val="Listenabsatz"/>
        <w:numPr>
          <w:ilvl w:val="0"/>
          <w:numId w:val="3"/>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3E2040" w:rsidRDefault="00B03F94" w:rsidP="003D2D6E">
      <w:pPr>
        <w:spacing w:line="480" w:lineRule="auto"/>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For AV45-PET, mean SUVR are publicly available from previous analyses</w:t>
      </w:r>
      <w:r w:rsidRPr="00FA4FCE">
        <w:rPr>
          <w:rStyle w:val="Funotenzeichen"/>
          <w:rFonts w:ascii="Times New Roman" w:hAnsi="Times New Roman" w:cs="Times New Roman"/>
          <w:iCs/>
          <w:lang w:val="en-GB"/>
        </w:rPr>
        <w:fldChar w:fldCharType="begin" w:fldLock="1"/>
      </w:r>
      <w:r w:rsidR="00B52782">
        <w:rPr>
          <w:rFonts w:ascii="Times New Roman" w:hAnsi="Times New Roman" w:cs="Times New Roman"/>
          <w:iCs/>
          <w:lang w:val="en-GB"/>
        </w:rPr>
        <w:instrText>ADDIN CSL_CITATION {"citationItems":[{"id":"ITEM-1","itemData":{"abstract":"ADNI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-1","issued":{"date-parts":[["2011"]]},"title":"Florbetapir processing methods","type":"report"},"uris":["http://www.mendeley.com/documents/?uuid=c1e6f39f-96f6-37d8-8f45-223d1cbae16a"]}],"mendeley":{"formattedCitation":"&lt;sup&gt;6&lt;/sup&gt;","plainTextFormattedCitation":"6","previouslyFormattedCitation":"&lt;sup&gt;8&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00B52782" w:rsidRPr="00B52782">
        <w:rPr>
          <w:rFonts w:ascii="Times New Roman" w:hAnsi="Times New Roman" w:cs="Times New Roman"/>
          <w:bCs/>
          <w:iCs/>
          <w:noProof/>
          <w:vertAlign w:val="superscript"/>
          <w:lang w:val="en-US"/>
        </w:rPr>
        <w:t>6</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00F56132">
        <w:rPr>
          <w:rFonts w:ascii="Times New Roman" w:eastAsia="Times New Roman" w:hAnsi="Times New Roman" w:cs="Times New Roman"/>
          <w:color w:val="000000"/>
          <w:lang w:val="en-US"/>
        </w:rPr>
        <w:t>/</w:t>
      </w:r>
      <w:r w:rsidR="00F56132" w:rsidRPr="00F56132">
        <w:rPr>
          <w:rFonts w:ascii="Times New Roman" w:hAnsi="Times New Roman" w:cs="Times New Roman"/>
          <w:lang w:val="en-US"/>
        </w:rPr>
        <w:t xml:space="preserve"> </w:t>
      </w:r>
      <w:r w:rsidR="00F56132" w:rsidRPr="00FA4FCE">
        <w:rPr>
          <w:rFonts w:ascii="Times New Roman" w:hAnsi="Times New Roman" w:cs="Times New Roman"/>
          <w:lang w:val="en-US"/>
        </w:rPr>
        <w:t>Aβ</w:t>
      </w:r>
      <w:r w:rsidR="00F56132" w:rsidRPr="00FA4FCE">
        <w:rPr>
          <w:rFonts w:ascii="Times New Roman" w:hAnsi="Times New Roman" w:cs="Times New Roman"/>
          <w:vertAlign w:val="subscript"/>
          <w:lang w:val="en-US"/>
        </w:rPr>
        <w:t>1-42</w:t>
      </w:r>
      <w:r w:rsidRPr="00FA4FCE">
        <w:rPr>
          <w:rFonts w:ascii="Times New Roman" w:eastAsia="Times New Roman" w:hAnsi="Times New Roman" w:cs="Times New Roman"/>
          <w:color w:val="000000"/>
          <w:lang w:val="en-US"/>
        </w:rPr>
        <w:t xml:space="preserve"> were acquired via lumbar puncture and analyzed using the Roche </w:t>
      </w:r>
      <w:proofErr w:type="spellStart"/>
      <w:r w:rsidRPr="00FA4FCE">
        <w:rPr>
          <w:rFonts w:ascii="Times New Roman" w:eastAsia="Times New Roman" w:hAnsi="Times New Roman" w:cs="Times New Roman"/>
          <w:color w:val="000000"/>
          <w:lang w:val="en-US"/>
        </w:rPr>
        <w:t>Elecsys</w:t>
      </w:r>
      <w:proofErr w:type="spellEnd"/>
      <w:r w:rsidRPr="00FA4FCE">
        <w:rPr>
          <w:rFonts w:ascii="Times New Roman" w:eastAsia="Times New Roman" w:hAnsi="Times New Roman" w:cs="Times New Roman"/>
          <w:color w:val="000000"/>
          <w:lang w:val="en-US"/>
        </w:rPr>
        <w:t>® immunoassays</w:t>
      </w:r>
      <w:r w:rsidRPr="00FA4FCE">
        <w:rPr>
          <w:rFonts w:ascii="Times New Roman" w:eastAsia="Times New Roman" w:hAnsi="Times New Roman" w:cs="Times New Roman"/>
          <w:color w:val="000000"/>
          <w:lang w:val="en-US"/>
        </w:rPr>
        <w:fldChar w:fldCharType="begin" w:fldLock="1"/>
      </w:r>
      <w:r w:rsidR="00B52782">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7&lt;/sup&gt;","plainTextFormattedCitation":"7","previouslyFormattedCitation":"&lt;sup&gt;9&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00B52782" w:rsidRPr="00B52782">
        <w:rPr>
          <w:rFonts w:ascii="Times New Roman" w:eastAsia="Times New Roman" w:hAnsi="Times New Roman" w:cs="Times New Roman"/>
          <w:noProof/>
          <w:color w:val="000000"/>
          <w:vertAlign w:val="superscript"/>
          <w:lang w:val="en-US"/>
        </w:rPr>
        <w:t>7</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t>
      </w:r>
      <w:proofErr w:type="gramStart"/>
      <w:r w:rsidR="008A5776">
        <w:rPr>
          <w:rFonts w:ascii="Times New Roman" w:eastAsia="Times New Roman" w:hAnsi="Times New Roman" w:cs="Times New Roman"/>
          <w:color w:val="000000"/>
          <w:lang w:val="en-US"/>
        </w:rPr>
        <w:t>were tested</w:t>
      </w:r>
      <w:proofErr w:type="gramEnd"/>
      <w:r w:rsidR="008A5776">
        <w:rPr>
          <w:rFonts w:ascii="Times New Roman" w:eastAsia="Times New Roman" w:hAnsi="Times New Roman" w:cs="Times New Roman"/>
          <w:color w:val="000000"/>
          <w:lang w:val="en-US"/>
        </w:rPr>
        <w:t xml:space="preserve">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F56132">
        <w:rPr>
          <w:rFonts w:ascii="Times New Roman" w:eastAsia="Times New Roman" w:hAnsi="Times New Roman" w:cs="Times New Roman"/>
          <w:color w:val="000000"/>
          <w:lang w:val="en-US"/>
        </w:rPr>
        <w:t>0.0125 (0.05/2</w:t>
      </w:r>
      <w:r w:rsidR="008A5776" w:rsidRPr="00FA4FCE">
        <w:rPr>
          <w:rFonts w:ascii="Times New Roman" w:eastAsia="Times New Roman" w:hAnsi="Times New Roman" w:cs="Times New Roman"/>
          <w:color w:val="000000"/>
          <w:lang w:val="en-US"/>
        </w:rPr>
        <w:t>).</w:t>
      </w:r>
    </w:p>
    <w:p w:rsidR="003E2040" w:rsidRDefault="003E2040">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br w:type="page"/>
      </w: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lastRenderedPageBreak/>
        <w:t>Results</w:t>
      </w:r>
    </w:p>
    <w:p w:rsidR="0022020A" w:rsidRDefault="0022020A" w:rsidP="0022020A">
      <w:pPr>
        <w:pStyle w:val="Listenabsatz"/>
        <w:numPr>
          <w:ilvl w:val="1"/>
          <w:numId w:val="2"/>
        </w:numPr>
        <w:ind w:left="709" w:hanging="643"/>
        <w:rPr>
          <w:rFonts w:ascii="Times New Roman" w:hAnsi="Times New Roman" w:cs="Times New Roman"/>
          <w:b/>
          <w:lang w:val="en-US"/>
        </w:rPr>
      </w:pPr>
      <w:r>
        <w:rPr>
          <w:rFonts w:ascii="Times New Roman" w:hAnsi="Times New Roman" w:cs="Times New Roman"/>
          <w:b/>
          <w:lang w:val="en-US"/>
        </w:rPr>
        <w:t>Bias correction</w:t>
      </w:r>
    </w:p>
    <w:p w:rsidR="0022020A" w:rsidRDefault="0022020A" w:rsidP="0022020A">
      <w:pPr>
        <w:rPr>
          <w:rFonts w:ascii="Times New Roman" w:hAnsi="Times New Roman" w:cs="Times New Roman"/>
          <w:lang w:val="en-US"/>
        </w:rPr>
      </w:pPr>
      <w:r w:rsidRPr="0022020A">
        <w:rPr>
          <w:rFonts w:ascii="Times New Roman" w:hAnsi="Times New Roman" w:cs="Times New Roman"/>
          <w:lang w:val="en-US"/>
        </w:rPr>
        <w:t>Bias</w:t>
      </w:r>
      <w:r>
        <w:rPr>
          <w:rFonts w:ascii="Times New Roman" w:hAnsi="Times New Roman" w:cs="Times New Roman"/>
          <w:lang w:val="en-US"/>
        </w:rPr>
        <w:t xml:space="preserve"> correction successfully removed bias in </w:t>
      </w:r>
      <w:r w:rsidR="001B6EC7">
        <w:rPr>
          <w:rFonts w:ascii="Times New Roman" w:hAnsi="Times New Roman" w:cs="Times New Roman"/>
          <w:lang w:val="en-US"/>
        </w:rPr>
        <w:t>all samples except the MRI-based MCI</w:t>
      </w:r>
      <w:r w:rsidR="001B6EC7">
        <w:rPr>
          <w:rFonts w:ascii="Times New Roman" w:hAnsi="Times New Roman" w:cs="Times New Roman"/>
          <w:vertAlign w:val="subscript"/>
          <w:lang w:val="en-US"/>
        </w:rPr>
        <w:t>ADNI</w:t>
      </w:r>
      <w:r>
        <w:rPr>
          <w:rFonts w:ascii="Times New Roman" w:hAnsi="Times New Roman" w:cs="Times New Roman"/>
          <w:lang w:val="en-US"/>
        </w:rPr>
        <w:t xml:space="preserve"> </w:t>
      </w:r>
      <w:r w:rsidR="001B6EC7">
        <w:rPr>
          <w:rFonts w:ascii="Times New Roman" w:hAnsi="Times New Roman" w:cs="Times New Roman"/>
          <w:lang w:val="en-US"/>
        </w:rPr>
        <w:t>predictions</w:t>
      </w:r>
      <w:r>
        <w:rPr>
          <w:rFonts w:ascii="Times New Roman" w:hAnsi="Times New Roman" w:cs="Times New Roman"/>
          <w:lang w:val="en-US"/>
        </w:rPr>
        <w:t>.</w:t>
      </w:r>
    </w:p>
    <w:tbl>
      <w:tblPr>
        <w:tblStyle w:val="Tabellenraster"/>
        <w:tblW w:w="6237" w:type="dxa"/>
        <w:tblLook w:val="04A0" w:firstRow="1" w:lastRow="0" w:firstColumn="1" w:lastColumn="0" w:noHBand="0" w:noVBand="1"/>
      </w:tblPr>
      <w:tblGrid>
        <w:gridCol w:w="1412"/>
        <w:gridCol w:w="1423"/>
        <w:gridCol w:w="993"/>
        <w:gridCol w:w="2409"/>
      </w:tblGrid>
      <w:tr w:rsidR="000A387E" w:rsidRPr="003D2D6E" w:rsidTr="000A387E">
        <w:trPr>
          <w:trHeight w:val="633"/>
        </w:trPr>
        <w:tc>
          <w:tcPr>
            <w:tcW w:w="6237" w:type="dxa"/>
            <w:gridSpan w:val="4"/>
            <w:tcBorders>
              <w:top w:val="single" w:sz="4" w:space="0" w:color="auto"/>
              <w:left w:val="nil"/>
              <w:bottom w:val="nil"/>
              <w:right w:val="nil"/>
            </w:tcBorders>
            <w:vAlign w:val="center"/>
          </w:tcPr>
          <w:p w:rsidR="000A387E" w:rsidRPr="000A387E" w:rsidRDefault="000A387E" w:rsidP="003F6D67">
            <w:pPr>
              <w:rPr>
                <w:rFonts w:ascii="Times New Roman" w:eastAsia="Times New Roman" w:hAnsi="Times New Roman" w:cs="Times New Roman"/>
                <w:b/>
                <w:color w:val="000000"/>
                <w:lang w:val="en-US"/>
              </w:rPr>
            </w:pPr>
            <w:r w:rsidRPr="000A387E">
              <w:rPr>
                <w:rFonts w:ascii="Times New Roman" w:eastAsia="Times New Roman" w:hAnsi="Times New Roman" w:cs="Times New Roman"/>
                <w:b/>
                <w:color w:val="000000"/>
                <w:lang w:val="en-US"/>
              </w:rPr>
              <w:t>Table SM</w:t>
            </w:r>
            <w:r w:rsidR="003F6D67">
              <w:rPr>
                <w:rFonts w:ascii="Times New Roman" w:eastAsia="Times New Roman" w:hAnsi="Times New Roman" w:cs="Times New Roman"/>
                <w:b/>
                <w:color w:val="000000"/>
                <w:lang w:val="en-US"/>
              </w:rPr>
              <w:t>1</w:t>
            </w:r>
            <w:r w:rsidRPr="000A387E">
              <w:rPr>
                <w:rFonts w:ascii="Times New Roman" w:eastAsia="Times New Roman" w:hAnsi="Times New Roman" w:cs="Times New Roman"/>
                <w:b/>
                <w:color w:val="000000"/>
                <w:lang w:val="en-US"/>
              </w:rPr>
              <w:t>. Remaining correlation between BAG and age after bias correction in all cohorts</w:t>
            </w:r>
          </w:p>
        </w:tc>
      </w:tr>
      <w:tr w:rsidR="0022020A" w:rsidTr="000A387E">
        <w:trPr>
          <w:trHeight w:val="633"/>
        </w:trPr>
        <w:tc>
          <w:tcPr>
            <w:tcW w:w="1412" w:type="dxa"/>
            <w:tcBorders>
              <w:top w:val="single" w:sz="4" w:space="0" w:color="auto"/>
              <w:left w:val="nil"/>
              <w:bottom w:val="nil"/>
              <w:right w:val="nil"/>
            </w:tcBorders>
            <w:vAlign w:val="center"/>
          </w:tcPr>
          <w:p w:rsidR="0022020A" w:rsidRDefault="0022020A" w:rsidP="004167B8">
            <w:pPr>
              <w:rPr>
                <w:rFonts w:ascii="Times New Roman" w:eastAsia="Times New Roman" w:hAnsi="Times New Roman" w:cs="Times New Roman"/>
                <w:color w:val="000000"/>
                <w:lang w:val="en-US"/>
              </w:rPr>
            </w:pPr>
          </w:p>
        </w:tc>
        <w:tc>
          <w:tcPr>
            <w:tcW w:w="142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Modality</w:t>
            </w:r>
          </w:p>
        </w:tc>
        <w:tc>
          <w:tcPr>
            <w:tcW w:w="993" w:type="dxa"/>
            <w:tcBorders>
              <w:top w:val="single" w:sz="4" w:space="0" w:color="auto"/>
              <w:left w:val="nil"/>
              <w:bottom w:val="single" w:sz="4" w:space="0" w:color="auto"/>
              <w:right w:val="nil"/>
            </w:tcBorders>
            <w:vAlign w:val="center"/>
          </w:tcPr>
          <w:p w:rsidR="0022020A" w:rsidRPr="00FC0A95" w:rsidRDefault="0022020A" w:rsidP="004167B8">
            <w:pPr>
              <w:jc w:val="center"/>
              <w:rPr>
                <w:rFonts w:ascii="Times New Roman" w:eastAsia="Times New Roman" w:hAnsi="Times New Roman" w:cs="Times New Roman"/>
                <w:i/>
                <w:color w:val="000000"/>
                <w:lang w:val="en-US"/>
              </w:rPr>
            </w:pPr>
            <w:r w:rsidRPr="00FC0A95">
              <w:rPr>
                <w:rFonts w:ascii="Times New Roman" w:eastAsia="Times New Roman" w:hAnsi="Times New Roman" w:cs="Times New Roman"/>
                <w:i/>
                <w:color w:val="000000"/>
                <w:lang w:val="en-US"/>
              </w:rPr>
              <w:t>n</w:t>
            </w:r>
          </w:p>
        </w:tc>
        <w:tc>
          <w:tcPr>
            <w:tcW w:w="2409" w:type="dxa"/>
            <w:tcBorders>
              <w:top w:val="single" w:sz="4" w:space="0" w:color="auto"/>
              <w:left w:val="nil"/>
              <w:bottom w:val="single" w:sz="4" w:space="0" w:color="auto"/>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Bias</w:t>
            </w:r>
          </w:p>
        </w:tc>
      </w:tr>
      <w:tr w:rsidR="0022020A" w:rsidTr="000A387E">
        <w:trPr>
          <w:trHeight w:val="431"/>
        </w:trPr>
        <w:tc>
          <w:tcPr>
            <w:tcW w:w="1412" w:type="dxa"/>
            <w:vMerge w:val="restart"/>
            <w:tcBorders>
              <w:top w:val="single" w:sz="4" w:space="0" w:color="auto"/>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per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ADNI</w:t>
            </w:r>
          </w:p>
        </w:tc>
        <w:tc>
          <w:tcPr>
            <w:tcW w:w="1423" w:type="dxa"/>
            <w:tcBorders>
              <w:top w:val="single" w:sz="4" w:space="0" w:color="auto"/>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single" w:sz="4" w:space="0" w:color="auto"/>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single" w:sz="4" w:space="0" w:color="auto"/>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.016</w:t>
            </w:r>
          </w:p>
          <w:p w:rsidR="000A387E" w:rsidRDefault="000A387E" w:rsidP="000A387E">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[-.13, .16]</w:t>
            </w:r>
          </w:p>
        </w:tc>
      </w:tr>
      <w:tr w:rsidR="0022020A" w:rsidTr="000A387E">
        <w:trPr>
          <w:trHeight w:val="432"/>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175</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-.022</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[--.17, .13]</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OASIS</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-.149</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[-.37, .09]</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Pr="00FC0A95" w:rsidRDefault="0022020A" w:rsidP="004167B8">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49</w:t>
            </w:r>
            <w:r>
              <w:rPr>
                <w:rFonts w:ascii="Times New Roman" w:eastAsia="Times New Roman" w:hAnsi="Times New Roman" w:cs="Times New Roman"/>
                <w:color w:val="000000"/>
                <w:vertAlign w:val="superscript"/>
                <w:lang w:val="en-US"/>
              </w:rPr>
              <w:t>+</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-.058</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[-.29, .18]</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SCD</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-.075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[-.27, .12]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-.055</w:t>
            </w:r>
          </w:p>
          <w:p w:rsidR="000A387E"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[-.25, .14]</w:t>
            </w:r>
          </w:p>
        </w:tc>
      </w:tr>
      <w:tr w:rsidR="0022020A" w:rsidTr="000A387E">
        <w:trPr>
          <w:trHeight w:val="340"/>
        </w:trPr>
        <w:tc>
          <w:tcPr>
            <w:tcW w:w="1412" w:type="dxa"/>
            <w:vMerge w:val="restart"/>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MCI</w:t>
            </w:r>
            <w:r w:rsidRPr="005A2617">
              <w:rPr>
                <w:rFonts w:ascii="Times New Roman" w:eastAsia="Times New Roman" w:hAnsi="Times New Roman" w:cs="Times New Roman"/>
                <w:b/>
                <w:color w:val="000000"/>
                <w:vertAlign w:val="subscript"/>
                <w:lang w:val="en-US"/>
              </w:rPr>
              <w:t>ADNI</w:t>
            </w: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0A387E"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.14</w:t>
            </w:r>
            <w:r w:rsidR="00437A1D">
              <w:rPr>
                <w:rFonts w:ascii="Times New Roman" w:eastAsia="Times New Roman" w:hAnsi="Times New Roman" w:cs="Times New Roman"/>
                <w:color w:val="000000"/>
                <w:lang w:val="en-US"/>
              </w:rPr>
              <w:t>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 .22]</w:t>
            </w:r>
          </w:p>
        </w:tc>
      </w:tr>
      <w:tr w:rsidR="0022020A" w:rsidTr="000A387E">
        <w:trPr>
          <w:trHeight w:val="340"/>
        </w:trPr>
        <w:tc>
          <w:tcPr>
            <w:tcW w:w="1412" w:type="dxa"/>
            <w:vMerge/>
            <w:tcBorders>
              <w:top w:val="nil"/>
              <w:left w:val="nil"/>
              <w:bottom w:val="nil"/>
              <w:right w:val="nil"/>
            </w:tcBorders>
            <w:vAlign w:val="center"/>
          </w:tcPr>
          <w:p w:rsidR="0022020A" w:rsidRPr="005A2617" w:rsidRDefault="0022020A" w:rsidP="004167B8">
            <w:pPr>
              <w:rPr>
                <w:rFonts w:ascii="Times New Roman" w:eastAsia="Times New Roman" w:hAnsi="Times New Roman" w:cs="Times New Roman"/>
                <w:b/>
                <w:color w:val="000000"/>
                <w:lang w:val="en-US"/>
              </w:rPr>
            </w:pPr>
          </w:p>
        </w:tc>
        <w:tc>
          <w:tcPr>
            <w:tcW w:w="142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993" w:type="dxa"/>
            <w:tcBorders>
              <w:top w:val="nil"/>
              <w:left w:val="nil"/>
              <w:bottom w:val="nil"/>
              <w:right w:val="nil"/>
            </w:tcBorders>
            <w:vAlign w:val="center"/>
          </w:tcPr>
          <w:p w:rsidR="0022020A" w:rsidRDefault="0022020A"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 = .030</w:t>
            </w:r>
          </w:p>
          <w:p w:rsidR="00437A1D" w:rsidRDefault="00437A1D" w:rsidP="004167B8">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[-.05, .11]</w:t>
            </w:r>
          </w:p>
        </w:tc>
      </w:tr>
      <w:tr w:rsidR="0022020A" w:rsidRPr="00653EC0" w:rsidTr="000A387E">
        <w:trPr>
          <w:trHeight w:val="340"/>
        </w:trPr>
        <w:tc>
          <w:tcPr>
            <w:tcW w:w="1412" w:type="dxa"/>
            <w:tcBorders>
              <w:top w:val="nil"/>
              <w:left w:val="nil"/>
              <w:bottom w:val="nil"/>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SCD</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FDG-PET</w:t>
            </w:r>
          </w:p>
        </w:tc>
        <w:tc>
          <w:tcPr>
            <w:tcW w:w="993" w:type="dxa"/>
            <w:tcBorders>
              <w:top w:val="nil"/>
              <w:left w:val="nil"/>
              <w:bottom w:val="nil"/>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88</w:t>
            </w:r>
          </w:p>
        </w:tc>
        <w:tc>
          <w:tcPr>
            <w:tcW w:w="2409" w:type="dxa"/>
            <w:tcBorders>
              <w:top w:val="nil"/>
              <w:left w:val="nil"/>
              <w:bottom w:val="nil"/>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-.022</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[-.23, .19]</w:t>
            </w:r>
          </w:p>
        </w:tc>
      </w:tr>
      <w:tr w:rsidR="0022020A" w:rsidRPr="00653EC0" w:rsidTr="000A387E">
        <w:trPr>
          <w:trHeight w:val="716"/>
        </w:trPr>
        <w:tc>
          <w:tcPr>
            <w:tcW w:w="1412" w:type="dxa"/>
            <w:tcBorders>
              <w:top w:val="nil"/>
              <w:left w:val="nil"/>
              <w:bottom w:val="single" w:sz="4" w:space="0" w:color="auto"/>
              <w:right w:val="nil"/>
            </w:tcBorders>
            <w:vAlign w:val="center"/>
          </w:tcPr>
          <w:p w:rsidR="0022020A" w:rsidRPr="00653EC0" w:rsidRDefault="0022020A" w:rsidP="004167B8">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MCI</w:t>
            </w:r>
            <w:r w:rsidRPr="00653EC0">
              <w:rPr>
                <w:rFonts w:ascii="Times New Roman" w:eastAsia="Times New Roman" w:hAnsi="Times New Roman" w:cs="Times New Roman"/>
                <w:b/>
                <w:color w:val="000000"/>
                <w:vertAlign w:val="subscript"/>
              </w:rPr>
              <w:t>DELCODE</w:t>
            </w:r>
          </w:p>
        </w:tc>
        <w:tc>
          <w:tcPr>
            <w:tcW w:w="142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MRI</w:t>
            </w:r>
          </w:p>
        </w:tc>
        <w:tc>
          <w:tcPr>
            <w:tcW w:w="993" w:type="dxa"/>
            <w:tcBorders>
              <w:top w:val="nil"/>
              <w:left w:val="nil"/>
              <w:bottom w:val="single" w:sz="4" w:space="0" w:color="auto"/>
              <w:right w:val="nil"/>
            </w:tcBorders>
            <w:vAlign w:val="center"/>
          </w:tcPr>
          <w:p w:rsidR="0022020A" w:rsidRPr="00653EC0" w:rsidRDefault="0022020A" w:rsidP="004167B8">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80</w:t>
            </w:r>
          </w:p>
        </w:tc>
        <w:tc>
          <w:tcPr>
            <w:tcW w:w="2409" w:type="dxa"/>
            <w:tcBorders>
              <w:top w:val="nil"/>
              <w:left w:val="nil"/>
              <w:bottom w:val="single" w:sz="4" w:space="0" w:color="auto"/>
              <w:right w:val="nil"/>
            </w:tcBorders>
            <w:vAlign w:val="center"/>
          </w:tcPr>
          <w:p w:rsidR="0022020A"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 = -.019</w:t>
            </w:r>
          </w:p>
          <w:p w:rsidR="00437A1D" w:rsidRPr="00653EC0" w:rsidRDefault="00437A1D" w:rsidP="004167B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[-.24, .2]</w:t>
            </w:r>
          </w:p>
        </w:tc>
      </w:tr>
      <w:tr w:rsidR="000A387E" w:rsidRPr="003D2D6E" w:rsidTr="000A387E">
        <w:trPr>
          <w:trHeight w:val="716"/>
        </w:trPr>
        <w:tc>
          <w:tcPr>
            <w:tcW w:w="6237" w:type="dxa"/>
            <w:gridSpan w:val="4"/>
            <w:tcBorders>
              <w:top w:val="single" w:sz="4" w:space="0" w:color="auto"/>
              <w:left w:val="nil"/>
              <w:bottom w:val="nil"/>
              <w:right w:val="nil"/>
            </w:tcBorders>
          </w:tcPr>
          <w:p w:rsidR="000A387E" w:rsidRPr="000A387E" w:rsidRDefault="000A387E" w:rsidP="000A387E">
            <w:pPr>
              <w:rPr>
                <w:rFonts w:ascii="Times New Roman" w:eastAsia="Times New Roman" w:hAnsi="Times New Roman" w:cs="Times New Roman"/>
                <w:color w:val="000000"/>
                <w:lang w:val="en-US"/>
              </w:rPr>
            </w:pPr>
            <w:r w:rsidRPr="000A387E">
              <w:rPr>
                <w:rFonts w:ascii="Times New Roman" w:eastAsia="Times New Roman" w:hAnsi="Times New Roman" w:cs="Times New Roman"/>
                <w:b/>
                <w:color w:val="000000"/>
                <w:lang w:val="en-US"/>
              </w:rPr>
              <w:t>Notes.</w:t>
            </w:r>
            <w:r w:rsidRPr="000A387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kern w:val="24"/>
                <w:lang w:val="en-US"/>
              </w:rPr>
              <w:t>Remaining bias (the correlation coefficient between BAG and age) after bias correction was assessed using Pearson correlation. +trend significant with α = 0.1, * significant with</w:t>
            </w:r>
            <w:r w:rsidRPr="00653EC0">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α = 0.05, ** significant with</w:t>
            </w:r>
            <w:r w:rsidRPr="00653EC0">
              <w:rPr>
                <w:rFonts w:ascii="Times New Roman" w:eastAsia="Times New Roman" w:hAnsi="Times New Roman" w:cs="Times New Roman"/>
                <w:color w:val="000000"/>
                <w:kern w:val="24"/>
                <w:lang w:val="en-US"/>
              </w:rPr>
              <w:t xml:space="preserve"> α = 0.01</w:t>
            </w:r>
          </w:p>
        </w:tc>
      </w:tr>
    </w:tbl>
    <w:p w:rsidR="00727DE4" w:rsidRPr="0022020A" w:rsidRDefault="00727DE4" w:rsidP="0022020A">
      <w:pPr>
        <w:rPr>
          <w:rFonts w:ascii="Times New Roman" w:hAnsi="Times New Roman" w:cs="Times New Roman"/>
          <w:lang w:val="en-US"/>
        </w:rPr>
      </w:pPr>
      <w:r w:rsidRPr="0022020A">
        <w:rPr>
          <w:rFonts w:ascii="Times New Roman" w:hAnsi="Times New Roman" w:cs="Times New Roman"/>
          <w:lang w:val="en-US"/>
        </w:rPr>
        <w:br w:type="page"/>
      </w:r>
    </w:p>
    <w:p w:rsidR="00727DE4" w:rsidRDefault="00727DE4" w:rsidP="0022020A">
      <w:pPr>
        <w:pStyle w:val="Listenabsatz"/>
        <w:spacing w:line="480" w:lineRule="auto"/>
        <w:ind w:left="709"/>
        <w:rPr>
          <w:rFonts w:ascii="Times New Roman" w:hAnsi="Times New Roman" w:cs="Times New Roman"/>
          <w:b/>
          <w:lang w:val="en-US"/>
        </w:rPr>
        <w:sectPr w:rsidR="00727DE4">
          <w:pgSz w:w="11906" w:h="16838"/>
          <w:pgMar w:top="1417" w:right="1417" w:bottom="1134" w:left="1417" w:header="708" w:footer="708" w:gutter="0"/>
          <w:cols w:space="708"/>
          <w:docGrid w:linePitch="360"/>
        </w:sectPr>
      </w:pPr>
    </w:p>
    <w:p w:rsidR="00727DE4" w:rsidRDefault="00727DE4"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lastRenderedPageBreak/>
        <w:t xml:space="preserve">Accuracy of estimated brain age using </w:t>
      </w:r>
      <w:r w:rsidR="00E33AB2">
        <w:rPr>
          <w:rFonts w:ascii="Times New Roman" w:hAnsi="Times New Roman" w:cs="Times New Roman"/>
          <w:b/>
          <w:lang w:val="en-US"/>
        </w:rPr>
        <w:t>the composite atlas</w:t>
      </w:r>
    </w:p>
    <w:p w:rsidR="00727DE4" w:rsidRPr="00E33AB2" w:rsidRDefault="00727DE4" w:rsidP="006C4EFC">
      <w:pPr>
        <w:spacing w:line="480" w:lineRule="auto"/>
        <w:jc w:val="both"/>
        <w:rPr>
          <w:rFonts w:ascii="Times New Roman" w:hAnsi="Times New Roman" w:cs="Times New Roman"/>
          <w:lang w:val="en-US"/>
        </w:rPr>
      </w:pPr>
      <w:r>
        <w:rPr>
          <w:rFonts w:ascii="Times New Roman" w:hAnsi="Times New Roman" w:cs="Times New Roman"/>
          <w:lang w:val="en-US"/>
        </w:rPr>
        <w:t>Brain age estimation using the composite Schaeffer and Tian atlas (216 regions of interest) was largely comparable to resu</w:t>
      </w:r>
      <w:r w:rsidR="00AD6CD0">
        <w:rPr>
          <w:rFonts w:ascii="Times New Roman" w:hAnsi="Times New Roman" w:cs="Times New Roman"/>
          <w:lang w:val="en-US"/>
        </w:rPr>
        <w:t>lts obtained from the AAL atlas</w:t>
      </w:r>
      <w:r w:rsidR="006C4EFC">
        <w:rPr>
          <w:rFonts w:ascii="Times New Roman" w:hAnsi="Times New Roman" w:cs="Times New Roman"/>
          <w:lang w:val="en-US"/>
        </w:rPr>
        <w:t>.</w:t>
      </w:r>
      <w:r w:rsidR="00AD6CD0">
        <w:rPr>
          <w:rFonts w:ascii="Times New Roman" w:hAnsi="Times New Roman" w:cs="Times New Roman"/>
          <w:lang w:val="en-US"/>
        </w:rPr>
        <w:t xml:space="preserve"> We found no significant difference </w:t>
      </w:r>
      <w:r w:rsidR="006C4EFC">
        <w:rPr>
          <w:rFonts w:ascii="Times New Roman" w:hAnsi="Times New Roman" w:cs="Times New Roman"/>
          <w:lang w:val="en-US"/>
        </w:rPr>
        <w:t xml:space="preserve">between modalities </w:t>
      </w:r>
      <w:r w:rsidR="00AD6CD0">
        <w:rPr>
          <w:rFonts w:ascii="Times New Roman" w:hAnsi="Times New Roman" w:cs="Times New Roman"/>
          <w:lang w:val="en-US"/>
        </w:rPr>
        <w:t>in the accuracy of brain age estimation in the CN cohorts</w:t>
      </w:r>
      <w:r w:rsidR="00E33AB2">
        <w:rPr>
          <w:rFonts w:ascii="Times New Roman" w:hAnsi="Times New Roman" w:cs="Times New Roman"/>
          <w:lang w:val="en-US"/>
        </w:rPr>
        <w:t>.</w:t>
      </w:r>
      <w:r w:rsidR="00AD6CD0">
        <w:rPr>
          <w:rFonts w:ascii="Times New Roman" w:hAnsi="Times New Roman" w:cs="Times New Roman"/>
          <w:lang w:val="en-US"/>
        </w:rPr>
        <w:t xml:space="preserve"> </w:t>
      </w:r>
      <w:r w:rsidR="00E33AB2">
        <w:rPr>
          <w:rFonts w:ascii="Times New Roman" w:hAnsi="Times New Roman" w:cs="Times New Roman"/>
          <w:lang w:val="en-US"/>
        </w:rPr>
        <w:t xml:space="preserve">While the difference in MAE was not significant, generalization performance to the OASIS dataset </w:t>
      </w:r>
      <w:proofErr w:type="gramStart"/>
      <w:r w:rsidR="00E33AB2">
        <w:rPr>
          <w:rFonts w:ascii="Times New Roman" w:hAnsi="Times New Roman" w:cs="Times New Roman"/>
          <w:lang w:val="en-US"/>
        </w:rPr>
        <w:t>was compromised</w:t>
      </w:r>
      <w:proofErr w:type="gramEnd"/>
      <w:r w:rsidR="00E33AB2">
        <w:rPr>
          <w:rFonts w:ascii="Times New Roman" w:hAnsi="Times New Roman" w:cs="Times New Roman"/>
          <w:lang w:val="en-US"/>
        </w:rPr>
        <w:t xml:space="preserve"> compared to CN</w:t>
      </w:r>
      <w:r w:rsidR="00E33AB2">
        <w:rPr>
          <w:rFonts w:ascii="Times New Roman" w:hAnsi="Times New Roman" w:cs="Times New Roman"/>
          <w:vertAlign w:val="subscript"/>
          <w:lang w:val="en-US"/>
        </w:rPr>
        <w:t xml:space="preserve">ADNI, </w:t>
      </w:r>
      <w:r w:rsidR="00E33AB2">
        <w:rPr>
          <w:rFonts w:ascii="Times New Roman" w:hAnsi="Times New Roman" w:cs="Times New Roman"/>
          <w:lang w:val="en-US"/>
        </w:rPr>
        <w:t>especially regarding r-squared values. Moreover, models trained with the composite atlas showed no significant brain age advancement for SCD</w:t>
      </w:r>
      <w:r w:rsidR="00E33AB2">
        <w:rPr>
          <w:rFonts w:ascii="Times New Roman" w:hAnsi="Times New Roman" w:cs="Times New Roman"/>
          <w:vertAlign w:val="subscript"/>
          <w:lang w:val="en-US"/>
        </w:rPr>
        <w:t>ADNI</w:t>
      </w:r>
      <w:r w:rsidR="00E33AB2">
        <w:rPr>
          <w:rFonts w:ascii="Times New Roman" w:hAnsi="Times New Roman" w:cs="Times New Roman"/>
          <w:lang w:val="en-US"/>
        </w:rPr>
        <w:t>.</w:t>
      </w:r>
    </w:p>
    <w:tbl>
      <w:tblPr>
        <w:tblStyle w:val="Tabellenraster"/>
        <w:tblW w:w="14516" w:type="dxa"/>
        <w:tblLook w:val="04A0" w:firstRow="1" w:lastRow="0" w:firstColumn="1" w:lastColumn="0" w:noHBand="0" w:noVBand="1"/>
      </w:tblPr>
      <w:tblGrid>
        <w:gridCol w:w="1361"/>
        <w:gridCol w:w="1191"/>
        <w:gridCol w:w="788"/>
        <w:gridCol w:w="848"/>
        <w:gridCol w:w="1407"/>
        <w:gridCol w:w="985"/>
        <w:gridCol w:w="707"/>
        <w:gridCol w:w="2159"/>
        <w:gridCol w:w="2398"/>
        <w:gridCol w:w="2672"/>
      </w:tblGrid>
      <w:tr w:rsidR="00D92A01" w:rsidRPr="003D2D6E" w:rsidTr="003831B2">
        <w:trPr>
          <w:trHeight w:val="340"/>
        </w:trPr>
        <w:tc>
          <w:tcPr>
            <w:tcW w:w="14516" w:type="dxa"/>
            <w:gridSpan w:val="10"/>
            <w:tcBorders>
              <w:top w:val="nil"/>
              <w:left w:val="nil"/>
              <w:bottom w:val="single" w:sz="4" w:space="0" w:color="auto"/>
              <w:right w:val="nil"/>
            </w:tcBorders>
          </w:tcPr>
          <w:p w:rsidR="00D92A01" w:rsidRDefault="00D92A01" w:rsidP="003E2040">
            <w:pPr>
              <w:rPr>
                <w:rFonts w:ascii="Times New Roman" w:eastAsia="Times New Roman" w:hAnsi="Times New Roman" w:cs="Times New Roman"/>
                <w:i/>
                <w:color w:val="000000"/>
                <w:lang w:val="en-US"/>
              </w:rPr>
            </w:pPr>
            <w:r w:rsidRPr="0019082C">
              <w:rPr>
                <w:rFonts w:ascii="Times New Roman" w:hAnsi="Times New Roman" w:cs="Times New Roman"/>
                <w:b/>
                <w:lang w:val="en-US"/>
              </w:rPr>
              <w:t xml:space="preserve">Table </w:t>
            </w:r>
            <w:r w:rsidR="00B06FCC">
              <w:rPr>
                <w:rFonts w:ascii="Times New Roman" w:hAnsi="Times New Roman" w:cs="Times New Roman"/>
                <w:b/>
                <w:lang w:val="en-US"/>
              </w:rPr>
              <w:t>SM</w:t>
            </w:r>
            <w:r w:rsidR="003F6D67" w:rsidRPr="00B52782">
              <w:rPr>
                <w:rFonts w:ascii="Times New Roman" w:hAnsi="Times New Roman" w:cs="Times New Roman"/>
                <w:b/>
                <w:lang w:val="en-US"/>
              </w:rPr>
              <w:t>2</w:t>
            </w:r>
            <w:r w:rsidRPr="0019082C">
              <w:rPr>
                <w:rFonts w:ascii="Times New Roman" w:eastAsia="Times New Roman" w:hAnsi="Times New Roman" w:cs="Times New Roman"/>
                <w:b/>
                <w:color w:val="000000"/>
                <w:kern w:val="24"/>
                <w:lang w:val="en-US"/>
              </w:rPr>
              <w:t>.</w:t>
            </w:r>
            <w:r w:rsidRPr="0019082C">
              <w:rPr>
                <w:rFonts w:ascii="Times New Roman" w:eastAsia="Times New Roman" w:hAnsi="Times New Roman" w:cs="Times New Roman"/>
                <w:color w:val="000000"/>
                <w:kern w:val="24"/>
                <w:lang w:val="en-US"/>
              </w:rPr>
              <w:t xml:space="preserve"> Accuracy of </w:t>
            </w:r>
            <w:r>
              <w:rPr>
                <w:rFonts w:ascii="Times New Roman" w:eastAsia="Times New Roman" w:hAnsi="Times New Roman" w:cs="Times New Roman"/>
                <w:color w:val="000000"/>
                <w:kern w:val="24"/>
                <w:lang w:val="en-US"/>
              </w:rPr>
              <w:t>estimating</w:t>
            </w:r>
            <w:r w:rsidRPr="0019082C">
              <w:rPr>
                <w:rFonts w:ascii="Times New Roman" w:eastAsia="Times New Roman" w:hAnsi="Times New Roman" w:cs="Times New Roman"/>
                <w:color w:val="000000"/>
                <w:kern w:val="24"/>
                <w:lang w:val="en-US"/>
              </w:rPr>
              <w:t xml:space="preserve"> chronological age from FDG-PET and MRI scans</w:t>
            </w:r>
            <w:r>
              <w:rPr>
                <w:rFonts w:ascii="Times New Roman" w:eastAsia="Times New Roman" w:hAnsi="Times New Roman" w:cs="Times New Roman"/>
                <w:color w:val="000000"/>
                <w:kern w:val="24"/>
                <w:lang w:val="en-US"/>
              </w:rPr>
              <w:t xml:space="preserve"> using </w:t>
            </w:r>
            <w:r w:rsidR="00B06FCC">
              <w:rPr>
                <w:rFonts w:ascii="Times New Roman" w:eastAsia="Times New Roman" w:hAnsi="Times New Roman" w:cs="Times New Roman"/>
                <w:color w:val="000000"/>
                <w:kern w:val="24"/>
                <w:lang w:val="en-US"/>
              </w:rPr>
              <w:t xml:space="preserve">the composite </w:t>
            </w:r>
            <w:proofErr w:type="spellStart"/>
            <w:r w:rsidR="00B06FCC">
              <w:rPr>
                <w:rFonts w:ascii="Times New Roman" w:eastAsia="Times New Roman" w:hAnsi="Times New Roman" w:cs="Times New Roman"/>
                <w:color w:val="000000"/>
                <w:kern w:val="24"/>
                <w:lang w:val="en-US"/>
              </w:rPr>
              <w:t>atas</w:t>
            </w:r>
            <w:proofErr w:type="spellEnd"/>
            <w:r w:rsidRPr="0019082C">
              <w:rPr>
                <w:rFonts w:ascii="Times New Roman" w:eastAsia="Times New Roman" w:hAnsi="Times New Roman" w:cs="Times New Roman"/>
                <w:color w:val="000000"/>
                <w:kern w:val="24"/>
                <w:lang w:val="en-US"/>
              </w:rPr>
              <w:t xml:space="preserve">. </w:t>
            </w:r>
          </w:p>
        </w:tc>
      </w:tr>
      <w:tr w:rsidR="00D92A01" w:rsidRPr="003D2D6E" w:rsidTr="003831B2">
        <w:trPr>
          <w:trHeight w:val="633"/>
        </w:trPr>
        <w:tc>
          <w:tcPr>
            <w:tcW w:w="1361" w:type="dxa"/>
            <w:tcBorders>
              <w:top w:val="single" w:sz="4" w:space="0" w:color="auto"/>
              <w:left w:val="nil"/>
              <w:bottom w:val="nil"/>
              <w:right w:val="nil"/>
            </w:tcBorders>
            <w:vAlign w:val="center"/>
          </w:tcPr>
          <w:p w:rsidR="00D92A01" w:rsidRDefault="00D92A01" w:rsidP="003831B2">
            <w:pPr>
              <w:rPr>
                <w:rFonts w:ascii="Times New Roman" w:eastAsia="Times New Roman" w:hAnsi="Times New Roman" w:cs="Times New Roman"/>
                <w:color w:val="000000"/>
                <w:lang w:val="en-US"/>
              </w:rPr>
            </w:pPr>
          </w:p>
        </w:tc>
        <w:tc>
          <w:tcPr>
            <w:tcW w:w="1191" w:type="dxa"/>
            <w:tcBorders>
              <w:top w:val="single" w:sz="4" w:space="0" w:color="auto"/>
              <w:left w:val="nil"/>
              <w:bottom w:val="single" w:sz="4" w:space="0" w:color="auto"/>
              <w:right w:val="nil"/>
            </w:tcBorders>
            <w:vAlign w:val="center"/>
          </w:tcPr>
          <w:p w:rsidR="00D92A01" w:rsidRPr="00FC0A95"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Modality</w:t>
            </w:r>
          </w:p>
        </w:tc>
        <w:tc>
          <w:tcPr>
            <w:tcW w:w="788" w:type="dxa"/>
            <w:tcBorders>
              <w:top w:val="single" w:sz="4" w:space="0" w:color="auto"/>
              <w:left w:val="nil"/>
              <w:bottom w:val="single" w:sz="4" w:space="0" w:color="auto"/>
              <w:right w:val="nil"/>
            </w:tcBorders>
            <w:vAlign w:val="center"/>
          </w:tcPr>
          <w:p w:rsidR="00D92A01" w:rsidRPr="00FC0A95" w:rsidRDefault="00D92A01" w:rsidP="003831B2">
            <w:pPr>
              <w:jc w:val="center"/>
              <w:rPr>
                <w:rFonts w:ascii="Times New Roman" w:eastAsia="Times New Roman" w:hAnsi="Times New Roman" w:cs="Times New Roman"/>
                <w:i/>
                <w:color w:val="000000"/>
                <w:lang w:val="en-US"/>
              </w:rPr>
            </w:pPr>
            <w:r w:rsidRPr="00FC0A95">
              <w:rPr>
                <w:rFonts w:ascii="Times New Roman" w:eastAsia="Times New Roman" w:hAnsi="Times New Roman" w:cs="Times New Roman"/>
                <w:i/>
                <w:color w:val="000000"/>
                <w:lang w:val="en-US"/>
              </w:rPr>
              <w:t>n</w:t>
            </w:r>
          </w:p>
        </w:tc>
        <w:tc>
          <w:tcPr>
            <w:tcW w:w="848"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MAE</w:t>
            </w:r>
          </w:p>
        </w:tc>
        <w:tc>
          <w:tcPr>
            <w:tcW w:w="1407"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Range</w:t>
            </w:r>
          </w:p>
        </w:tc>
        <w:tc>
          <w:tcPr>
            <w:tcW w:w="985"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w:t>
            </w:r>
          </w:p>
        </w:tc>
        <w:tc>
          <w:tcPr>
            <w:tcW w:w="707" w:type="dxa"/>
            <w:tcBorders>
              <w:top w:val="single" w:sz="4" w:space="0" w:color="auto"/>
              <w:left w:val="nil"/>
              <w:bottom w:val="single" w:sz="4" w:space="0" w:color="auto"/>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R²</w:t>
            </w:r>
          </w:p>
        </w:tc>
        <w:tc>
          <w:tcPr>
            <w:tcW w:w="2159" w:type="dxa"/>
            <w:tcBorders>
              <w:top w:val="single" w:sz="4" w:space="0" w:color="auto"/>
              <w:left w:val="nil"/>
              <w:bottom w:val="single" w:sz="4" w:space="0" w:color="auto"/>
              <w:right w:val="nil"/>
            </w:tcBorders>
          </w:tcPr>
          <w:p w:rsidR="00D92A01" w:rsidRPr="00541EB6" w:rsidRDefault="00D92A01" w:rsidP="003831B2">
            <w:pPr>
              <w:jc w:val="center"/>
              <w:rPr>
                <w:rFonts w:ascii="Times New Roman" w:eastAsia="Times New Roman" w:hAnsi="Times New Roman" w:cs="Times New Roman"/>
                <w:b/>
                <w:color w:val="000000"/>
                <w:lang w:val="en-US"/>
              </w:rPr>
            </w:pPr>
            <w:r w:rsidRPr="00541EB6">
              <w:rPr>
                <w:rFonts w:ascii="Times New Roman" w:eastAsia="Times New Roman" w:hAnsi="Times New Roman" w:cs="Times New Roman"/>
                <w:b/>
                <w:color w:val="000000"/>
                <w:lang w:val="en-US"/>
              </w:rPr>
              <w:t>Accuracy</w:t>
            </w:r>
          </w:p>
          <w:p w:rsidR="00D92A01" w:rsidRPr="00FC0A95" w:rsidRDefault="00D92A01" w:rsidP="003831B2">
            <w:pPr>
              <w:jc w:val="center"/>
              <w:rPr>
                <w:rFonts w:ascii="Times New Roman" w:eastAsia="Times New Roman" w:hAnsi="Times New Roman" w:cs="Times New Roman"/>
                <w:color w:val="000000"/>
                <w:vertAlign w:val="subscript"/>
                <w:lang w:val="en-US"/>
              </w:rPr>
            </w:pPr>
            <w:r>
              <w:rPr>
                <w:rFonts w:ascii="Times New Roman" w:eastAsia="Times New Roman" w:hAnsi="Times New Roman" w:cs="Times New Roman"/>
                <w:color w:val="000000"/>
                <w:lang w:val="en-US"/>
              </w:rPr>
              <w:t>MAE MRI vs FDG-PET</w:t>
            </w:r>
          </w:p>
        </w:tc>
        <w:tc>
          <w:tcPr>
            <w:tcW w:w="2398" w:type="dxa"/>
            <w:tcBorders>
              <w:top w:val="single" w:sz="4" w:space="0" w:color="auto"/>
              <w:left w:val="nil"/>
              <w:bottom w:val="single" w:sz="4" w:space="0" w:color="auto"/>
              <w:right w:val="nil"/>
            </w:tcBorders>
          </w:tcPr>
          <w:p w:rsidR="00D92A01" w:rsidRDefault="00D92A01" w:rsidP="003831B2">
            <w:pPr>
              <w:jc w:val="center"/>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Generalizability</w:t>
            </w:r>
          </w:p>
          <w:p w:rsidR="00D92A01" w:rsidRPr="00541EB6" w:rsidRDefault="00D92A01" w:rsidP="003831B2">
            <w:pPr>
              <w:jc w:val="center"/>
              <w:rPr>
                <w:rFonts w:ascii="Times New Roman" w:eastAsia="Times New Roman" w:hAnsi="Times New Roman" w:cs="Times New Roman"/>
                <w:color w:val="000000"/>
                <w:vertAlign w:val="subscript"/>
                <w:lang w:val="en-US"/>
              </w:rPr>
            </w:pPr>
            <w:r>
              <w:rPr>
                <w:rFonts w:ascii="Times New Roman" w:eastAsia="Times New Roman" w:hAnsi="Times New Roman" w:cs="Times New Roman"/>
                <w:color w:val="000000"/>
                <w:lang w:val="en-US"/>
              </w:rPr>
              <w:t>MAE current vs CN</w:t>
            </w:r>
            <w:r>
              <w:rPr>
                <w:rFonts w:ascii="Times New Roman" w:eastAsia="Times New Roman" w:hAnsi="Times New Roman" w:cs="Times New Roman"/>
                <w:color w:val="000000"/>
                <w:vertAlign w:val="subscript"/>
                <w:lang w:val="en-US"/>
              </w:rPr>
              <w:t>ADNI</w:t>
            </w:r>
          </w:p>
        </w:tc>
        <w:tc>
          <w:tcPr>
            <w:tcW w:w="2672" w:type="dxa"/>
            <w:tcBorders>
              <w:top w:val="single" w:sz="4" w:space="0" w:color="auto"/>
              <w:left w:val="nil"/>
              <w:bottom w:val="single" w:sz="4" w:space="0" w:color="auto"/>
              <w:right w:val="nil"/>
            </w:tcBorders>
          </w:tcPr>
          <w:p w:rsidR="00D92A01" w:rsidRPr="00541EB6" w:rsidRDefault="00D92A01" w:rsidP="003831B2">
            <w:pPr>
              <w:jc w:val="center"/>
              <w:rPr>
                <w:rFonts w:ascii="Times New Roman" w:eastAsia="Times New Roman" w:hAnsi="Times New Roman" w:cs="Times New Roman"/>
                <w:b/>
                <w:color w:val="000000"/>
                <w:lang w:val="en-US"/>
              </w:rPr>
            </w:pPr>
            <w:r>
              <w:rPr>
                <w:rFonts w:ascii="Times New Roman" w:eastAsia="Times New Roman" w:hAnsi="Times New Roman" w:cs="Times New Roman"/>
                <w:b/>
                <w:color w:val="000000"/>
                <w:lang w:val="en-US"/>
              </w:rPr>
              <w:t>Brain age advancement</w:t>
            </w:r>
          </w:p>
          <w:p w:rsidR="00D92A01" w:rsidRPr="00FC0A95" w:rsidRDefault="00D92A01" w:rsidP="003831B2">
            <w:pPr>
              <w:jc w:val="center"/>
              <w:rPr>
                <w:rFonts w:ascii="Times New Roman" w:eastAsia="Times New Roman" w:hAnsi="Times New Roman" w:cs="Times New Roman"/>
                <w:color w:val="000000"/>
                <w:vertAlign w:val="subscript"/>
                <w:lang w:val="en-US"/>
              </w:rPr>
            </w:pPr>
            <w:r w:rsidRPr="002F1781">
              <w:rPr>
                <w:rFonts w:ascii="Times New Roman" w:eastAsia="Times New Roman" w:hAnsi="Times New Roman" w:cs="Times New Roman"/>
                <w:color w:val="000000"/>
                <w:lang w:val="en-US"/>
              </w:rPr>
              <w:t>ME</w:t>
            </w:r>
            <w:r>
              <w:rPr>
                <w:rFonts w:ascii="Times New Roman" w:eastAsia="Times New Roman" w:hAnsi="Times New Roman" w:cs="Times New Roman"/>
                <w:i/>
                <w:color w:val="000000"/>
                <w:lang w:val="en-US"/>
              </w:rPr>
              <w:t xml:space="preserve"> </w:t>
            </w:r>
            <w:r>
              <w:rPr>
                <w:rFonts w:ascii="Times New Roman" w:eastAsia="Times New Roman" w:hAnsi="Times New Roman" w:cs="Times New Roman"/>
                <w:color w:val="000000"/>
                <w:lang w:val="en-US"/>
              </w:rPr>
              <w:t>current vs CN</w:t>
            </w:r>
            <w:r>
              <w:rPr>
                <w:rFonts w:ascii="Times New Roman" w:eastAsia="Times New Roman" w:hAnsi="Times New Roman" w:cs="Times New Roman"/>
                <w:color w:val="000000"/>
                <w:vertAlign w:val="subscript"/>
                <w:lang w:val="en-US"/>
              </w:rPr>
              <w:t>ADNI</w:t>
            </w:r>
          </w:p>
        </w:tc>
      </w:tr>
      <w:tr w:rsidR="00D92A01" w:rsidTr="003831B2">
        <w:trPr>
          <w:trHeight w:val="431"/>
        </w:trPr>
        <w:tc>
          <w:tcPr>
            <w:tcW w:w="1361" w:type="dxa"/>
            <w:vMerge w:val="restart"/>
            <w:tcBorders>
              <w:top w:val="single" w:sz="4" w:space="0" w:color="auto"/>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per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ADNI</w:t>
            </w:r>
          </w:p>
        </w:tc>
        <w:tc>
          <w:tcPr>
            <w:tcW w:w="1191" w:type="dxa"/>
            <w:tcBorders>
              <w:top w:val="single" w:sz="4" w:space="0" w:color="auto"/>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single" w:sz="4" w:space="0" w:color="auto"/>
              <w:left w:val="nil"/>
              <w:bottom w:val="nil"/>
              <w:right w:val="nil"/>
            </w:tcBorders>
            <w:vAlign w:val="center"/>
          </w:tcPr>
          <w:p w:rsidR="00D92A01" w:rsidRPr="00FC0A95" w:rsidRDefault="00E94387" w:rsidP="003831B2">
            <w:pPr>
              <w:jc w:val="center"/>
              <w:rPr>
                <w:rFonts w:ascii="Times New Roman" w:eastAsia="Times New Roman" w:hAnsi="Times New Roman" w:cs="Times New Roman"/>
                <w:color w:val="000000"/>
                <w:vertAlign w:val="superscript"/>
                <w:lang w:val="en-US"/>
              </w:rPr>
            </w:pPr>
            <w:r w:rsidRPr="00E94387">
              <w:rPr>
                <w:rFonts w:ascii="Times New Roman" w:eastAsia="Times New Roman" w:hAnsi="Times New Roman" w:cs="Times New Roman"/>
                <w:color w:val="000000"/>
                <w:lang w:val="en-US"/>
              </w:rPr>
              <w:t>173</w:t>
            </w:r>
            <w:r w:rsidR="00D92A01">
              <w:rPr>
                <w:rFonts w:ascii="Times New Roman" w:eastAsia="Times New Roman" w:hAnsi="Times New Roman" w:cs="Times New Roman"/>
                <w:color w:val="000000"/>
                <w:vertAlign w:val="superscript"/>
                <w:lang w:val="en-US"/>
              </w:rPr>
              <w:t>+</w:t>
            </w:r>
          </w:p>
        </w:tc>
        <w:tc>
          <w:tcPr>
            <w:tcW w:w="848"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2.75</w:t>
            </w:r>
          </w:p>
        </w:tc>
        <w:tc>
          <w:tcPr>
            <w:tcW w:w="1407"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 10.3]</w:t>
            </w:r>
          </w:p>
        </w:tc>
        <w:tc>
          <w:tcPr>
            <w:tcW w:w="985"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-0.07 (3.57)</w:t>
            </w:r>
          </w:p>
        </w:tc>
        <w:tc>
          <w:tcPr>
            <w:tcW w:w="707"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.67</w:t>
            </w:r>
          </w:p>
        </w:tc>
        <w:tc>
          <w:tcPr>
            <w:tcW w:w="2159" w:type="dxa"/>
            <w:vMerge w:val="restart"/>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-0.87</w:t>
            </w:r>
          </w:p>
          <w:p w:rsidR="00E94387"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[-0.66, 0.25]</w:t>
            </w:r>
          </w:p>
        </w:tc>
        <w:tc>
          <w:tcPr>
            <w:tcW w:w="2398" w:type="dxa"/>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vMerge w:val="restart"/>
            <w:tcBorders>
              <w:top w:val="single" w:sz="4" w:space="0" w:color="auto"/>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r>
      <w:tr w:rsidR="00D92A01" w:rsidTr="003831B2">
        <w:trPr>
          <w:trHeight w:val="432"/>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Pr="00FC0A95" w:rsidRDefault="00E94387" w:rsidP="003831B2">
            <w:pPr>
              <w:jc w:val="center"/>
              <w:rPr>
                <w:rFonts w:ascii="Times New Roman" w:eastAsia="Times New Roman" w:hAnsi="Times New Roman" w:cs="Times New Roman"/>
                <w:color w:val="000000"/>
                <w:vertAlign w:val="superscript"/>
                <w:lang w:val="en-US"/>
              </w:rPr>
            </w:pPr>
            <w:r>
              <w:rPr>
                <w:rFonts w:ascii="Times New Roman" w:eastAsia="Times New Roman" w:hAnsi="Times New Roman" w:cs="Times New Roman"/>
                <w:color w:val="000000"/>
                <w:lang w:val="en-US"/>
              </w:rPr>
              <w:t>173</w:t>
            </w:r>
            <w:r w:rsidR="00D92A01">
              <w:rPr>
                <w:rFonts w:ascii="Times New Roman" w:eastAsia="Times New Roman" w:hAnsi="Times New Roman" w:cs="Times New Roman"/>
                <w:color w:val="000000"/>
                <w:vertAlign w:val="superscript"/>
                <w:lang w:val="en-US"/>
              </w:rPr>
              <w:t>+</w:t>
            </w:r>
          </w:p>
        </w:tc>
        <w:tc>
          <w:tcPr>
            <w:tcW w:w="84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2.55</w:t>
            </w:r>
          </w:p>
        </w:tc>
        <w:tc>
          <w:tcPr>
            <w:tcW w:w="1407"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[-12.9, 13.6]</w:t>
            </w:r>
          </w:p>
        </w:tc>
        <w:tc>
          <w:tcPr>
            <w:tcW w:w="985"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-0.16 (3.39)</w:t>
            </w:r>
          </w:p>
        </w:tc>
        <w:tc>
          <w:tcPr>
            <w:tcW w:w="707"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.70</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r>
      <w:tr w:rsidR="00D92A01" w:rsidTr="003831B2">
        <w:trPr>
          <w:trHeight w:val="340"/>
        </w:trPr>
        <w:tc>
          <w:tcPr>
            <w:tcW w:w="1361" w:type="dxa"/>
            <w:vMerge w:val="restart"/>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CN</w:t>
            </w:r>
            <w:r w:rsidRPr="005A2617">
              <w:rPr>
                <w:rFonts w:ascii="Times New Roman" w:eastAsia="Times New Roman" w:hAnsi="Times New Roman" w:cs="Times New Roman"/>
                <w:b/>
                <w:color w:val="000000"/>
                <w:vertAlign w:val="subscript"/>
                <w:lang w:val="en-US"/>
              </w:rPr>
              <w:t>OASIS</w:t>
            </w: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nil"/>
              <w:left w:val="nil"/>
              <w:bottom w:val="nil"/>
              <w:right w:val="nil"/>
            </w:tcBorders>
            <w:vAlign w:val="center"/>
          </w:tcPr>
          <w:p w:rsidR="00D92A01" w:rsidRPr="00FC0A95" w:rsidRDefault="00B06FCC" w:rsidP="003831B2">
            <w:pPr>
              <w:jc w:val="center"/>
              <w:rPr>
                <w:rFonts w:ascii="Times New Roman" w:eastAsia="Times New Roman" w:hAnsi="Times New Roman" w:cs="Times New Roman"/>
                <w:color w:val="000000"/>
                <w:vertAlign w:val="superscript"/>
                <w:lang w:val="en-US"/>
              </w:rPr>
            </w:pPr>
            <w:r w:rsidRPr="00B06FCC">
              <w:rPr>
                <w:rFonts w:ascii="Times New Roman" w:eastAsia="Times New Roman" w:hAnsi="Times New Roman" w:cs="Times New Roman"/>
                <w:color w:val="000000"/>
                <w:lang w:val="en-US"/>
              </w:rPr>
              <w:t>41</w:t>
            </w:r>
            <w:r w:rsidR="00D92A01">
              <w:rPr>
                <w:rFonts w:ascii="Times New Roman" w:eastAsia="Times New Roman" w:hAnsi="Times New Roman" w:cs="Times New Roman"/>
                <w:color w:val="000000"/>
                <w:vertAlign w:val="superscript"/>
                <w:lang w:val="en-US"/>
              </w:rPr>
              <w:t>+</w:t>
            </w:r>
          </w:p>
        </w:tc>
        <w:tc>
          <w:tcPr>
            <w:tcW w:w="848"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3.05</w:t>
            </w:r>
          </w:p>
        </w:tc>
        <w:tc>
          <w:tcPr>
            <w:tcW w:w="14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[-6.6, 10.6]</w:t>
            </w:r>
          </w:p>
        </w:tc>
        <w:tc>
          <w:tcPr>
            <w:tcW w:w="985"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0.67 (4.03)</w:t>
            </w:r>
          </w:p>
        </w:tc>
        <w:tc>
          <w:tcPr>
            <w:tcW w:w="7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.08</w:t>
            </w:r>
          </w:p>
        </w:tc>
        <w:tc>
          <w:tcPr>
            <w:tcW w:w="2159" w:type="dxa"/>
            <w:vMerge w:val="restart"/>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-0.82</w:t>
            </w:r>
          </w:p>
          <w:p w:rsidR="00B06FCC"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[-1.54, 0.65]</w:t>
            </w:r>
          </w:p>
        </w:tc>
        <w:tc>
          <w:tcPr>
            <w:tcW w:w="239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1.07</w:t>
            </w:r>
          </w:p>
          <w:p w:rsidR="00E94387"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[-0.64, 2.11]</w:t>
            </w:r>
          </w:p>
        </w:tc>
        <w:tc>
          <w:tcPr>
            <w:tcW w:w="2672"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0.66</w:t>
            </w:r>
          </w:p>
          <w:p w:rsidR="00E94387"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[-0.61, 1.20]</w:t>
            </w:r>
          </w:p>
        </w:tc>
      </w:tr>
      <w:tr w:rsidR="00D92A01" w:rsidTr="003831B2">
        <w:trPr>
          <w:trHeight w:val="340"/>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Pr="00FC0A95" w:rsidRDefault="00B06FCC" w:rsidP="003831B2">
            <w:pPr>
              <w:jc w:val="center"/>
              <w:rPr>
                <w:rFonts w:ascii="Times New Roman" w:eastAsia="Times New Roman" w:hAnsi="Times New Roman" w:cs="Times New Roman"/>
                <w:color w:val="000000"/>
                <w:vertAlign w:val="superscript"/>
                <w:lang w:val="en-US"/>
              </w:rPr>
            </w:pPr>
            <w:r w:rsidRPr="00B06FCC">
              <w:rPr>
                <w:rFonts w:ascii="Times New Roman" w:eastAsia="Times New Roman" w:hAnsi="Times New Roman" w:cs="Times New Roman"/>
                <w:color w:val="000000"/>
                <w:lang w:val="en-US"/>
              </w:rPr>
              <w:t>41</w:t>
            </w:r>
            <w:r w:rsidR="00D92A01">
              <w:rPr>
                <w:rFonts w:ascii="Times New Roman" w:eastAsia="Times New Roman" w:hAnsi="Times New Roman" w:cs="Times New Roman"/>
                <w:color w:val="000000"/>
                <w:vertAlign w:val="superscript"/>
                <w:lang w:val="en-US"/>
              </w:rPr>
              <w:t>+</w:t>
            </w:r>
          </w:p>
        </w:tc>
        <w:tc>
          <w:tcPr>
            <w:tcW w:w="848"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2.60</w:t>
            </w:r>
          </w:p>
        </w:tc>
        <w:tc>
          <w:tcPr>
            <w:tcW w:w="14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[-6.8, 5.5]</w:t>
            </w:r>
          </w:p>
        </w:tc>
        <w:tc>
          <w:tcPr>
            <w:tcW w:w="985"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 (3.15)</w:t>
            </w:r>
          </w:p>
        </w:tc>
        <w:tc>
          <w:tcPr>
            <w:tcW w:w="707"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.36</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0.16</w:t>
            </w:r>
          </w:p>
          <w:p w:rsidR="00B06FCC"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[-0.65, 0.76]</w:t>
            </w:r>
          </w:p>
        </w:tc>
        <w:tc>
          <w:tcPr>
            <w:tcW w:w="2672" w:type="dxa"/>
            <w:tcBorders>
              <w:top w:val="nil"/>
              <w:left w:val="nil"/>
              <w:bottom w:val="nil"/>
              <w:right w:val="nil"/>
            </w:tcBorders>
            <w:vAlign w:val="center"/>
          </w:tcPr>
          <w:p w:rsidR="00D92A01"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-1.51</w:t>
            </w:r>
          </w:p>
          <w:p w:rsidR="00B06FCC" w:rsidRDefault="00B06FCC"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[-1.95, 0.27]</w:t>
            </w:r>
          </w:p>
        </w:tc>
      </w:tr>
      <w:tr w:rsidR="00D92A01" w:rsidTr="003831B2">
        <w:trPr>
          <w:trHeight w:val="340"/>
        </w:trPr>
        <w:tc>
          <w:tcPr>
            <w:tcW w:w="1361" w:type="dxa"/>
            <w:vMerge w:val="restart"/>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SCD</w:t>
            </w:r>
            <w:r w:rsidRPr="005A2617">
              <w:rPr>
                <w:rFonts w:ascii="Times New Roman" w:eastAsia="Times New Roman" w:hAnsi="Times New Roman" w:cs="Times New Roman"/>
                <w:b/>
                <w:color w:val="000000"/>
                <w:vertAlign w:val="subscript"/>
                <w:lang w:val="en-US"/>
              </w:rPr>
              <w:t>ADNI</w:t>
            </w: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84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2.37</w:t>
            </w:r>
          </w:p>
        </w:tc>
        <w:tc>
          <w:tcPr>
            <w:tcW w:w="14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[-6.8, 5.9]</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-0.00 (2.9)</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.73</w:t>
            </w:r>
          </w:p>
        </w:tc>
        <w:tc>
          <w:tcPr>
            <w:tcW w:w="2159" w:type="dxa"/>
            <w:vMerge w:val="restart"/>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0.37</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[-0.34, 0.49]</w:t>
            </w:r>
          </w:p>
        </w:tc>
        <w:tc>
          <w:tcPr>
            <w:tcW w:w="239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1.16</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[-0.72, 0.84]</w:t>
            </w:r>
          </w:p>
        </w:tc>
      </w:tr>
      <w:tr w:rsidR="00D92A01" w:rsidTr="003831B2">
        <w:trPr>
          <w:trHeight w:val="340"/>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102</w:t>
            </w:r>
          </w:p>
        </w:tc>
        <w:tc>
          <w:tcPr>
            <w:tcW w:w="848"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2.45</w:t>
            </w:r>
          </w:p>
        </w:tc>
        <w:tc>
          <w:tcPr>
            <w:tcW w:w="1407" w:type="dxa"/>
            <w:tcBorders>
              <w:top w:val="nil"/>
              <w:left w:val="nil"/>
              <w:bottom w:val="nil"/>
              <w:right w:val="nil"/>
            </w:tcBorders>
            <w:vAlign w:val="center"/>
          </w:tcPr>
          <w:p w:rsidR="00D92A01" w:rsidRDefault="00E94387"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[-5.6, 10.5]</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0.14 (3.03)</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.71</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tcBorders>
              <w:top w:val="nil"/>
              <w:left w:val="nil"/>
              <w:bottom w:val="nil"/>
              <w:right w:val="nil"/>
            </w:tcBorders>
            <w:vAlign w:val="center"/>
          </w:tcPr>
          <w:p w:rsidR="00D04275" w:rsidRDefault="00D04275" w:rsidP="00D04275">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0.75</w:t>
            </w:r>
          </w:p>
          <w:p w:rsidR="00D92A01" w:rsidRDefault="00D04275" w:rsidP="00D04275">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[-0.48, 1.08]</w:t>
            </w:r>
          </w:p>
        </w:tc>
      </w:tr>
      <w:tr w:rsidR="00D92A01" w:rsidTr="003831B2">
        <w:trPr>
          <w:trHeight w:val="340"/>
        </w:trPr>
        <w:tc>
          <w:tcPr>
            <w:tcW w:w="1361" w:type="dxa"/>
            <w:vMerge w:val="restart"/>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vertAlign w:val="subscript"/>
                <w:lang w:val="en-US"/>
              </w:rPr>
            </w:pPr>
            <w:r w:rsidRPr="005A2617">
              <w:rPr>
                <w:rFonts w:ascii="Times New Roman" w:eastAsia="Times New Roman" w:hAnsi="Times New Roman" w:cs="Times New Roman"/>
                <w:b/>
                <w:color w:val="000000"/>
                <w:lang w:val="en-US"/>
              </w:rPr>
              <w:t>MCI</w:t>
            </w:r>
            <w:r w:rsidRPr="005A2617">
              <w:rPr>
                <w:rFonts w:ascii="Times New Roman" w:eastAsia="Times New Roman" w:hAnsi="Times New Roman" w:cs="Times New Roman"/>
                <w:b/>
                <w:color w:val="000000"/>
                <w:vertAlign w:val="subscript"/>
                <w:lang w:val="en-US"/>
              </w:rPr>
              <w:t>ADNI</w:t>
            </w: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MRI</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84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3.705</w:t>
            </w:r>
          </w:p>
        </w:tc>
        <w:tc>
          <w:tcPr>
            <w:tcW w:w="14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[-8.1, 13.8]</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2.34 (3.92)</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.57</w:t>
            </w:r>
          </w:p>
        </w:tc>
        <w:tc>
          <w:tcPr>
            <w:tcW w:w="2159" w:type="dxa"/>
            <w:vMerge w:val="restart"/>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-9.93**</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[-1.55, 1.04]</w:t>
            </w:r>
          </w:p>
        </w:tc>
        <w:tc>
          <w:tcPr>
            <w:tcW w:w="239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t = 7.62**</w:t>
            </w:r>
          </w:p>
          <w:p w:rsidR="00D04275"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95% CI [1.78, 3.02]</w:t>
            </w:r>
          </w:p>
        </w:tc>
      </w:tr>
      <w:tr w:rsidR="00D92A01" w:rsidTr="003831B2">
        <w:trPr>
          <w:trHeight w:val="340"/>
        </w:trPr>
        <w:tc>
          <w:tcPr>
            <w:tcW w:w="1361" w:type="dxa"/>
            <w:vMerge/>
            <w:tcBorders>
              <w:top w:val="nil"/>
              <w:left w:val="nil"/>
              <w:bottom w:val="nil"/>
              <w:right w:val="nil"/>
            </w:tcBorders>
            <w:vAlign w:val="center"/>
          </w:tcPr>
          <w:p w:rsidR="00D92A01" w:rsidRPr="005A2617" w:rsidRDefault="00D92A01" w:rsidP="003831B2">
            <w:pPr>
              <w:rPr>
                <w:rFonts w:ascii="Times New Roman" w:eastAsia="Times New Roman" w:hAnsi="Times New Roman" w:cs="Times New Roman"/>
                <w:b/>
                <w:color w:val="000000"/>
                <w:lang w:val="en-US"/>
              </w:rPr>
            </w:pPr>
          </w:p>
        </w:tc>
        <w:tc>
          <w:tcPr>
            <w:tcW w:w="1191"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FDG-PET</w:t>
            </w:r>
          </w:p>
        </w:tc>
        <w:tc>
          <w:tcPr>
            <w:tcW w:w="788" w:type="dxa"/>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595</w:t>
            </w:r>
          </w:p>
        </w:tc>
        <w:tc>
          <w:tcPr>
            <w:tcW w:w="84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2.41</w:t>
            </w:r>
          </w:p>
        </w:tc>
        <w:tc>
          <w:tcPr>
            <w:tcW w:w="14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[-11.3, 10.9]</w:t>
            </w:r>
          </w:p>
        </w:tc>
        <w:tc>
          <w:tcPr>
            <w:tcW w:w="985"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0.42 (3.05)</w:t>
            </w:r>
          </w:p>
        </w:tc>
        <w:tc>
          <w:tcPr>
            <w:tcW w:w="707"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.8</w:t>
            </w:r>
          </w:p>
        </w:tc>
        <w:tc>
          <w:tcPr>
            <w:tcW w:w="2159" w:type="dxa"/>
            <w:vMerge/>
            <w:tcBorders>
              <w:top w:val="nil"/>
              <w:left w:val="nil"/>
              <w:bottom w:val="nil"/>
              <w:right w:val="nil"/>
            </w:tcBorders>
            <w:vAlign w:val="center"/>
          </w:tcPr>
          <w:p w:rsidR="00D92A01" w:rsidRDefault="00D92A01" w:rsidP="003831B2">
            <w:pPr>
              <w:jc w:val="center"/>
              <w:rPr>
                <w:rFonts w:ascii="Times New Roman" w:eastAsia="Times New Roman" w:hAnsi="Times New Roman" w:cs="Times New Roman"/>
                <w:color w:val="000000"/>
                <w:lang w:val="en-US"/>
              </w:rPr>
            </w:pPr>
          </w:p>
        </w:tc>
        <w:tc>
          <w:tcPr>
            <w:tcW w:w="2398"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 = 2.02*</w:t>
            </w:r>
          </w:p>
          <w:p w:rsidR="00D04275"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[0.01, 1.14]</w:t>
            </w:r>
          </w:p>
        </w:tc>
      </w:tr>
      <w:tr w:rsidR="00D92A01" w:rsidTr="003831B2">
        <w:trPr>
          <w:trHeight w:val="340"/>
        </w:trPr>
        <w:tc>
          <w:tcPr>
            <w:tcW w:w="1361" w:type="dxa"/>
            <w:tcBorders>
              <w:top w:val="nil"/>
              <w:left w:val="nil"/>
              <w:bottom w:val="nil"/>
              <w:right w:val="nil"/>
            </w:tcBorders>
            <w:vAlign w:val="center"/>
          </w:tcPr>
          <w:p w:rsidR="00D92A01" w:rsidRPr="00653EC0" w:rsidRDefault="00D92A01" w:rsidP="003831B2">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t>SCD</w:t>
            </w:r>
            <w:r w:rsidRPr="00653EC0">
              <w:rPr>
                <w:rFonts w:ascii="Times New Roman" w:eastAsia="Times New Roman" w:hAnsi="Times New Roman" w:cs="Times New Roman"/>
                <w:b/>
                <w:color w:val="000000"/>
                <w:vertAlign w:val="subscript"/>
              </w:rPr>
              <w:t>DELCODE</w:t>
            </w:r>
          </w:p>
        </w:tc>
        <w:tc>
          <w:tcPr>
            <w:tcW w:w="1191" w:type="dxa"/>
            <w:tcBorders>
              <w:top w:val="nil"/>
              <w:left w:val="nil"/>
              <w:bottom w:val="nil"/>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FDG-PET</w:t>
            </w:r>
          </w:p>
        </w:tc>
        <w:tc>
          <w:tcPr>
            <w:tcW w:w="788" w:type="dxa"/>
            <w:tcBorders>
              <w:top w:val="nil"/>
              <w:left w:val="nil"/>
              <w:bottom w:val="nil"/>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88</w:t>
            </w:r>
          </w:p>
        </w:tc>
        <w:tc>
          <w:tcPr>
            <w:tcW w:w="848"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2.53</w:t>
            </w:r>
          </w:p>
        </w:tc>
        <w:tc>
          <w:tcPr>
            <w:tcW w:w="1407"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[-5.1, 7.8]</w:t>
            </w:r>
          </w:p>
        </w:tc>
        <w:tc>
          <w:tcPr>
            <w:tcW w:w="985"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1.59 (2.87)</w:t>
            </w:r>
          </w:p>
        </w:tc>
        <w:tc>
          <w:tcPr>
            <w:tcW w:w="707"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.65</w:t>
            </w:r>
          </w:p>
        </w:tc>
        <w:tc>
          <w:tcPr>
            <w:tcW w:w="2159" w:type="dxa"/>
            <w:tcBorders>
              <w:top w:val="nil"/>
              <w:left w:val="nil"/>
              <w:bottom w:val="nil"/>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398"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672" w:type="dxa"/>
            <w:tcBorders>
              <w:top w:val="nil"/>
              <w:left w:val="nil"/>
              <w:bottom w:val="nil"/>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 = 4.38</w:t>
            </w:r>
            <w:r w:rsidR="00484157">
              <w:rPr>
                <w:rFonts w:ascii="Times New Roman" w:eastAsia="Times New Roman" w:hAnsi="Times New Roman" w:cs="Times New Roman"/>
                <w:color w:val="000000"/>
              </w:rPr>
              <w:t>**</w:t>
            </w:r>
          </w:p>
          <w:p w:rsidR="00D04275" w:rsidRDefault="00D04275" w:rsidP="003831B2">
            <w:pPr>
              <w:jc w:val="center"/>
              <w:rPr>
                <w:rFonts w:ascii="Times New Roman" w:eastAsia="Times New Roman" w:hAnsi="Times New Roman" w:cs="Times New Roman"/>
                <w:color w:val="000000"/>
              </w:rPr>
            </w:pPr>
          </w:p>
          <w:p w:rsidR="00D04275"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[0.96, 2.54]</w:t>
            </w:r>
          </w:p>
        </w:tc>
      </w:tr>
      <w:tr w:rsidR="00D92A01" w:rsidTr="00B06FCC">
        <w:trPr>
          <w:trHeight w:val="359"/>
        </w:trPr>
        <w:tc>
          <w:tcPr>
            <w:tcW w:w="1361" w:type="dxa"/>
            <w:tcBorders>
              <w:top w:val="nil"/>
              <w:left w:val="nil"/>
              <w:bottom w:val="single" w:sz="4" w:space="0" w:color="auto"/>
              <w:right w:val="nil"/>
            </w:tcBorders>
            <w:vAlign w:val="center"/>
          </w:tcPr>
          <w:p w:rsidR="00D92A01" w:rsidRPr="00653EC0" w:rsidRDefault="00D92A01" w:rsidP="003831B2">
            <w:pPr>
              <w:rPr>
                <w:rFonts w:ascii="Times New Roman" w:eastAsia="Times New Roman" w:hAnsi="Times New Roman" w:cs="Times New Roman"/>
                <w:b/>
                <w:color w:val="000000"/>
                <w:vertAlign w:val="subscript"/>
              </w:rPr>
            </w:pPr>
            <w:r w:rsidRPr="00653EC0">
              <w:rPr>
                <w:rFonts w:ascii="Times New Roman" w:eastAsia="Times New Roman" w:hAnsi="Times New Roman" w:cs="Times New Roman"/>
                <w:b/>
                <w:color w:val="000000"/>
              </w:rPr>
              <w:lastRenderedPageBreak/>
              <w:t>MCI</w:t>
            </w:r>
            <w:r w:rsidRPr="00653EC0">
              <w:rPr>
                <w:rFonts w:ascii="Times New Roman" w:eastAsia="Times New Roman" w:hAnsi="Times New Roman" w:cs="Times New Roman"/>
                <w:b/>
                <w:color w:val="000000"/>
                <w:vertAlign w:val="subscript"/>
              </w:rPr>
              <w:t>DELCODE</w:t>
            </w:r>
          </w:p>
        </w:tc>
        <w:tc>
          <w:tcPr>
            <w:tcW w:w="1191" w:type="dxa"/>
            <w:tcBorders>
              <w:top w:val="nil"/>
              <w:left w:val="nil"/>
              <w:bottom w:val="single" w:sz="4" w:space="0" w:color="auto"/>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MRI</w:t>
            </w:r>
          </w:p>
        </w:tc>
        <w:tc>
          <w:tcPr>
            <w:tcW w:w="788" w:type="dxa"/>
            <w:tcBorders>
              <w:top w:val="nil"/>
              <w:left w:val="nil"/>
              <w:bottom w:val="single" w:sz="4" w:space="0" w:color="auto"/>
              <w:right w:val="nil"/>
            </w:tcBorders>
            <w:vAlign w:val="center"/>
          </w:tcPr>
          <w:p w:rsidR="00D92A01" w:rsidRPr="00653EC0" w:rsidRDefault="00D92A01" w:rsidP="003831B2">
            <w:pPr>
              <w:jc w:val="center"/>
              <w:rPr>
                <w:rFonts w:ascii="Times New Roman" w:eastAsia="Times New Roman" w:hAnsi="Times New Roman" w:cs="Times New Roman"/>
                <w:color w:val="000000"/>
              </w:rPr>
            </w:pPr>
            <w:r w:rsidRPr="00653EC0">
              <w:rPr>
                <w:rFonts w:ascii="Times New Roman" w:eastAsia="Times New Roman" w:hAnsi="Times New Roman" w:cs="Times New Roman"/>
                <w:color w:val="000000"/>
              </w:rPr>
              <w:t>80</w:t>
            </w:r>
          </w:p>
        </w:tc>
        <w:tc>
          <w:tcPr>
            <w:tcW w:w="848"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3.51</w:t>
            </w:r>
          </w:p>
        </w:tc>
        <w:tc>
          <w:tcPr>
            <w:tcW w:w="1407"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[-9.3, 12.8]</w:t>
            </w:r>
          </w:p>
        </w:tc>
        <w:tc>
          <w:tcPr>
            <w:tcW w:w="985"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2.07 (4.00)</w:t>
            </w:r>
          </w:p>
        </w:tc>
        <w:tc>
          <w:tcPr>
            <w:tcW w:w="707"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.41</w:t>
            </w:r>
          </w:p>
        </w:tc>
        <w:tc>
          <w:tcPr>
            <w:tcW w:w="2159" w:type="dxa"/>
            <w:tcBorders>
              <w:top w:val="nil"/>
              <w:left w:val="nil"/>
              <w:bottom w:val="single" w:sz="4" w:space="0" w:color="auto"/>
              <w:right w:val="nil"/>
            </w:tcBorders>
            <w:vAlign w:val="center"/>
          </w:tcPr>
          <w:p w:rsidR="00D92A01" w:rsidRPr="00653EC0"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398" w:type="dxa"/>
            <w:tcBorders>
              <w:top w:val="nil"/>
              <w:left w:val="nil"/>
              <w:bottom w:val="single" w:sz="4" w:space="0" w:color="auto"/>
              <w:right w:val="nil"/>
            </w:tcBorders>
            <w:vAlign w:val="center"/>
          </w:tcPr>
          <w:p w:rsidR="00D92A01" w:rsidRDefault="00D04275"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672" w:type="dxa"/>
            <w:tcBorders>
              <w:top w:val="nil"/>
              <w:left w:val="nil"/>
              <w:bottom w:val="single" w:sz="4" w:space="0" w:color="auto"/>
              <w:right w:val="nil"/>
            </w:tcBorders>
            <w:vAlign w:val="center"/>
          </w:tcPr>
          <w:p w:rsidR="00D92A01" w:rsidRDefault="00484157"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 = 4.08**</w:t>
            </w:r>
          </w:p>
          <w:p w:rsidR="00484157" w:rsidRPr="00653EC0" w:rsidRDefault="00484157" w:rsidP="003831B2">
            <w:pPr>
              <w:jc w:val="center"/>
              <w:rPr>
                <w:rFonts w:ascii="Times New Roman" w:eastAsia="Times New Roman" w:hAnsi="Times New Roman" w:cs="Times New Roman"/>
                <w:color w:val="000000"/>
              </w:rPr>
            </w:pPr>
            <w:r>
              <w:rPr>
                <w:rFonts w:ascii="Times New Roman" w:eastAsia="Times New Roman" w:hAnsi="Times New Roman" w:cs="Times New Roman"/>
                <w:color w:val="000000"/>
              </w:rPr>
              <w:t>95% CI [1.10, 3.17]</w:t>
            </w:r>
          </w:p>
        </w:tc>
      </w:tr>
      <w:tr w:rsidR="00D92A01" w:rsidRPr="003D2D6E" w:rsidTr="003831B2">
        <w:trPr>
          <w:trHeight w:val="340"/>
        </w:trPr>
        <w:tc>
          <w:tcPr>
            <w:tcW w:w="14516" w:type="dxa"/>
            <w:gridSpan w:val="10"/>
            <w:tcBorders>
              <w:top w:val="single" w:sz="4" w:space="0" w:color="auto"/>
              <w:left w:val="nil"/>
              <w:bottom w:val="nil"/>
              <w:right w:val="nil"/>
            </w:tcBorders>
          </w:tcPr>
          <w:p w:rsidR="00D92A01" w:rsidRDefault="00D92A01" w:rsidP="003831B2">
            <w:pPr>
              <w:rPr>
                <w:rFonts w:ascii="Times New Roman" w:eastAsia="Times New Roman" w:hAnsi="Times New Roman" w:cs="Times New Roman"/>
                <w:color w:val="000000"/>
                <w:lang w:val="en-US"/>
              </w:rPr>
            </w:pPr>
            <w:r w:rsidRPr="00541EB6">
              <w:rPr>
                <w:rFonts w:ascii="Times New Roman" w:eastAsia="Times New Roman" w:hAnsi="Times New Roman" w:cs="Times New Roman"/>
                <w:i/>
                <w:iCs/>
                <w:color w:val="000000"/>
                <w:kern w:val="24"/>
                <w:lang w:val="en-US"/>
              </w:rPr>
              <w:t xml:space="preserve">Notes. </w:t>
            </w:r>
            <w:r w:rsidRPr="00541EB6">
              <w:rPr>
                <w:rFonts w:ascii="Times New Roman" w:eastAsia="Times New Roman" w:hAnsi="Times New Roman" w:cs="Times New Roman"/>
                <w:color w:val="000000"/>
                <w:kern w:val="24"/>
                <w:vertAlign w:val="superscript"/>
                <w:lang w:val="en-US"/>
              </w:rPr>
              <w:t>+</w:t>
            </w:r>
            <w:r w:rsidRPr="0019082C">
              <w:rPr>
                <w:rFonts w:ascii="Times New Roman" w:eastAsia="Times New Roman" w:hAnsi="Times New Roman" w:cs="Times New Roman"/>
                <w:color w:val="000000"/>
                <w:kern w:val="24"/>
                <w:lang w:val="en-US"/>
              </w:rPr>
              <w:t>After outlier exclusion using CN train set (IQR &gt; 6).</w:t>
            </w:r>
            <w:r>
              <w:rPr>
                <w:rFonts w:ascii="Times New Roman" w:eastAsia="Times New Roman" w:hAnsi="Times New Roman" w:cs="Times New Roman"/>
                <w:color w:val="000000"/>
                <w:kern w:val="24"/>
                <w:lang w:val="en-US"/>
              </w:rPr>
              <w:t xml:space="preserve"> Accuracy differences </w:t>
            </w:r>
            <w:proofErr w:type="gramStart"/>
            <w:r>
              <w:rPr>
                <w:rFonts w:ascii="Times New Roman" w:eastAsia="Times New Roman" w:hAnsi="Times New Roman" w:cs="Times New Roman"/>
                <w:color w:val="000000"/>
                <w:kern w:val="24"/>
                <w:lang w:val="en-US"/>
              </w:rPr>
              <w:t>were assessed</w:t>
            </w:r>
            <w:proofErr w:type="gramEnd"/>
            <w:r>
              <w:rPr>
                <w:rFonts w:ascii="Times New Roman" w:eastAsia="Times New Roman" w:hAnsi="Times New Roman" w:cs="Times New Roman"/>
                <w:color w:val="000000"/>
                <w:kern w:val="24"/>
                <w:lang w:val="en-US"/>
              </w:rPr>
              <w:t xml:space="preserve"> with paired t-tests, while generalizability and brain age advancement were tested with standard t-tests. +trend significant with α = 0.1, * significant with</w:t>
            </w:r>
            <w:r w:rsidRPr="00653EC0">
              <w:rPr>
                <w:rFonts w:ascii="Times New Roman" w:eastAsia="Times New Roman" w:hAnsi="Times New Roman" w:cs="Times New Roman"/>
                <w:color w:val="000000"/>
                <w:kern w:val="24"/>
                <w:lang w:val="en-US"/>
              </w:rPr>
              <w:t xml:space="preserve"> </w:t>
            </w:r>
            <w:r>
              <w:rPr>
                <w:rFonts w:ascii="Times New Roman" w:eastAsia="Times New Roman" w:hAnsi="Times New Roman" w:cs="Times New Roman"/>
                <w:color w:val="000000"/>
                <w:kern w:val="24"/>
                <w:lang w:val="en-US"/>
              </w:rPr>
              <w:t>α = 0.05, ** significant with</w:t>
            </w:r>
            <w:r w:rsidRPr="00653EC0">
              <w:rPr>
                <w:rFonts w:ascii="Times New Roman" w:eastAsia="Times New Roman" w:hAnsi="Times New Roman" w:cs="Times New Roman"/>
                <w:color w:val="000000"/>
                <w:kern w:val="24"/>
                <w:lang w:val="en-US"/>
              </w:rPr>
              <w:t xml:space="preserve"> α = 0.01</w:t>
            </w:r>
          </w:p>
        </w:tc>
      </w:tr>
    </w:tbl>
    <w:p w:rsidR="003F6D67" w:rsidRDefault="003F6D67">
      <w:pPr>
        <w:rPr>
          <w:rFonts w:ascii="Times New Roman" w:hAnsi="Times New Roman" w:cs="Times New Roman"/>
          <w:lang w:val="en-US"/>
        </w:rPr>
      </w:pPr>
    </w:p>
    <w:p w:rsidR="003F6D67" w:rsidRPr="007E19FA" w:rsidRDefault="003F6D67" w:rsidP="003F6D67">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3F6D67" w:rsidRPr="00371B09" w:rsidRDefault="003F6D67" w:rsidP="003F6D67">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738"/>
        <w:gridCol w:w="1613"/>
        <w:gridCol w:w="1507"/>
        <w:gridCol w:w="1233"/>
        <w:gridCol w:w="1233"/>
        <w:gridCol w:w="1233"/>
      </w:tblGrid>
      <w:tr w:rsidR="003F6D67" w:rsidRPr="003D2D6E" w:rsidTr="00734117">
        <w:tc>
          <w:tcPr>
            <w:tcW w:w="8557" w:type="dxa"/>
            <w:gridSpan w:val="6"/>
            <w:tcBorders>
              <w:left w:val="nil"/>
              <w:bottom w:val="single" w:sz="4" w:space="0" w:color="auto"/>
              <w:right w:val="nil"/>
            </w:tcBorders>
          </w:tcPr>
          <w:p w:rsidR="003F6D67" w:rsidRDefault="003F6D67" w:rsidP="00734117">
            <w:pPr>
              <w:spacing w:line="480" w:lineRule="auto"/>
              <w:rPr>
                <w:rFonts w:ascii="Times New Roman" w:hAnsi="Times New Roman" w:cs="Times New Roman"/>
                <w:b/>
                <w:lang w:val="en-US"/>
              </w:rPr>
            </w:pPr>
            <w:r>
              <w:rPr>
                <w:rFonts w:ascii="Times New Roman" w:hAnsi="Times New Roman" w:cs="Times New Roman"/>
                <w:b/>
                <w:lang w:val="en-US"/>
              </w:rPr>
              <w:t>Table SM3</w:t>
            </w:r>
            <w:r>
              <w:rPr>
                <w:rFonts w:ascii="Times New Roman" w:hAnsi="Times New Roman" w:cs="Times New Roman"/>
                <w:b/>
                <w:lang w:val="en-US"/>
              </w:rPr>
              <w:t>. Final models with optimal hyperparameter configurations.</w:t>
            </w:r>
          </w:p>
        </w:tc>
      </w:tr>
      <w:tr w:rsidR="003F6D67" w:rsidTr="00734117">
        <w:trPr>
          <w:trHeight w:val="374"/>
        </w:trPr>
        <w:tc>
          <w:tcPr>
            <w:tcW w:w="1738" w:type="dxa"/>
            <w:tcBorders>
              <w:left w:val="nil"/>
              <w:bottom w:val="single" w:sz="4" w:space="0" w:color="auto"/>
              <w:right w:val="nil"/>
            </w:tcBorders>
          </w:tcPr>
          <w:p w:rsidR="003F6D67" w:rsidRDefault="003F6D67" w:rsidP="00734117">
            <w:pPr>
              <w:spacing w:line="480" w:lineRule="auto"/>
              <w:rPr>
                <w:rFonts w:ascii="Times New Roman" w:hAnsi="Times New Roman" w:cs="Times New Roman"/>
                <w:b/>
                <w:lang w:val="en-US"/>
              </w:rPr>
            </w:pPr>
          </w:p>
        </w:tc>
        <w:tc>
          <w:tcPr>
            <w:tcW w:w="1613" w:type="dxa"/>
            <w:tcBorders>
              <w:left w:val="nil"/>
              <w:bottom w:val="single" w:sz="4" w:space="0" w:color="auto"/>
              <w:right w:val="nil"/>
            </w:tcBorders>
            <w:vAlign w:val="center"/>
          </w:tcPr>
          <w:p w:rsidR="003F6D67" w:rsidRDefault="003F6D67" w:rsidP="00734117">
            <w:pPr>
              <w:spacing w:line="480" w:lineRule="auto"/>
              <w:jc w:val="center"/>
              <w:rPr>
                <w:rFonts w:ascii="Times New Roman" w:hAnsi="Times New Roman" w:cs="Times New Roman"/>
                <w:b/>
                <w:lang w:val="en-US"/>
              </w:rPr>
            </w:pPr>
          </w:p>
        </w:tc>
        <w:tc>
          <w:tcPr>
            <w:tcW w:w="1507" w:type="dxa"/>
            <w:tcBorders>
              <w:left w:val="nil"/>
              <w:bottom w:val="single" w:sz="4" w:space="0" w:color="auto"/>
              <w:right w:val="nil"/>
            </w:tcBorders>
            <w:vAlign w:val="center"/>
          </w:tcPr>
          <w:p w:rsidR="003F6D67" w:rsidRDefault="003F6D67" w:rsidP="00734117">
            <w:pPr>
              <w:spacing w:line="480" w:lineRule="auto"/>
              <w:jc w:val="center"/>
              <w:rPr>
                <w:rFonts w:ascii="Times New Roman" w:hAnsi="Times New Roman" w:cs="Times New Roman"/>
                <w:b/>
                <w:lang w:val="en-US"/>
              </w:rPr>
            </w:pPr>
            <w:r>
              <w:rPr>
                <w:rFonts w:ascii="Times New Roman" w:hAnsi="Times New Roman" w:cs="Times New Roman"/>
                <w:b/>
                <w:lang w:val="en-US"/>
              </w:rPr>
              <w:t>Model</w:t>
            </w:r>
          </w:p>
        </w:tc>
        <w:tc>
          <w:tcPr>
            <w:tcW w:w="1233" w:type="dxa"/>
            <w:tcBorders>
              <w:left w:val="nil"/>
              <w:bottom w:val="single" w:sz="4" w:space="0" w:color="auto"/>
              <w:right w:val="nil"/>
            </w:tcBorders>
            <w:vAlign w:val="center"/>
          </w:tcPr>
          <w:p w:rsidR="003F6D67" w:rsidRDefault="003F6D67" w:rsidP="00734117">
            <w:pPr>
              <w:spacing w:line="480" w:lineRule="auto"/>
              <w:jc w:val="center"/>
              <w:rPr>
                <w:rFonts w:ascii="Times New Roman" w:hAnsi="Times New Roman" w:cs="Times New Roman"/>
                <w:b/>
                <w:lang w:val="en-US"/>
              </w:rPr>
            </w:pPr>
            <w:r>
              <w:rPr>
                <w:rFonts w:ascii="Times New Roman" w:hAnsi="Times New Roman" w:cs="Times New Roman"/>
                <w:b/>
                <w:lang w:val="en-US"/>
              </w:rPr>
              <w:t>C</w:t>
            </w:r>
          </w:p>
        </w:tc>
        <w:tc>
          <w:tcPr>
            <w:tcW w:w="1233" w:type="dxa"/>
            <w:tcBorders>
              <w:left w:val="nil"/>
              <w:bottom w:val="single" w:sz="4" w:space="0" w:color="auto"/>
              <w:right w:val="nil"/>
            </w:tcBorders>
            <w:vAlign w:val="center"/>
          </w:tcPr>
          <w:p w:rsidR="003F6D67" w:rsidRDefault="003F6D67" w:rsidP="00734117">
            <w:pPr>
              <w:spacing w:line="480" w:lineRule="auto"/>
              <w:jc w:val="center"/>
              <w:rPr>
                <w:rFonts w:ascii="Times New Roman" w:hAnsi="Times New Roman" w:cs="Times New Roman"/>
                <w:b/>
                <w:lang w:val="en-US"/>
              </w:rPr>
            </w:pPr>
            <w:r>
              <w:rPr>
                <w:rFonts w:ascii="Times New Roman" w:hAnsi="Times New Roman" w:cs="Times New Roman"/>
                <w:b/>
                <w:lang w:val="en-US"/>
              </w:rPr>
              <w:t>Kernel</w:t>
            </w:r>
          </w:p>
        </w:tc>
        <w:tc>
          <w:tcPr>
            <w:tcW w:w="1233" w:type="dxa"/>
            <w:tcBorders>
              <w:left w:val="nil"/>
              <w:bottom w:val="single" w:sz="4" w:space="0" w:color="auto"/>
              <w:right w:val="nil"/>
            </w:tcBorders>
            <w:vAlign w:val="center"/>
          </w:tcPr>
          <w:p w:rsidR="003F6D67" w:rsidRDefault="003F6D67" w:rsidP="00734117">
            <w:pPr>
              <w:spacing w:line="480" w:lineRule="auto"/>
              <w:jc w:val="center"/>
              <w:rPr>
                <w:rFonts w:ascii="Times New Roman" w:hAnsi="Times New Roman" w:cs="Times New Roman"/>
                <w:b/>
                <w:lang w:val="en-US"/>
              </w:rPr>
            </w:pPr>
            <w:r>
              <w:rPr>
                <w:rFonts w:ascii="Times New Roman" w:hAnsi="Times New Roman" w:cs="Times New Roman"/>
                <w:b/>
                <w:lang w:val="en-US"/>
              </w:rPr>
              <w:t>Degrees</w:t>
            </w:r>
          </w:p>
        </w:tc>
      </w:tr>
      <w:tr w:rsidR="003F6D67" w:rsidTr="00734117">
        <w:tc>
          <w:tcPr>
            <w:tcW w:w="1738" w:type="dxa"/>
            <w:vMerge w:val="restart"/>
            <w:tcBorders>
              <w:left w:val="nil"/>
              <w:right w:val="nil"/>
            </w:tcBorders>
            <w:vAlign w:val="center"/>
          </w:tcPr>
          <w:p w:rsidR="003F6D67" w:rsidRPr="00371B09" w:rsidRDefault="003F6D67" w:rsidP="00734117">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13" w:type="dxa"/>
            <w:tcBorders>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bottom w:val="single" w:sz="4" w:space="0" w:color="auto"/>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bottom w:val="single" w:sz="4" w:space="0" w:color="auto"/>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single" w:sz="4" w:space="0" w:color="auto"/>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single" w:sz="4" w:space="0" w:color="auto"/>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single" w:sz="4" w:space="0" w:color="auto"/>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rPr>
          <w:trHeight w:val="567"/>
        </w:trPr>
        <w:tc>
          <w:tcPr>
            <w:tcW w:w="1738" w:type="dxa"/>
            <w:vMerge w:val="restart"/>
            <w:tcBorders>
              <w:left w:val="nil"/>
              <w:right w:val="nil"/>
            </w:tcBorders>
            <w:vAlign w:val="center"/>
          </w:tcPr>
          <w:p w:rsidR="003F6D67" w:rsidRDefault="003F6D67" w:rsidP="00734117">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13" w:type="dxa"/>
            <w:tcBorders>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07"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07"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07"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SVR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Rbf</w:t>
            </w:r>
            <w:proofErr w:type="spellEnd"/>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bottom w:val="nil"/>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07"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bottom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r w:rsidR="003F6D67" w:rsidTr="00734117">
        <w:tc>
          <w:tcPr>
            <w:tcW w:w="1738" w:type="dxa"/>
            <w:vMerge/>
            <w:tcBorders>
              <w:left w:val="nil"/>
              <w:right w:val="nil"/>
            </w:tcBorders>
          </w:tcPr>
          <w:p w:rsidR="003F6D67" w:rsidRDefault="003F6D67" w:rsidP="00734117">
            <w:pPr>
              <w:spacing w:line="480" w:lineRule="auto"/>
              <w:rPr>
                <w:rFonts w:ascii="Times New Roman" w:hAnsi="Times New Roman" w:cs="Times New Roman"/>
                <w:b/>
                <w:lang w:val="en-US"/>
              </w:rPr>
            </w:pPr>
          </w:p>
        </w:tc>
        <w:tc>
          <w:tcPr>
            <w:tcW w:w="1613" w:type="dxa"/>
            <w:tcBorders>
              <w:top w:val="nil"/>
              <w:left w:val="nil"/>
              <w:right w:val="nil"/>
            </w:tcBorders>
            <w:vAlign w:val="center"/>
          </w:tcPr>
          <w:p w:rsidR="003F6D67" w:rsidRPr="00371B09" w:rsidRDefault="003F6D67" w:rsidP="00734117">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07" w:type="dxa"/>
            <w:tcBorders>
              <w:top w:val="nil"/>
              <w:left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RVR</w:t>
            </w:r>
          </w:p>
        </w:tc>
        <w:tc>
          <w:tcPr>
            <w:tcW w:w="1233" w:type="dxa"/>
            <w:tcBorders>
              <w:top w:val="nil"/>
              <w:left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c>
          <w:tcPr>
            <w:tcW w:w="1233" w:type="dxa"/>
            <w:tcBorders>
              <w:top w:val="nil"/>
              <w:left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Linear</w:t>
            </w:r>
          </w:p>
        </w:tc>
        <w:tc>
          <w:tcPr>
            <w:tcW w:w="1233" w:type="dxa"/>
            <w:tcBorders>
              <w:top w:val="nil"/>
              <w:left w:val="nil"/>
              <w:right w:val="nil"/>
            </w:tcBorders>
            <w:vAlign w:val="center"/>
          </w:tcPr>
          <w:p w:rsidR="003F6D67" w:rsidRPr="00371B09" w:rsidRDefault="003F6D67" w:rsidP="00734117">
            <w:pPr>
              <w:spacing w:line="480" w:lineRule="auto"/>
              <w:jc w:val="center"/>
              <w:rPr>
                <w:rFonts w:ascii="Times New Roman" w:hAnsi="Times New Roman" w:cs="Times New Roman"/>
                <w:lang w:val="en-US"/>
              </w:rPr>
            </w:pPr>
            <w:r>
              <w:rPr>
                <w:rFonts w:ascii="Times New Roman" w:hAnsi="Times New Roman" w:cs="Times New Roman"/>
                <w:lang w:val="en-US"/>
              </w:rPr>
              <w:t>NA</w:t>
            </w:r>
          </w:p>
        </w:tc>
      </w:tr>
    </w:tbl>
    <w:p w:rsidR="003F6D67" w:rsidRPr="003F6D67" w:rsidRDefault="003F6D67" w:rsidP="003F6D67">
      <w:pPr>
        <w:spacing w:line="480" w:lineRule="auto"/>
        <w:rPr>
          <w:rFonts w:ascii="Times New Roman" w:hAnsi="Times New Roman" w:cs="Times New Roman"/>
          <w:b/>
          <w:lang w:val="en-US"/>
        </w:rPr>
        <w:sectPr w:rsidR="003F6D67" w:rsidRPr="003F6D67" w:rsidSect="00727DE4">
          <w:pgSz w:w="16838" w:h="11906" w:orient="landscape"/>
          <w:pgMar w:top="1418" w:right="1418" w:bottom="1418" w:left="1134" w:header="709" w:footer="709" w:gutter="0"/>
          <w:cols w:space="708"/>
          <w:docGrid w:linePitch="360"/>
        </w:sectPr>
      </w:pPr>
    </w:p>
    <w:p w:rsidR="00FA3171"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lastRenderedPageBreak/>
        <w:t>Prediction of Cognitive Outcome</w:t>
      </w:r>
    </w:p>
    <w:p w:rsidR="00C35D66" w:rsidRDefault="003D2D6E" w:rsidP="00C35D66">
      <w:pPr>
        <w:keepNext/>
        <w:spacing w:line="480" w:lineRule="auto"/>
      </w:pPr>
      <w:r>
        <w:rPr>
          <w:rFonts w:ascii="Times New Roman" w:hAnsi="Times New Roman" w:cs="Times New Roman"/>
          <w:b/>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345.75pt">
            <v:imagedata r:id="rId7" o:title="SM_CognitiveOutcome_CNSMC_V2" croptop="12829f" cropbottom="20974f"/>
          </v:shape>
        </w:pict>
      </w:r>
    </w:p>
    <w:p w:rsidR="009A3495" w:rsidRDefault="00C35D66" w:rsidP="00C35D66">
      <w:pPr>
        <w:pStyle w:val="Beschriftung"/>
        <w:rPr>
          <w:rFonts w:ascii="Times New Roman" w:hAnsi="Times New Roman" w:cs="Times New Roman"/>
          <w:i w:val="0"/>
          <w:color w:val="000000" w:themeColor="text1"/>
          <w:sz w:val="22"/>
          <w:szCs w:val="22"/>
          <w:lang w:val="en-US"/>
        </w:rPr>
      </w:pPr>
      <w:r w:rsidRPr="00C35D66">
        <w:rPr>
          <w:rFonts w:ascii="Times New Roman" w:hAnsi="Times New Roman" w:cs="Times New Roman"/>
          <w:b/>
          <w:i w:val="0"/>
          <w:color w:val="000000" w:themeColor="text1"/>
          <w:sz w:val="22"/>
          <w:szCs w:val="22"/>
          <w:lang w:val="en-US"/>
        </w:rPr>
        <w:t>FIGURE SM</w:t>
      </w:r>
      <w:r w:rsidRPr="00C35D66">
        <w:rPr>
          <w:rFonts w:ascii="Times New Roman" w:hAnsi="Times New Roman" w:cs="Times New Roman"/>
          <w:b/>
          <w:i w:val="0"/>
          <w:color w:val="000000" w:themeColor="text1"/>
          <w:sz w:val="22"/>
          <w:szCs w:val="22"/>
        </w:rPr>
        <w:fldChar w:fldCharType="begin"/>
      </w:r>
      <w:r w:rsidRPr="00C35D66">
        <w:rPr>
          <w:rFonts w:ascii="Times New Roman" w:hAnsi="Times New Roman" w:cs="Times New Roman"/>
          <w:b/>
          <w:i w:val="0"/>
          <w:color w:val="000000" w:themeColor="text1"/>
          <w:sz w:val="22"/>
          <w:szCs w:val="22"/>
          <w:lang w:val="en-US"/>
        </w:rPr>
        <w:instrText xml:space="preserve"> SEQ FIGURE \* ARABIC </w:instrText>
      </w:r>
      <w:r w:rsidRPr="00C35D66">
        <w:rPr>
          <w:rFonts w:ascii="Times New Roman" w:hAnsi="Times New Roman" w:cs="Times New Roman"/>
          <w:b/>
          <w:i w:val="0"/>
          <w:color w:val="000000" w:themeColor="text1"/>
          <w:sz w:val="22"/>
          <w:szCs w:val="22"/>
        </w:rPr>
        <w:fldChar w:fldCharType="separate"/>
      </w:r>
      <w:r w:rsidRPr="00C35D66">
        <w:rPr>
          <w:rFonts w:ascii="Times New Roman" w:hAnsi="Times New Roman" w:cs="Times New Roman"/>
          <w:b/>
          <w:i w:val="0"/>
          <w:noProof/>
          <w:color w:val="000000" w:themeColor="text1"/>
          <w:sz w:val="22"/>
          <w:szCs w:val="22"/>
          <w:lang w:val="en-US"/>
        </w:rPr>
        <w:t>1</w:t>
      </w:r>
      <w:r w:rsidRPr="00C35D66">
        <w:rPr>
          <w:rFonts w:ascii="Times New Roman" w:hAnsi="Times New Roman" w:cs="Times New Roman"/>
          <w:b/>
          <w:i w:val="0"/>
          <w:color w:val="000000" w:themeColor="text1"/>
          <w:sz w:val="22"/>
          <w:szCs w:val="22"/>
        </w:rPr>
        <w:fldChar w:fldCharType="end"/>
      </w:r>
      <w:r w:rsidRPr="00C35D66">
        <w:rPr>
          <w:rFonts w:ascii="Times New Roman" w:hAnsi="Times New Roman" w:cs="Times New Roman"/>
          <w:b/>
          <w:i w:val="0"/>
          <w:color w:val="000000" w:themeColor="text1"/>
          <w:sz w:val="22"/>
          <w:szCs w:val="22"/>
          <w:lang w:val="en-US"/>
        </w:rPr>
        <w:t xml:space="preserve"> </w:t>
      </w:r>
      <w:r w:rsidRPr="006B1208">
        <w:rPr>
          <w:rFonts w:ascii="Times New Roman" w:hAnsi="Times New Roman" w:cs="Times New Roman"/>
          <w:b/>
          <w:i w:val="0"/>
          <w:color w:val="000000" w:themeColor="text1"/>
          <w:sz w:val="22"/>
          <w:szCs w:val="22"/>
          <w:lang w:val="en-US"/>
        </w:rPr>
        <w:t>BAG for the Prediction of Cognitive Outcome.</w:t>
      </w:r>
      <w:r>
        <w:rPr>
          <w:rFonts w:ascii="Times New Roman" w:hAnsi="Times New Roman" w:cs="Times New Roman"/>
          <w:i w:val="0"/>
          <w:color w:val="000000" w:themeColor="text1"/>
          <w:sz w:val="22"/>
          <w:szCs w:val="22"/>
          <w:lang w:val="en-US"/>
        </w:rPr>
        <w:t xml:space="preserve"> Density plots showing MRI and BAG distribution by cognitive outcome in CN</w:t>
      </w:r>
      <w:r>
        <w:rPr>
          <w:rFonts w:ascii="Times New Roman" w:hAnsi="Times New Roman" w:cs="Times New Roman"/>
          <w:i w:val="0"/>
          <w:color w:val="000000" w:themeColor="text1"/>
          <w:sz w:val="22"/>
          <w:szCs w:val="22"/>
          <w:vertAlign w:val="subscript"/>
          <w:lang w:val="en-US"/>
        </w:rPr>
        <w:t>ADNI</w:t>
      </w:r>
      <w:r>
        <w:rPr>
          <w:rFonts w:ascii="Times New Roman" w:hAnsi="Times New Roman" w:cs="Times New Roman"/>
          <w:i w:val="0"/>
          <w:color w:val="000000" w:themeColor="text1"/>
          <w:sz w:val="22"/>
          <w:szCs w:val="22"/>
          <w:lang w:val="en-US"/>
        </w:rPr>
        <w:t xml:space="preserve"> (top)) and SCD</w:t>
      </w:r>
      <w:r>
        <w:rPr>
          <w:rFonts w:ascii="Times New Roman" w:hAnsi="Times New Roman" w:cs="Times New Roman"/>
          <w:i w:val="0"/>
          <w:color w:val="000000" w:themeColor="text1"/>
          <w:sz w:val="22"/>
          <w:szCs w:val="22"/>
          <w:vertAlign w:val="subscript"/>
          <w:lang w:val="en-US"/>
        </w:rPr>
        <w:t xml:space="preserve">ADNI </w:t>
      </w:r>
      <w:r>
        <w:rPr>
          <w:rFonts w:ascii="Times New Roman" w:hAnsi="Times New Roman" w:cs="Times New Roman"/>
          <w:i w:val="0"/>
          <w:color w:val="000000" w:themeColor="text1"/>
          <w:sz w:val="22"/>
          <w:szCs w:val="22"/>
          <w:lang w:val="en-US"/>
        </w:rPr>
        <w:t>(bottom)).</w:t>
      </w:r>
    </w:p>
    <w:p w:rsidR="00B52782" w:rsidRDefault="00B52782" w:rsidP="00B52782">
      <w:pPr>
        <w:rPr>
          <w:lang w:val="en-US"/>
        </w:rPr>
      </w:pPr>
    </w:p>
    <w:p w:rsidR="006110AF" w:rsidRDefault="006110AF">
      <w:pPr>
        <w:rPr>
          <w:rFonts w:ascii="Times New Roman" w:hAnsi="Times New Roman" w:cs="Times New Roman"/>
          <w:b/>
          <w:lang w:val="en-US"/>
        </w:rPr>
      </w:pPr>
      <w:r>
        <w:rPr>
          <w:rFonts w:ascii="Times New Roman" w:hAnsi="Times New Roman" w:cs="Times New Roman"/>
          <w:b/>
          <w:lang w:val="en-US"/>
        </w:rPr>
        <w:br w:type="page"/>
      </w:r>
    </w:p>
    <w:p w:rsidR="00B52782" w:rsidRPr="00B52782" w:rsidRDefault="00B52782" w:rsidP="00B52782">
      <w:pPr>
        <w:rPr>
          <w:rFonts w:ascii="Times New Roman" w:hAnsi="Times New Roman" w:cs="Times New Roman"/>
          <w:b/>
          <w:lang w:val="en-US"/>
        </w:rPr>
      </w:pPr>
      <w:bookmarkStart w:id="0" w:name="_GoBack"/>
      <w:bookmarkEnd w:id="0"/>
      <w:r>
        <w:rPr>
          <w:rFonts w:ascii="Times New Roman" w:hAnsi="Times New Roman" w:cs="Times New Roman"/>
          <w:b/>
          <w:lang w:val="en-US"/>
        </w:rPr>
        <w:lastRenderedPageBreak/>
        <w:t>References</w:t>
      </w:r>
    </w:p>
    <w:p w:rsidR="00B52782" w:rsidRPr="00B52782" w:rsidRDefault="00B52782" w:rsidP="00B52782">
      <w:pPr>
        <w:widowControl w:val="0"/>
        <w:autoSpaceDE w:val="0"/>
        <w:autoSpaceDN w:val="0"/>
        <w:adjustRightInd w:val="0"/>
        <w:spacing w:line="240" w:lineRule="auto"/>
        <w:ind w:left="640" w:hanging="640"/>
        <w:rPr>
          <w:rFonts w:ascii="Times New Roman" w:hAnsi="Times New Roman" w:cs="Times New Roman"/>
          <w:noProof/>
          <w:szCs w:val="24"/>
        </w:rPr>
      </w:pPr>
      <w:r w:rsidRPr="00B52782">
        <w:rPr>
          <w:rFonts w:ascii="Times New Roman" w:hAnsi="Times New Roman" w:cs="Times New Roman"/>
          <w:lang w:val="en-US"/>
        </w:rPr>
        <w:fldChar w:fldCharType="begin" w:fldLock="1"/>
      </w:r>
      <w:r w:rsidRPr="00B52782">
        <w:rPr>
          <w:rFonts w:ascii="Times New Roman" w:hAnsi="Times New Roman" w:cs="Times New Roman"/>
          <w:lang w:val="en-US"/>
        </w:rPr>
        <w:instrText xml:space="preserve">ADDIN Mendeley Bibliography CSL_BIBLIOGRAPHY </w:instrText>
      </w:r>
      <w:r w:rsidRPr="00B52782">
        <w:rPr>
          <w:rFonts w:ascii="Times New Roman" w:hAnsi="Times New Roman" w:cs="Times New Roman"/>
          <w:lang w:val="en-US"/>
        </w:rPr>
        <w:fldChar w:fldCharType="separate"/>
      </w:r>
      <w:r w:rsidRPr="00B52782">
        <w:rPr>
          <w:rFonts w:ascii="Times New Roman" w:hAnsi="Times New Roman" w:cs="Times New Roman"/>
          <w:noProof/>
          <w:szCs w:val="24"/>
        </w:rPr>
        <w:t xml:space="preserve">1. </w:t>
      </w:r>
      <w:r w:rsidRPr="00B52782">
        <w:rPr>
          <w:rFonts w:ascii="Times New Roman" w:hAnsi="Times New Roman" w:cs="Times New Roman"/>
          <w:noProof/>
          <w:szCs w:val="24"/>
        </w:rPr>
        <w:tab/>
        <w:t xml:space="preserve">Verger A, Doyen M, Campion JY, Guedj E. The pons as reference region for intensity normalization in semi-quantitative analysis of brain 18FDG PET: application to metabolic changes related to ageing in conventional and digital control databases. </w:t>
      </w:r>
      <w:r w:rsidRPr="00B52782">
        <w:rPr>
          <w:rFonts w:ascii="Times New Roman" w:hAnsi="Times New Roman" w:cs="Times New Roman"/>
          <w:i/>
          <w:iCs/>
          <w:noProof/>
          <w:szCs w:val="24"/>
        </w:rPr>
        <w:t>EJNMMI Res</w:t>
      </w:r>
      <w:r w:rsidRPr="00B52782">
        <w:rPr>
          <w:rFonts w:ascii="Times New Roman" w:hAnsi="Times New Roman" w:cs="Times New Roman"/>
          <w:noProof/>
          <w:szCs w:val="24"/>
        </w:rPr>
        <w:t>. 2021;11(1):1-7. doi:10.1186/s13550-021-00771-0</w:t>
      </w:r>
    </w:p>
    <w:p w:rsidR="00B52782" w:rsidRPr="00B52782" w:rsidRDefault="00B52782" w:rsidP="00B52782">
      <w:pPr>
        <w:widowControl w:val="0"/>
        <w:autoSpaceDE w:val="0"/>
        <w:autoSpaceDN w:val="0"/>
        <w:adjustRightInd w:val="0"/>
        <w:spacing w:line="240" w:lineRule="auto"/>
        <w:ind w:left="640" w:hanging="640"/>
        <w:rPr>
          <w:rFonts w:ascii="Times New Roman" w:hAnsi="Times New Roman" w:cs="Times New Roman"/>
          <w:noProof/>
          <w:szCs w:val="24"/>
        </w:rPr>
      </w:pPr>
      <w:r w:rsidRPr="00B52782">
        <w:rPr>
          <w:rFonts w:ascii="Times New Roman" w:hAnsi="Times New Roman" w:cs="Times New Roman"/>
          <w:noProof/>
          <w:szCs w:val="24"/>
        </w:rPr>
        <w:t xml:space="preserve">2. </w:t>
      </w:r>
      <w:r w:rsidRPr="00B52782">
        <w:rPr>
          <w:rFonts w:ascii="Times New Roman" w:hAnsi="Times New Roman" w:cs="Times New Roman"/>
          <w:noProof/>
          <w:szCs w:val="24"/>
        </w:rPr>
        <w:tab/>
        <w:t xml:space="preserve">Rajapakse JC, Giedd JN, Rapoport JL. Statistical approach to segmentation of single-channel cerebral mr images. </w:t>
      </w:r>
      <w:r w:rsidRPr="00B52782">
        <w:rPr>
          <w:rFonts w:ascii="Times New Roman" w:hAnsi="Times New Roman" w:cs="Times New Roman"/>
          <w:i/>
          <w:iCs/>
          <w:noProof/>
          <w:szCs w:val="24"/>
        </w:rPr>
        <w:t>IEEE Trans Med Imaging</w:t>
      </w:r>
      <w:r w:rsidRPr="00B52782">
        <w:rPr>
          <w:rFonts w:ascii="Times New Roman" w:hAnsi="Times New Roman" w:cs="Times New Roman"/>
          <w:noProof/>
          <w:szCs w:val="24"/>
        </w:rPr>
        <w:t>. 1997;16(2). doi:10.1109/42.563663</w:t>
      </w:r>
    </w:p>
    <w:p w:rsidR="00B52782" w:rsidRPr="00B52782" w:rsidRDefault="00B52782" w:rsidP="00B52782">
      <w:pPr>
        <w:widowControl w:val="0"/>
        <w:autoSpaceDE w:val="0"/>
        <w:autoSpaceDN w:val="0"/>
        <w:adjustRightInd w:val="0"/>
        <w:spacing w:line="240" w:lineRule="auto"/>
        <w:ind w:left="640" w:hanging="640"/>
        <w:rPr>
          <w:rFonts w:ascii="Times New Roman" w:hAnsi="Times New Roman" w:cs="Times New Roman"/>
          <w:noProof/>
          <w:szCs w:val="24"/>
        </w:rPr>
      </w:pPr>
      <w:r w:rsidRPr="00B52782">
        <w:rPr>
          <w:rFonts w:ascii="Times New Roman" w:hAnsi="Times New Roman" w:cs="Times New Roman"/>
          <w:noProof/>
          <w:szCs w:val="24"/>
        </w:rPr>
        <w:t xml:space="preserve">3. </w:t>
      </w:r>
      <w:r w:rsidRPr="00B52782">
        <w:rPr>
          <w:rFonts w:ascii="Times New Roman" w:hAnsi="Times New Roman" w:cs="Times New Roman"/>
          <w:noProof/>
          <w:szCs w:val="24"/>
        </w:rPr>
        <w:tab/>
        <w:t xml:space="preserve">Tohka J, Zijdenbos A, Evans A. Fast and robust parameter estimation for statistical partial volume models in brain MRI. </w:t>
      </w:r>
      <w:r w:rsidRPr="00B52782">
        <w:rPr>
          <w:rFonts w:ascii="Times New Roman" w:hAnsi="Times New Roman" w:cs="Times New Roman"/>
          <w:i/>
          <w:iCs/>
          <w:noProof/>
          <w:szCs w:val="24"/>
        </w:rPr>
        <w:t>Neuroimage</w:t>
      </w:r>
      <w:r w:rsidRPr="00B52782">
        <w:rPr>
          <w:rFonts w:ascii="Times New Roman" w:hAnsi="Times New Roman" w:cs="Times New Roman"/>
          <w:noProof/>
          <w:szCs w:val="24"/>
        </w:rPr>
        <w:t>. 2004;23(1). doi:10.1016/j.neuroimage.2004.05.007</w:t>
      </w:r>
    </w:p>
    <w:p w:rsidR="00B52782" w:rsidRPr="00B52782" w:rsidRDefault="00B52782" w:rsidP="00B52782">
      <w:pPr>
        <w:widowControl w:val="0"/>
        <w:autoSpaceDE w:val="0"/>
        <w:autoSpaceDN w:val="0"/>
        <w:adjustRightInd w:val="0"/>
        <w:spacing w:line="240" w:lineRule="auto"/>
        <w:ind w:left="640" w:hanging="640"/>
        <w:rPr>
          <w:rFonts w:ascii="Times New Roman" w:hAnsi="Times New Roman" w:cs="Times New Roman"/>
          <w:noProof/>
          <w:szCs w:val="24"/>
        </w:rPr>
      </w:pPr>
      <w:r w:rsidRPr="00B52782">
        <w:rPr>
          <w:rFonts w:ascii="Times New Roman" w:hAnsi="Times New Roman" w:cs="Times New Roman"/>
          <w:noProof/>
          <w:szCs w:val="24"/>
        </w:rPr>
        <w:t xml:space="preserve">4. </w:t>
      </w:r>
      <w:r w:rsidRPr="00B52782">
        <w:rPr>
          <w:rFonts w:ascii="Times New Roman" w:hAnsi="Times New Roman" w:cs="Times New Roman"/>
          <w:noProof/>
          <w:szCs w:val="24"/>
        </w:rPr>
        <w:tab/>
        <w:t xml:space="preserve">Gaser C, Franke K, Klöppel S, Koutsouleris N, Sauer H. BrainAGE in Mild Cognitive Impaired Patients: Predicting the Conversion to Alzheimer’s Disease. </w:t>
      </w:r>
      <w:r w:rsidRPr="00B52782">
        <w:rPr>
          <w:rFonts w:ascii="Times New Roman" w:hAnsi="Times New Roman" w:cs="Times New Roman"/>
          <w:i/>
          <w:iCs/>
          <w:noProof/>
          <w:szCs w:val="24"/>
        </w:rPr>
        <w:t>PLoS One</w:t>
      </w:r>
      <w:r w:rsidRPr="00B52782">
        <w:rPr>
          <w:rFonts w:ascii="Times New Roman" w:hAnsi="Times New Roman" w:cs="Times New Roman"/>
          <w:noProof/>
          <w:szCs w:val="24"/>
        </w:rPr>
        <w:t>. 2013;8(6):e67346. doi:10.1371/journal.pone.0067346</w:t>
      </w:r>
    </w:p>
    <w:p w:rsidR="00B52782" w:rsidRPr="00B52782" w:rsidRDefault="00B52782" w:rsidP="00B52782">
      <w:pPr>
        <w:widowControl w:val="0"/>
        <w:autoSpaceDE w:val="0"/>
        <w:autoSpaceDN w:val="0"/>
        <w:adjustRightInd w:val="0"/>
        <w:spacing w:line="240" w:lineRule="auto"/>
        <w:ind w:left="640" w:hanging="640"/>
        <w:rPr>
          <w:rFonts w:ascii="Times New Roman" w:hAnsi="Times New Roman" w:cs="Times New Roman"/>
          <w:noProof/>
          <w:szCs w:val="24"/>
        </w:rPr>
      </w:pPr>
      <w:r w:rsidRPr="00B52782">
        <w:rPr>
          <w:rFonts w:ascii="Times New Roman" w:hAnsi="Times New Roman" w:cs="Times New Roman"/>
          <w:noProof/>
          <w:szCs w:val="24"/>
        </w:rPr>
        <w:t xml:space="preserve">5. </w:t>
      </w:r>
      <w:r w:rsidRPr="00B52782">
        <w:rPr>
          <w:rFonts w:ascii="Times New Roman" w:hAnsi="Times New Roman" w:cs="Times New Roman"/>
          <w:noProof/>
          <w:szCs w:val="24"/>
        </w:rPr>
        <w:tab/>
        <w:t xml:space="preserve">Beheshti I, Nugent S, Potvin O, Duchesne S. Bias-adjustment in neuroimaging-based brain age frameworks: A robust scheme. </w:t>
      </w:r>
      <w:r w:rsidRPr="00B52782">
        <w:rPr>
          <w:rFonts w:ascii="Times New Roman" w:hAnsi="Times New Roman" w:cs="Times New Roman"/>
          <w:i/>
          <w:iCs/>
          <w:noProof/>
          <w:szCs w:val="24"/>
        </w:rPr>
        <w:t>NeuroImage Clin</w:t>
      </w:r>
      <w:r w:rsidRPr="00B52782">
        <w:rPr>
          <w:rFonts w:ascii="Times New Roman" w:hAnsi="Times New Roman" w:cs="Times New Roman"/>
          <w:noProof/>
          <w:szCs w:val="24"/>
        </w:rPr>
        <w:t>. 2019;24:102063. doi:10.1016/j.nicl.2019.102063</w:t>
      </w:r>
    </w:p>
    <w:p w:rsidR="00B52782" w:rsidRPr="00B52782" w:rsidRDefault="00B52782" w:rsidP="00B52782">
      <w:pPr>
        <w:widowControl w:val="0"/>
        <w:autoSpaceDE w:val="0"/>
        <w:autoSpaceDN w:val="0"/>
        <w:adjustRightInd w:val="0"/>
        <w:spacing w:line="240" w:lineRule="auto"/>
        <w:ind w:left="640" w:hanging="640"/>
        <w:rPr>
          <w:rFonts w:ascii="Times New Roman" w:hAnsi="Times New Roman" w:cs="Times New Roman"/>
          <w:noProof/>
          <w:szCs w:val="24"/>
        </w:rPr>
      </w:pPr>
      <w:r w:rsidRPr="00B52782">
        <w:rPr>
          <w:rFonts w:ascii="Times New Roman" w:hAnsi="Times New Roman" w:cs="Times New Roman"/>
          <w:noProof/>
          <w:szCs w:val="24"/>
        </w:rPr>
        <w:t xml:space="preserve">6. </w:t>
      </w:r>
      <w:r w:rsidRPr="00B52782">
        <w:rPr>
          <w:rFonts w:ascii="Times New Roman" w:hAnsi="Times New Roman" w:cs="Times New Roman"/>
          <w:noProof/>
          <w:szCs w:val="24"/>
        </w:rPr>
        <w:tab/>
        <w:t xml:space="preserve">Landau S, Jagust W. </w:t>
      </w:r>
      <w:r w:rsidRPr="00B52782">
        <w:rPr>
          <w:rFonts w:ascii="Times New Roman" w:hAnsi="Times New Roman" w:cs="Times New Roman"/>
          <w:i/>
          <w:iCs/>
          <w:noProof/>
          <w:szCs w:val="24"/>
        </w:rPr>
        <w:t>Florbetapir Processing Methods</w:t>
      </w:r>
      <w:r w:rsidRPr="00B52782">
        <w:rPr>
          <w:rFonts w:ascii="Times New Roman" w:hAnsi="Times New Roman" w:cs="Times New Roman"/>
          <w:noProof/>
          <w:szCs w:val="24"/>
        </w:rPr>
        <w:t>.; 2011.</w:t>
      </w:r>
    </w:p>
    <w:p w:rsidR="00B52782" w:rsidRPr="00B52782" w:rsidRDefault="00B52782" w:rsidP="00B52782">
      <w:pPr>
        <w:widowControl w:val="0"/>
        <w:autoSpaceDE w:val="0"/>
        <w:autoSpaceDN w:val="0"/>
        <w:adjustRightInd w:val="0"/>
        <w:spacing w:line="240" w:lineRule="auto"/>
        <w:ind w:left="640" w:hanging="640"/>
        <w:rPr>
          <w:rFonts w:ascii="Times New Roman" w:hAnsi="Times New Roman" w:cs="Times New Roman"/>
          <w:noProof/>
        </w:rPr>
      </w:pPr>
      <w:r w:rsidRPr="00B52782">
        <w:rPr>
          <w:rFonts w:ascii="Times New Roman" w:hAnsi="Times New Roman" w:cs="Times New Roman"/>
          <w:noProof/>
          <w:szCs w:val="24"/>
        </w:rPr>
        <w:t xml:space="preserve">7. </w:t>
      </w:r>
      <w:r w:rsidRPr="00B52782">
        <w:rPr>
          <w:rFonts w:ascii="Times New Roman" w:hAnsi="Times New Roman" w:cs="Times New Roman"/>
          <w:noProof/>
          <w:szCs w:val="24"/>
        </w:rPr>
        <w:tab/>
        <w:t xml:space="preserve">Blennow K, Shaw LM, Stomrud E, et al. Predicting clinical decline and conversion to Alzheimer’s disease or dementia using novel Elecsys Aβ(1–42), pTau and tTau CSF immunoassays. </w:t>
      </w:r>
      <w:r w:rsidRPr="00B52782">
        <w:rPr>
          <w:rFonts w:ascii="Times New Roman" w:hAnsi="Times New Roman" w:cs="Times New Roman"/>
          <w:i/>
          <w:iCs/>
          <w:noProof/>
          <w:szCs w:val="24"/>
        </w:rPr>
        <w:t>Sci Rep</w:t>
      </w:r>
      <w:r w:rsidRPr="00B52782">
        <w:rPr>
          <w:rFonts w:ascii="Times New Roman" w:hAnsi="Times New Roman" w:cs="Times New Roman"/>
          <w:noProof/>
          <w:szCs w:val="24"/>
        </w:rPr>
        <w:t>. 2019;9(1). doi:10.1038/s41598-019-54204-z</w:t>
      </w:r>
    </w:p>
    <w:p w:rsidR="00B52782" w:rsidRPr="00B52782" w:rsidRDefault="00B52782" w:rsidP="00B52782">
      <w:pPr>
        <w:rPr>
          <w:lang w:val="en-US"/>
        </w:rPr>
      </w:pPr>
      <w:r w:rsidRPr="00B52782">
        <w:rPr>
          <w:rFonts w:ascii="Times New Roman" w:hAnsi="Times New Roman" w:cs="Times New Roman"/>
          <w:lang w:val="en-US"/>
        </w:rPr>
        <w:fldChar w:fldCharType="end"/>
      </w:r>
    </w:p>
    <w:sectPr w:rsidR="00B52782" w:rsidRPr="00B52782" w:rsidSect="00727DE4">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6416"/>
    <w:multiLevelType w:val="hybridMultilevel"/>
    <w:tmpl w:val="C42428F2"/>
    <w:lvl w:ilvl="0" w:tplc="0D6ADE1A">
      <w:start w:val="8"/>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B1DCA"/>
    <w:multiLevelType w:val="hybridMultilevel"/>
    <w:tmpl w:val="5FE42972"/>
    <w:lvl w:ilvl="0" w:tplc="0506F15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A667A"/>
    <w:multiLevelType w:val="hybridMultilevel"/>
    <w:tmpl w:val="5D3E6642"/>
    <w:lvl w:ilvl="0" w:tplc="96DAAFE2">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3213E"/>
    <w:multiLevelType w:val="hybridMultilevel"/>
    <w:tmpl w:val="FA701D8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6864969"/>
    <w:multiLevelType w:val="hybridMultilevel"/>
    <w:tmpl w:val="A3466426"/>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B60A8"/>
    <w:multiLevelType w:val="hybridMultilevel"/>
    <w:tmpl w:val="942010A0"/>
    <w:lvl w:ilvl="0" w:tplc="28268200">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0A387E"/>
    <w:rsid w:val="00157C20"/>
    <w:rsid w:val="001B6EC7"/>
    <w:rsid w:val="001E37D8"/>
    <w:rsid w:val="001F59CB"/>
    <w:rsid w:val="0022020A"/>
    <w:rsid w:val="002257B7"/>
    <w:rsid w:val="002317F9"/>
    <w:rsid w:val="0024443C"/>
    <w:rsid w:val="00251726"/>
    <w:rsid w:val="00371B09"/>
    <w:rsid w:val="003D2D6E"/>
    <w:rsid w:val="003E2040"/>
    <w:rsid w:val="003F27D7"/>
    <w:rsid w:val="003F6D67"/>
    <w:rsid w:val="00405BA8"/>
    <w:rsid w:val="00437A1D"/>
    <w:rsid w:val="00484157"/>
    <w:rsid w:val="004A4BF6"/>
    <w:rsid w:val="004D093A"/>
    <w:rsid w:val="004E0A03"/>
    <w:rsid w:val="00503480"/>
    <w:rsid w:val="00572AE3"/>
    <w:rsid w:val="005777B1"/>
    <w:rsid w:val="00581648"/>
    <w:rsid w:val="005C155F"/>
    <w:rsid w:val="006110AF"/>
    <w:rsid w:val="006938A5"/>
    <w:rsid w:val="00694EDD"/>
    <w:rsid w:val="006A30AC"/>
    <w:rsid w:val="006C4EFC"/>
    <w:rsid w:val="007250F1"/>
    <w:rsid w:val="00727DE4"/>
    <w:rsid w:val="00760CCF"/>
    <w:rsid w:val="007C1CE0"/>
    <w:rsid w:val="007E19FA"/>
    <w:rsid w:val="007F3C8F"/>
    <w:rsid w:val="00815853"/>
    <w:rsid w:val="00815D0D"/>
    <w:rsid w:val="00861901"/>
    <w:rsid w:val="008A5776"/>
    <w:rsid w:val="009A3495"/>
    <w:rsid w:val="009B1835"/>
    <w:rsid w:val="009B5C2B"/>
    <w:rsid w:val="00AA1164"/>
    <w:rsid w:val="00AD6CD0"/>
    <w:rsid w:val="00AE20C8"/>
    <w:rsid w:val="00AF1676"/>
    <w:rsid w:val="00AF4A0D"/>
    <w:rsid w:val="00B03F94"/>
    <w:rsid w:val="00B06FCC"/>
    <w:rsid w:val="00B24FFF"/>
    <w:rsid w:val="00B52782"/>
    <w:rsid w:val="00BB7BA7"/>
    <w:rsid w:val="00C35D66"/>
    <w:rsid w:val="00CA2BB9"/>
    <w:rsid w:val="00CC4831"/>
    <w:rsid w:val="00CE1583"/>
    <w:rsid w:val="00D04275"/>
    <w:rsid w:val="00D148EA"/>
    <w:rsid w:val="00D425E4"/>
    <w:rsid w:val="00D74F6C"/>
    <w:rsid w:val="00D92A01"/>
    <w:rsid w:val="00D97E57"/>
    <w:rsid w:val="00DD542A"/>
    <w:rsid w:val="00E1576F"/>
    <w:rsid w:val="00E30831"/>
    <w:rsid w:val="00E33AB2"/>
    <w:rsid w:val="00E66FC6"/>
    <w:rsid w:val="00E77BCE"/>
    <w:rsid w:val="00E94387"/>
    <w:rsid w:val="00ED38CD"/>
    <w:rsid w:val="00EF5C34"/>
    <w:rsid w:val="00F56132"/>
    <w:rsid w:val="00F625BB"/>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DB7A"/>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 w:type="paragraph" w:styleId="Beschriftung">
    <w:name w:val="caption"/>
    <w:basedOn w:val="Standard"/>
    <w:next w:val="Standard"/>
    <w:uiPriority w:val="35"/>
    <w:unhideWhenUsed/>
    <w:qFormat/>
    <w:rsid w:val="00C35D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il.ion.ucl.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246D-BC50-4C52-B4F8-0872AB67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5330</Words>
  <Characters>30384</Characters>
  <Application>Microsoft Office Word</Application>
  <DocSecurity>0</DocSecurity>
  <Lines>253</Lines>
  <Paragraphs>71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35643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39</cp:revision>
  <dcterms:created xsi:type="dcterms:W3CDTF">2022-11-29T09:51:00Z</dcterms:created>
  <dcterms:modified xsi:type="dcterms:W3CDTF">2023-04-03T15:36:00Z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ba211d4a-1c22-34d0-af37-eed5eca2048f</vt:lpwstr>
  </property>
  <property fmtid="{D5CDD505-2E9C-101B-9397-08002B2CF9AE}" pid="24" name="Mendeley Citation Style_1">
    <vt:lpwstr>http://www.zotero.org/styles/american-medical-association</vt:lpwstr>
  </property>
</Properties>
</file>