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5C8B"/>
          <w:sz w:val="34"/>
          <w:szCs w:val="34"/>
        </w:rPr>
        <w:t xml:space="preserve">ПЛАН-КОНСПЕКТ НА ОТКРИТ УРОК ПО МАТЕМАТИКА</w:t>
      </w:r>
    </w:p>
    <w:p>
      <w:pPr>
        <w:spacing w:after="240"/>
        <w:jc w:val="center"/>
      </w:pPr>
      <w:r>
        <w:rPr>
          <w:i/>
          <w:iCs/>
          <w:sz w:val="24"/>
          <w:szCs w:val="24"/>
        </w:rPr>
        <w:t xml:space="preserve">„Предизвикателството на шампионите“ – задачи от движение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906"/>
      </w:tblGrid>
      <w:tr>
        <w:tc>
          <w:tcPr>
            <w:tcW w:type="pct" w:w="30%"/>
            <w:shd w:fill="1F5C8B" w:val="clear"/>
          </w:tcPr>
          <w:p>
            <w:r>
              <w:rPr>
                <w:b/>
                <w:bCs/>
                <w:color w:val="FFFFFF"/>
              </w:rPr>
              <w:t xml:space="preserve">Клас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</w:rPr>
              <w:t xml:space="preserve">6. клас</w:t>
            </w:r>
          </w:p>
        </w:tc>
      </w:tr>
      <w:tr>
        <w:tc>
          <w:tcPr>
            <w:tcW w:type="pct" w:w="30%"/>
            <w:shd w:fill="1F5C8B" w:val="clear"/>
          </w:tcPr>
          <w:p>
            <w:r>
              <w:rPr>
                <w:b/>
                <w:bCs/>
                <w:color w:val="FFFFFF"/>
              </w:rPr>
              <w:t xml:space="preserve">Вид на урока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</w:rPr>
              <w:t xml:space="preserve">Урок за упражнение, затвърдяване и приложение на знанията чрез интерактивно състезание</w:t>
            </w:r>
          </w:p>
        </w:tc>
      </w:tr>
      <w:tr>
        <w:tc>
          <w:tcPr>
            <w:tcW w:type="pct" w:w="30%"/>
            <w:shd w:fill="1F5C8B" w:val="clear"/>
          </w:tcPr>
          <w:p>
            <w:r>
              <w:rPr>
                <w:b/>
                <w:bCs/>
                <w:color w:val="FFFFFF"/>
              </w:rPr>
              <w:t xml:space="preserve">Продължителност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</w:rPr>
              <w:t xml:space="preserve">45 минути</w:t>
            </w:r>
          </w:p>
        </w:tc>
      </w:tr>
      <w:tr>
        <w:tc>
          <w:tcPr>
            <w:tcW w:type="pct" w:w="30%"/>
            <w:shd w:fill="1F5C8B" w:val="clear"/>
          </w:tcPr>
          <w:p>
            <w:r>
              <w:rPr>
                <w:b/>
                <w:bCs/>
                <w:color w:val="FFFFFF"/>
              </w:rPr>
              <w:t xml:space="preserve">Форма на организация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</w:rPr>
              <w:t xml:space="preserve">Отборно състезание с използване на интерактивен дисплей</w:t>
            </w:r>
          </w:p>
        </w:tc>
      </w:tr>
    </w:tbl>
    <w:p>
      <w:pPr>
        <w:spacing w:after="200"/>
      </w:pPr>
    </w:p>
    <w:p>
      <w:pPr>
        <w:pStyle w:val="Heading1"/>
        <w:spacing w:after="120" w:before="240"/>
      </w:pPr>
      <w:r>
        <w:t xml:space="preserve">Образователни цели</w:t>
      </w:r>
    </w:p>
    <w:p>
      <w:pPr>
        <w:spacing w:after="120"/>
      </w:pPr>
      <w:r>
        <w:t xml:space="preserve">Учениците: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прилагат знанията си за величините път, скорост и време;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използват правилно формулите при решаване на задачи от движение;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анализират условието и избират подходящ начин за решаване;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представят аргументирано своите решения;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работят ефективно в екип и спазват правилата на състезанието.</w:t>
      </w:r>
    </w:p>
    <w:p>
      <w:pPr>
        <w:pStyle w:val="Heading1"/>
        <w:spacing w:after="120" w:before="240"/>
      </w:pPr>
      <w:r>
        <w:t xml:space="preserve">Компетентности</w:t>
      </w:r>
    </w:p>
    <w:p>
      <w:pPr>
        <w:spacing w:after="120"/>
      </w:pPr>
      <w:r>
        <w:t xml:space="preserve">Учениците развиват: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математическа компетентност;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логическо мислене;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умения за работа в екип;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комуникативни умения;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дигитални умения при работа с интерактивен дисплей;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умения за вземане на решения в ограничено време.</w:t>
      </w:r>
    </w:p>
    <w:p>
      <w:pPr>
        <w:pStyle w:val="Heading1"/>
        <w:spacing w:after="120" w:before="240"/>
      </w:pPr>
      <w:r>
        <w:t xml:space="preserve">Междупредметни връзки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Физическо възпитание и спорт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Информационни технологии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Човекът и природата (измерване и величини)</w:t>
      </w:r>
    </w:p>
    <w:p>
      <w:pPr>
        <w:pStyle w:val="Heading1"/>
        <w:spacing w:after="120" w:before="240"/>
      </w:pPr>
      <w:r>
        <w:t xml:space="preserve">Необходими материали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интерактивен дисплей;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HTML игра „Предизвикателството на шампионите“;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работни листове;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листове за чернова;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маркери;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табло за оценяване (вградено в играта).</w:t>
      </w:r>
    </w:p>
    <w:p>
      <w:pPr>
        <w:pStyle w:val="Heading1"/>
        <w:spacing w:after="120" w:before="240"/>
      </w:pPr>
      <w:r>
        <w:t xml:space="preserve">Предварителна организация</w:t>
      </w:r>
    </w:p>
    <w:p>
      <w:pPr>
        <w:spacing w:after="120"/>
      </w:pPr>
      <w:r>
        <w:t xml:space="preserve">Класът е разделен на два отбора:</w:t>
      </w:r>
    </w:p>
    <w:p>
      <w:pPr>
        <w:spacing w:after="120"/>
      </w:pPr>
      <w:r>
        <w:rPr>
          <w:b/>
          <w:bCs/>
        </w:rPr>
        <w:t xml:space="preserve">🔵 Отбор „Светкавица“</w:t>
      </w:r>
    </w:p>
    <w:p>
      <w:pPr>
        <w:spacing w:after="120"/>
      </w:pPr>
      <w:r>
        <w:rPr>
          <w:b/>
          <w:bCs/>
        </w:rPr>
        <w:t xml:space="preserve">🟢 Отбор „Олимпийци“</w:t>
      </w:r>
    </w:p>
    <w:p>
      <w:pPr>
        <w:spacing w:after="120"/>
      </w:pPr>
      <w:r>
        <w:t xml:space="preserve">Всеки отбор определя: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капитан;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говорител;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записващ;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проверяващ.</w:t>
      </w:r>
    </w:p>
    <w:p>
      <w:pPr>
        <w:spacing w:after="120"/>
      </w:pPr>
      <w:r>
        <w:t xml:space="preserve">Ролите могат да се сменят по време на урока.</w:t>
      </w:r>
    </w:p>
    <w:p>
      <w:pPr>
        <w:pStyle w:val="Heading1"/>
        <w:spacing w:after="120" w:before="240"/>
      </w:pPr>
      <w:r>
        <w:t xml:space="preserve">Ход на урока</w:t>
      </w:r>
    </w:p>
    <w:p>
      <w:pPr>
        <w:pStyle w:val="Heading2"/>
        <w:spacing w:after="120" w:before="240"/>
      </w:pPr>
      <w:r>
        <w:t xml:space="preserve">I. Организационен момент (2 мин.)</w:t>
      </w:r>
    </w:p>
    <w:p>
      <w:pPr>
        <w:spacing w:after="120"/>
      </w:pPr>
      <w:r>
        <w:t xml:space="preserve">Учителят поздравява учениците и гостите.</w:t>
      </w:r>
    </w:p>
    <w:p>
      <w:pPr>
        <w:spacing w:after="120"/>
      </w:pPr>
      <w:r>
        <w:t xml:space="preserve">На интерактивния дисплей се стартира играта.</w:t>
      </w:r>
    </w:p>
    <w:p>
      <w:pPr>
        <w:spacing w:after="120"/>
      </w:pPr>
      <w:r>
        <w:t xml:space="preserve">Учителят представя темата и правилата на състезанието.</w:t>
      </w:r>
    </w:p>
    <w:p>
      <w:pPr>
        <w:pStyle w:val="Heading2"/>
        <w:spacing w:after="120" w:before="240"/>
      </w:pPr>
      <w:r>
        <w:t xml:space="preserve">II. Мотивация (3 мин.)</w:t>
      </w:r>
    </w:p>
    <w:p>
      <w:pPr>
        <w:spacing w:after="120"/>
      </w:pPr>
      <w:r>
        <w:t xml:space="preserve">Учителят поставя въпрос:</w:t>
      </w:r>
    </w:p>
    <w:p>
      <w:pPr>
        <w:pBdr>
          <w:left w:val="single" w:color="1F5C8B" w:sz="12" w:space="8"/>
        </w:pBdr>
        <w:shd w:fill="EAF1F6" w:val="clear"/>
        <w:spacing w:after="200" w:before="100"/>
        <w:ind w:left="200"/>
      </w:pPr>
      <w:r>
        <w:rPr>
          <w:b/>
          <w:bCs/>
          <w:i/>
          <w:iCs/>
        </w:rPr>
        <w:t xml:space="preserve">„Защо един спортист трябва да умее да пресмята време, скорост и разстояние?“</w:t>
      </w:r>
    </w:p>
    <w:p>
      <w:pPr>
        <w:spacing w:after="120"/>
      </w:pPr>
      <w:r>
        <w:t xml:space="preserve">След кратка дискусия се прави връзка между математиката и ежедневната спортна подготовка.</w:t>
      </w:r>
    </w:p>
    <w:p>
      <w:pPr>
        <w:pStyle w:val="Heading2"/>
        <w:spacing w:after="120" w:before="240"/>
      </w:pPr>
      <w:r>
        <w:t xml:space="preserve">III. Представяне на правилата (3 мин.)</w:t>
      </w:r>
    </w:p>
    <w:p>
      <w:pPr>
        <w:spacing w:after="120"/>
      </w:pPr>
      <w:r>
        <w:t xml:space="preserve">Учителят демонстрира интерфейса на играта. Обяснява: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категориите;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точковата система;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таймера;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автоматичното редуване на отборите;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начина на оценяване.</w:t>
      </w:r>
    </w:p>
    <w:p>
      <w:pPr>
        <w:pStyle w:val="Heading2"/>
        <w:spacing w:after="120" w:before="240"/>
      </w:pPr>
      <w:r>
        <w:t xml:space="preserve">IV. Състезателна част (30 мин.)</w:t>
      </w:r>
    </w:p>
    <w:p>
      <w:pPr>
        <w:pStyle w:val="Heading3"/>
        <w:spacing w:after="120" w:before="240"/>
      </w:pPr>
      <w:r>
        <w:t xml:space="preserve">🏁 Кръг 1 – „Спортен блиц“</w:t>
      </w:r>
    </w:p>
    <w:p>
      <w:pPr>
        <w:spacing w:after="120"/>
      </w:pPr>
      <w:r>
        <w:t xml:space="preserve">Цел: Припомняне на основните понятия.</w:t>
      </w:r>
    </w:p>
    <w:p>
      <w:pPr>
        <w:spacing w:after="120"/>
      </w:pPr>
      <w:r>
        <w:t xml:space="preserve">Учениците отговарят на кратки въпроси за: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скорост;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време;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път;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мерни единици;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основни формули.</w:t>
      </w:r>
    </w:p>
    <w:p>
      <w:pPr>
        <w:pStyle w:val="Heading3"/>
        <w:spacing w:after="120" w:before="240"/>
      </w:pPr>
      <w:r>
        <w:t xml:space="preserve">🏊 Кръг 2 – „Плуване“</w:t>
      </w:r>
    </w:p>
    <w:p>
      <w:pPr>
        <w:spacing w:after="120"/>
      </w:pPr>
      <w:r>
        <w:t xml:space="preserve">Учениците решават задачи, свързани със: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намиране на скорост;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намиране на време;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намиране на изминат път.</w:t>
      </w:r>
    </w:p>
    <w:p>
      <w:pPr>
        <w:pStyle w:val="Heading3"/>
        <w:spacing w:after="120" w:before="240"/>
      </w:pPr>
      <w:r>
        <w:t xml:space="preserve">🚴 Кръг 3 – „Колоездене“</w:t>
      </w:r>
    </w:p>
    <w:p>
      <w:pPr>
        <w:spacing w:after="120"/>
      </w:pPr>
      <w:r>
        <w:t xml:space="preserve">Задачи за: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средна скорост;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време на движение;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изминато разстояние;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сравняване на резултати.</w:t>
      </w:r>
    </w:p>
    <w:p>
      <w:pPr>
        <w:pStyle w:val="Heading3"/>
        <w:spacing w:after="120" w:before="240"/>
      </w:pPr>
      <w:r>
        <w:t xml:space="preserve">🏃 Кръг 4 – „Бягане“</w:t>
      </w:r>
    </w:p>
    <w:p>
      <w:pPr>
        <w:spacing w:after="120"/>
      </w:pPr>
      <w:r>
        <w:t xml:space="preserve">Учениците: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анализират условието;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представят решение пред класа;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аргументират избрания начин на решаване.</w:t>
      </w:r>
    </w:p>
    <w:p>
      <w:pPr>
        <w:pStyle w:val="Heading3"/>
        <w:spacing w:after="120" w:before="240"/>
      </w:pPr>
      <w:r>
        <w:t xml:space="preserve">🏆 Кръг 5 – „Финал“</w:t>
      </w:r>
    </w:p>
    <w:p>
      <w:pPr>
        <w:spacing w:after="120"/>
      </w:pPr>
      <w:r>
        <w:t xml:space="preserve">Комплексни задачи, включващи повече от една величина и съчетаващи различни спортни дисциплини.</w:t>
      </w:r>
    </w:p>
    <w:p>
      <w:pPr>
        <w:pStyle w:val="Heading2"/>
        <w:spacing w:after="120" w:before="240"/>
      </w:pPr>
      <w:r>
        <w:t xml:space="preserve">V. Финална церемония (4 мин.)</w:t>
      </w:r>
    </w:p>
    <w:p>
      <w:pPr>
        <w:spacing w:after="120"/>
      </w:pPr>
      <w:r>
        <w:t xml:space="preserve">След приключване на всички кръгове играта автоматично отчита резултатите. На дисплея се показва: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крайното класиране;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победителят;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финална анимация с купа и конфети.</w:t>
      </w:r>
    </w:p>
    <w:p>
      <w:pPr>
        <w:spacing w:after="120"/>
      </w:pPr>
      <w:r>
        <w:t xml:space="preserve">Учителят поздравява учениците за проявените знания, активност и работа в екип.</w:t>
      </w:r>
    </w:p>
    <w:p>
      <w:pPr>
        <w:pStyle w:val="Heading2"/>
        <w:spacing w:after="120" w:before="240"/>
      </w:pPr>
      <w:r>
        <w:t xml:space="preserve">VI. Рефлексия (3 мин.)</w:t>
      </w:r>
    </w:p>
    <w:p>
      <w:pPr>
        <w:spacing w:after="120"/>
      </w:pPr>
      <w:r>
        <w:t xml:space="preserve">Въпроси към учениците: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Коя задача беше най-предизвикателна?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Какво ви помогна да решите задачите успешно?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Защо е важно да работим като екип?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Как математиката подпомага спортната подготовка?</w:t>
      </w:r>
    </w:p>
    <w:p>
      <w:pPr>
        <w:spacing w:after="120"/>
      </w:pPr>
      <w:r>
        <w:t xml:space="preserve">Всеки ученик избира с жест или цветна карта как оценява своето участие: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🟢 „Справих се отлично.“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🟡 „Имам нужда от още упражнения.“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🔵 „Научих нещо ново.“</w:t>
      </w:r>
    </w:p>
    <w:p>
      <w:pPr>
        <w:pStyle w:val="Heading1"/>
        <w:spacing w:after="120" w:before="240"/>
      </w:pPr>
      <w:r>
        <w:t xml:space="preserve">Оценяване</w:t>
      </w:r>
    </w:p>
    <w:p>
      <w:pPr>
        <w:spacing w:after="120"/>
      </w:pPr>
      <w:r>
        <w:t xml:space="preserve">Учителят оценява по следните критерии: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06"/>
        <w:gridCol w:w="3000"/>
      </w:tblGrid>
      <w:tr>
        <w:tc>
          <w:tcPr>
            <w:tcW w:type="pct" w:w="70%"/>
            <w:shd w:fill="1F5C8B" w:val="clear"/>
          </w:tcPr>
          <w:p>
            <w:r>
              <w:rPr>
                <w:b/>
                <w:bCs/>
                <w:color w:val="FFFFFF"/>
              </w:rPr>
              <w:t xml:space="preserve">Критерий</w:t>
            </w:r>
          </w:p>
        </w:tc>
        <w:tc>
          <w:tcPr>
            <w:tcW w:type="pct" w:w="30%"/>
            <w:shd w:fill="1F5C8B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Максимум</w:t>
            </w:r>
          </w:p>
        </w:tc>
      </w:tr>
      <w:tr>
        <w:tc>
          <w:tcPr>
            <w:tcW w:type="pct" w:w="20%"/>
          </w:tcPr>
          <w:p>
            <w:r>
              <w:rPr>
                <w:b w:val="false"/>
                <w:bCs w:val="false"/>
              </w:rPr>
              <w:t xml:space="preserve">Правилно избира формулата</w:t>
            </w:r>
          </w:p>
        </w:tc>
        <w:tc>
          <w:tcPr>
            <w:tcW w:type="pct" w:w="20%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 т.</w:t>
            </w:r>
          </w:p>
        </w:tc>
      </w:tr>
      <w:tr>
        <w:tc>
          <w:tcPr>
            <w:tcW w:type="pct" w:w="20%"/>
          </w:tcPr>
          <w:p>
            <w:r>
              <w:rPr>
                <w:b w:val="false"/>
                <w:bCs w:val="false"/>
              </w:rPr>
              <w:t xml:space="preserve">Вярно решава задачата</w:t>
            </w:r>
          </w:p>
        </w:tc>
        <w:tc>
          <w:tcPr>
            <w:tcW w:type="pct" w:w="20%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 т.</w:t>
            </w:r>
          </w:p>
        </w:tc>
      </w:tr>
      <w:tr>
        <w:tc>
          <w:tcPr>
            <w:tcW w:type="pct" w:w="20%"/>
          </w:tcPr>
          <w:p>
            <w:r>
              <w:rPr>
                <w:b w:val="false"/>
                <w:bCs w:val="false"/>
              </w:rPr>
              <w:t xml:space="preserve">Правилно използва мерните единици</w:t>
            </w:r>
          </w:p>
        </w:tc>
        <w:tc>
          <w:tcPr>
            <w:tcW w:type="pct" w:w="20%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 т.</w:t>
            </w:r>
          </w:p>
        </w:tc>
      </w:tr>
      <w:tr>
        <w:tc>
          <w:tcPr>
            <w:tcW w:type="pct" w:w="20%"/>
          </w:tcPr>
          <w:p>
            <w:r>
              <w:rPr>
                <w:b w:val="false"/>
                <w:bCs w:val="false"/>
              </w:rPr>
              <w:t xml:space="preserve">Аргументира решението</w:t>
            </w:r>
          </w:p>
        </w:tc>
        <w:tc>
          <w:tcPr>
            <w:tcW w:type="pct" w:w="20%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 т.</w:t>
            </w:r>
          </w:p>
        </w:tc>
      </w:tr>
      <w:tr>
        <w:tc>
          <w:tcPr>
            <w:tcW w:type="pct" w:w="20%"/>
          </w:tcPr>
          <w:p>
            <w:r>
              <w:rPr>
                <w:b w:val="false"/>
                <w:bCs w:val="false"/>
              </w:rPr>
              <w:t xml:space="preserve">Работи активно в екип</w:t>
            </w:r>
          </w:p>
        </w:tc>
        <w:tc>
          <w:tcPr>
            <w:tcW w:type="pct" w:w="20%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 т.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b/>
          <w:bCs/>
        </w:rPr>
        <w:t xml:space="preserve">Максимален резултат: 10 точки</w:t>
      </w:r>
    </w:p>
    <w:p>
      <w:pPr>
        <w:pStyle w:val="Heading1"/>
        <w:spacing w:after="120" w:before="240"/>
      </w:pPr>
      <w:r>
        <w:t xml:space="preserve">Очаквани резултати</w:t>
      </w:r>
    </w:p>
    <w:p>
      <w:pPr>
        <w:spacing w:after="120"/>
      </w:pPr>
      <w:r>
        <w:t xml:space="preserve">В края на урока учениците: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уверено използват зависимостите между път, скорост и време;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решават практически задачи от движение;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прилагат математическите знания в спортен контекст;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работят организирано в екип;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осъзнават ролята на математиката за планиране и анализ на спортните резултати.</w:t>
      </w:r>
    </w:p>
    <w:sectPr>
      <w:footerReference w:type="default" r:id="rId8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drawing>
        <wp:inline xmlns:a="http://schemas.openxmlformats.org/drawingml/2006/main" xmlns:pic="http://schemas.openxmlformats.org/drawingml/2006/picture">
          <wp:extent cx="777240" cy="8099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em-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" cy="809997"/>
                  </a:xfrm>
                  <a:prstGeom prst="rect"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2026-07-02T08:21:46.725Z</dcterms:created>
  <dcterms:modified xsi:type="dcterms:W3CDTF">2026-07-02T08:21:46.725Z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