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766E"/>
            <w:tcMar>
              <w:top w:w="180" w:type="dxa"/>
              <w:bottom w:w="18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„Предизвикателството на шампионите“</w:t>
              <w:br/>
              <w:t>Задачи от движение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Клас</w:t>
            </w:r>
          </w:p>
        </w:tc>
        <w:tc>
          <w:tcPr>
            <w:tcW w:type="dxa" w:w="66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6. клас</w:t>
            </w:r>
          </w:p>
        </w:tc>
      </w:tr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Вид на урока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Урок за упражнение, затвърдяване и приложение на знанията чрез интерактивно състезание</w:t>
            </w:r>
          </w:p>
        </w:tc>
      </w:tr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Продължителност</w:t>
            </w:r>
          </w:p>
        </w:tc>
        <w:tc>
          <w:tcPr>
            <w:tcW w:type="dxa" w:w="662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20"/>
              </w:rPr>
              <w:t>45 минути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21"/>
              </w:rPr>
              <w:t>Форма на организация</w:t>
            </w:r>
          </w:p>
        </w:tc>
        <w:tc>
          <w:tcPr>
            <w:tcW w:type="dxa" w:w="66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Отборно състезание с използване на интерактивен дисплей</w:t>
            </w:r>
          </w:p>
        </w:tc>
      </w:tr>
    </w:tbl>
    <w:p/>
    <w:p>
      <w:r>
        <w:rPr>
          <w:rFonts w:ascii="Arial" w:hAnsi="Arial"/>
          <w:b/>
          <w:color w:val="0F766E"/>
          <w:sz w:val="26"/>
        </w:rPr>
        <w:t>Описание на урока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Основната тема е фокусирана върху решаването на задачи за движение, като се използва иновативен метод на интерактивно отборно състезание.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Чрез съчетаването на математически изчисления и спортна тематика, урокът цели да затвърди знанията за път, скорост и време.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Структурата включва използването на дигитални технологии, работа в екип и логическо мислене за постигане на практически образователни резултати.</w:t>
      </w:r>
    </w:p>
    <w:p>
      <w:pPr>
        <w:spacing w:after="120" w:line="276" w:lineRule="auto"/>
      </w:pPr>
      <w:r>
        <w:rPr>
          <w:rFonts w:ascii="Arial" w:hAnsi="Arial"/>
          <w:sz w:val="21"/>
        </w:rPr>
        <w:t>• В края на занятието са предвидени ясни критерии за оценяване и механизъм за обратна връзка от страна на децата.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10005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000585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