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A00F85" w14:textId="77777777" w:rsidR="003D1628" w:rsidRDefault="0055668D" w:rsidP="0055668D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A0A0A"/>
          <w:kern w:val="36"/>
          <w:sz w:val="48"/>
          <w:szCs w:val="48"/>
          <w:lang w:eastAsia="it-IT"/>
        </w:rPr>
      </w:pPr>
      <w:r w:rsidRPr="003D1628">
        <w:rPr>
          <w:noProof/>
        </w:rPr>
        <w:drawing>
          <wp:anchor distT="0" distB="0" distL="114300" distR="114300" simplePos="0" relativeHeight="251662336" behindDoc="1" locked="0" layoutInCell="1" allowOverlap="1" wp14:anchorId="7A69040F" wp14:editId="29CDAA36">
            <wp:simplePos x="0" y="0"/>
            <wp:positionH relativeFrom="column">
              <wp:posOffset>3572669</wp:posOffset>
            </wp:positionH>
            <wp:positionV relativeFrom="paragraph">
              <wp:posOffset>764820</wp:posOffset>
            </wp:positionV>
            <wp:extent cx="1914525" cy="388620"/>
            <wp:effectExtent l="0" t="0" r="9525" b="0"/>
            <wp:wrapTight wrapText="bothSides">
              <wp:wrapPolygon edited="0">
                <wp:start x="0" y="0"/>
                <wp:lineTo x="0" y="20118"/>
                <wp:lineTo x="21493" y="20118"/>
                <wp:lineTo x="21493" y="0"/>
                <wp:lineTo x="0" y="0"/>
              </wp:wrapPolygon>
            </wp:wrapTight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1628">
        <w:rPr>
          <w:rFonts w:ascii="Calibri" w:eastAsia="Times New Roman" w:hAnsi="Calibri" w:cs="Calibri"/>
          <w:b/>
          <w:bCs/>
          <w:noProof/>
          <w:color w:val="0A0A0A"/>
          <w:kern w:val="36"/>
          <w:sz w:val="48"/>
          <w:szCs w:val="48"/>
          <w:lang w:eastAsia="it-IT"/>
        </w:rPr>
        <w:drawing>
          <wp:anchor distT="0" distB="0" distL="114300" distR="114300" simplePos="0" relativeHeight="251661312" behindDoc="1" locked="0" layoutInCell="1" allowOverlap="1" wp14:anchorId="5207AFB6" wp14:editId="0BECA7A5">
            <wp:simplePos x="0" y="0"/>
            <wp:positionH relativeFrom="column">
              <wp:posOffset>766604</wp:posOffset>
            </wp:positionH>
            <wp:positionV relativeFrom="paragraph">
              <wp:posOffset>760572</wp:posOffset>
            </wp:positionV>
            <wp:extent cx="2091690" cy="323850"/>
            <wp:effectExtent l="0" t="0" r="3810" b="0"/>
            <wp:wrapTight wrapText="bothSides">
              <wp:wrapPolygon edited="0">
                <wp:start x="0" y="0"/>
                <wp:lineTo x="0" y="20329"/>
                <wp:lineTo x="15738" y="20329"/>
                <wp:lineTo x="21443" y="17788"/>
                <wp:lineTo x="21443" y="0"/>
                <wp:lineTo x="0" y="0"/>
              </wp:wrapPolygon>
            </wp:wrapTight>
            <wp:docPr id="17" name="Immagine 16">
              <a:extLst xmlns:a="http://schemas.openxmlformats.org/drawingml/2006/main">
                <a:ext uri="{FF2B5EF4-FFF2-40B4-BE49-F238E27FC236}">
                  <a16:creationId xmlns:a16="http://schemas.microsoft.com/office/drawing/2014/main" id="{B8261143-A217-40C5-AFC1-C47BC3169D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magine 16">
                      <a:extLst>
                        <a:ext uri="{FF2B5EF4-FFF2-40B4-BE49-F238E27FC236}">
                          <a16:creationId xmlns:a16="http://schemas.microsoft.com/office/drawing/2014/main" id="{B8261143-A217-40C5-AFC1-C47BC3169D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690" cy="3238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3018">
        <w:rPr>
          <w:b/>
          <w:noProof/>
        </w:rPr>
        <w:drawing>
          <wp:anchor distT="0" distB="0" distL="114300" distR="114300" simplePos="0" relativeHeight="251660288" behindDoc="1" locked="0" layoutInCell="1" allowOverlap="1" wp14:anchorId="10E82635" wp14:editId="350E7ABF">
            <wp:simplePos x="0" y="0"/>
            <wp:positionH relativeFrom="column">
              <wp:posOffset>75089</wp:posOffset>
            </wp:positionH>
            <wp:positionV relativeFrom="paragraph">
              <wp:posOffset>34925</wp:posOffset>
            </wp:positionV>
            <wp:extent cx="3056890" cy="441325"/>
            <wp:effectExtent l="0" t="0" r="0" b="0"/>
            <wp:wrapTight wrapText="bothSides">
              <wp:wrapPolygon edited="0">
                <wp:start x="0" y="0"/>
                <wp:lineTo x="0" y="20512"/>
                <wp:lineTo x="21403" y="20512"/>
                <wp:lineTo x="21403" y="0"/>
                <wp:lineTo x="0" y="0"/>
              </wp:wrapPolygon>
            </wp:wrapTight>
            <wp:docPr id="16" name="Immagine 15">
              <a:extLst xmlns:a="http://schemas.openxmlformats.org/drawingml/2006/main">
                <a:ext uri="{FF2B5EF4-FFF2-40B4-BE49-F238E27FC236}">
                  <a16:creationId xmlns:a16="http://schemas.microsoft.com/office/drawing/2014/main" id="{8F7FF393-83CE-4F82-B642-DF38B6DE83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magine 15">
                      <a:extLst>
                        <a:ext uri="{FF2B5EF4-FFF2-40B4-BE49-F238E27FC236}">
                          <a16:creationId xmlns:a16="http://schemas.microsoft.com/office/drawing/2014/main" id="{8F7FF393-83CE-4F82-B642-DF38B6DE835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32" t="14219" r="4291" b="33461"/>
                    <a:stretch/>
                  </pic:blipFill>
                  <pic:spPr>
                    <a:xfrm>
                      <a:off x="0" y="0"/>
                      <a:ext cx="305689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3018">
        <w:rPr>
          <w:rFonts w:ascii="Calibri" w:eastAsia="Times New Roman" w:hAnsi="Calibri" w:cs="Calibri"/>
          <w:b/>
          <w:bCs/>
          <w:noProof/>
          <w:color w:val="0A0A0A"/>
          <w:kern w:val="36"/>
          <w:sz w:val="48"/>
          <w:szCs w:val="48"/>
          <w:lang w:eastAsia="it-IT"/>
        </w:rPr>
        <w:drawing>
          <wp:anchor distT="0" distB="0" distL="114300" distR="114300" simplePos="0" relativeHeight="251659264" behindDoc="1" locked="0" layoutInCell="1" allowOverlap="1" wp14:anchorId="0787D3C5" wp14:editId="00D3F301">
            <wp:simplePos x="0" y="0"/>
            <wp:positionH relativeFrom="column">
              <wp:posOffset>3539649</wp:posOffset>
            </wp:positionH>
            <wp:positionV relativeFrom="paragraph">
              <wp:posOffset>159</wp:posOffset>
            </wp:positionV>
            <wp:extent cx="2502535" cy="528955"/>
            <wp:effectExtent l="0" t="0" r="0" b="4445"/>
            <wp:wrapTight wrapText="bothSides">
              <wp:wrapPolygon edited="0">
                <wp:start x="0" y="0"/>
                <wp:lineTo x="0" y="21004"/>
                <wp:lineTo x="21375" y="21004"/>
                <wp:lineTo x="21375" y="0"/>
                <wp:lineTo x="0" y="0"/>
              </wp:wrapPolygon>
            </wp:wrapTight>
            <wp:docPr id="30" name="Immagine 29">
              <a:extLst xmlns:a="http://schemas.openxmlformats.org/drawingml/2006/main">
                <a:ext uri="{FF2B5EF4-FFF2-40B4-BE49-F238E27FC236}">
                  <a16:creationId xmlns:a16="http://schemas.microsoft.com/office/drawing/2014/main" id="{6615779E-3E34-4BAC-B03B-7FD801DBDF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magine 29">
                      <a:extLst>
                        <a:ext uri="{FF2B5EF4-FFF2-40B4-BE49-F238E27FC236}">
                          <a16:creationId xmlns:a16="http://schemas.microsoft.com/office/drawing/2014/main" id="{6615779E-3E34-4BAC-B03B-7FD801DBDF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535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805D2D" w14:textId="57609F16" w:rsidR="00A85C63" w:rsidRDefault="00A85C63" w:rsidP="003C6D3D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A0A0A"/>
          <w:kern w:val="36"/>
          <w:sz w:val="20"/>
          <w:szCs w:val="20"/>
          <w:lang w:eastAsia="it-IT"/>
        </w:rPr>
      </w:pPr>
    </w:p>
    <w:p w14:paraId="30C4048E" w14:textId="6AEF9533" w:rsidR="00B86A0A" w:rsidRDefault="00B86A0A" w:rsidP="003C6D3D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A0A0A"/>
          <w:kern w:val="36"/>
          <w:sz w:val="20"/>
          <w:szCs w:val="20"/>
          <w:lang w:eastAsia="it-IT"/>
        </w:rPr>
      </w:pPr>
    </w:p>
    <w:p w14:paraId="043BA8A9" w14:textId="77777777" w:rsidR="00B86A0A" w:rsidRPr="00B86A0A" w:rsidRDefault="00B86A0A" w:rsidP="003C6D3D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A0A0A"/>
          <w:kern w:val="36"/>
          <w:sz w:val="10"/>
          <w:szCs w:val="10"/>
          <w:lang w:eastAsia="it-IT"/>
        </w:rPr>
      </w:pPr>
    </w:p>
    <w:p w14:paraId="4883447D" w14:textId="77777777" w:rsidR="00E769CF" w:rsidRPr="00B86A0A" w:rsidRDefault="00E769CF" w:rsidP="00E769CF">
      <w:pPr>
        <w:jc w:val="center"/>
        <w:rPr>
          <w:rFonts w:ascii="Calibri" w:eastAsia="Times New Roman" w:hAnsi="Calibri" w:cs="Calibri"/>
          <w:b/>
          <w:bCs/>
          <w:color w:val="0A0A0A"/>
          <w:sz w:val="32"/>
          <w:szCs w:val="32"/>
          <w:u w:val="single"/>
          <w:lang w:eastAsia="it-IT"/>
        </w:rPr>
      </w:pPr>
      <w:r w:rsidRPr="00B86A0A">
        <w:rPr>
          <w:rFonts w:ascii="Calibri" w:eastAsia="Times New Roman" w:hAnsi="Calibri" w:cs="Calibri"/>
          <w:b/>
          <w:bCs/>
          <w:color w:val="0A0A0A"/>
          <w:sz w:val="32"/>
          <w:szCs w:val="32"/>
          <w:u w:val="single"/>
          <w:lang w:eastAsia="it-IT"/>
        </w:rPr>
        <w:t>COMUNICATO STAMPA</w:t>
      </w:r>
    </w:p>
    <w:p w14:paraId="6EE751A3" w14:textId="77777777" w:rsidR="00E769CF" w:rsidRDefault="00E769CF" w:rsidP="00E769CF">
      <w:pPr>
        <w:jc w:val="both"/>
        <w:rPr>
          <w:rFonts w:ascii="Calibri" w:eastAsia="Times New Roman" w:hAnsi="Calibri" w:cs="Calibri"/>
          <w:color w:val="0A0A0A"/>
          <w:sz w:val="24"/>
          <w:szCs w:val="24"/>
          <w:lang w:eastAsia="it-IT"/>
        </w:rPr>
      </w:pPr>
    </w:p>
    <w:p w14:paraId="3B33DF70" w14:textId="77777777" w:rsidR="00E769CF" w:rsidRPr="00746BF4" w:rsidRDefault="00E769CF" w:rsidP="00E769CF">
      <w:pPr>
        <w:jc w:val="both"/>
        <w:rPr>
          <w:rFonts w:ascii="Calibri" w:eastAsia="Times New Roman" w:hAnsi="Calibri" w:cs="Calibri"/>
          <w:color w:val="0A0A0A"/>
          <w:sz w:val="24"/>
          <w:szCs w:val="24"/>
          <w:lang w:eastAsia="it-IT"/>
        </w:rPr>
      </w:pPr>
    </w:p>
    <w:p w14:paraId="201BAB30" w14:textId="77777777" w:rsidR="00E769CF" w:rsidRPr="00B86A0A" w:rsidRDefault="00E769CF" w:rsidP="00E769CF">
      <w:pPr>
        <w:jc w:val="center"/>
        <w:rPr>
          <w:rFonts w:ascii="Calibri" w:eastAsia="Times New Roman" w:hAnsi="Calibri" w:cs="Calibri"/>
          <w:b/>
          <w:color w:val="0A0A0A"/>
          <w:sz w:val="30"/>
          <w:szCs w:val="30"/>
          <w:lang w:eastAsia="it-IT"/>
        </w:rPr>
      </w:pPr>
      <w:r w:rsidRPr="00B86A0A">
        <w:rPr>
          <w:rFonts w:ascii="Calibri" w:eastAsia="Times New Roman" w:hAnsi="Calibri" w:cs="Calibri"/>
          <w:b/>
          <w:color w:val="0A0A0A"/>
          <w:sz w:val="30"/>
          <w:szCs w:val="30"/>
          <w:lang w:eastAsia="it-IT"/>
        </w:rPr>
        <w:t>MAXTYRE SI ESTENDE GRAZIE AL SUPPORTO DI UNIVERGOMMA</w:t>
      </w:r>
    </w:p>
    <w:p w14:paraId="1D9E9528" w14:textId="77777777" w:rsidR="00E769CF" w:rsidRPr="00B86A0A" w:rsidRDefault="00E769CF" w:rsidP="00E769CF">
      <w:pPr>
        <w:jc w:val="center"/>
        <w:rPr>
          <w:rFonts w:ascii="Calibri" w:eastAsia="Times New Roman" w:hAnsi="Calibri" w:cs="Calibri"/>
          <w:color w:val="0A0A0A"/>
          <w:sz w:val="28"/>
          <w:szCs w:val="28"/>
          <w:lang w:eastAsia="it-IT"/>
        </w:rPr>
      </w:pPr>
      <w:proofErr w:type="spellStart"/>
      <w:r w:rsidRPr="00B86A0A">
        <w:rPr>
          <w:rFonts w:ascii="Calibri" w:eastAsia="Times New Roman" w:hAnsi="Calibri" w:cs="Calibri"/>
          <w:color w:val="0A0A0A"/>
          <w:sz w:val="28"/>
          <w:szCs w:val="28"/>
          <w:lang w:eastAsia="it-IT"/>
        </w:rPr>
        <w:t>Univergomma</w:t>
      </w:r>
      <w:proofErr w:type="spellEnd"/>
      <w:r w:rsidRPr="00B86A0A">
        <w:rPr>
          <w:rFonts w:ascii="Calibri" w:eastAsia="Times New Roman" w:hAnsi="Calibri" w:cs="Calibri"/>
          <w:color w:val="0A0A0A"/>
          <w:sz w:val="28"/>
          <w:szCs w:val="28"/>
          <w:lang w:eastAsia="it-IT"/>
        </w:rPr>
        <w:t xml:space="preserve"> acquisisce quote maggioritarie dell'azienda produttrice di pneumatici per incrementare la sua crescita.</w:t>
      </w:r>
    </w:p>
    <w:p w14:paraId="67CCDBC6" w14:textId="77777777" w:rsidR="00E769CF" w:rsidRPr="00746BF4" w:rsidRDefault="00E769CF" w:rsidP="00E769CF">
      <w:pPr>
        <w:jc w:val="both"/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</w:pPr>
    </w:p>
    <w:p w14:paraId="39181645" w14:textId="77777777" w:rsidR="00E769CF" w:rsidRDefault="00E769CF" w:rsidP="00E769CF">
      <w:pPr>
        <w:spacing w:after="0"/>
        <w:jc w:val="both"/>
        <w:rPr>
          <w:rFonts w:ascii="Calibri" w:eastAsia="Times New Roman" w:hAnsi="Calibri" w:cs="Calibri"/>
          <w:color w:val="0A0A0A"/>
          <w:sz w:val="24"/>
          <w:szCs w:val="24"/>
          <w:lang w:eastAsia="it-IT"/>
        </w:rPr>
      </w:pPr>
      <w:r w:rsidRPr="00746BF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A novembre 2018 si è concluso l'accordo tra Univergomma e MaxTyre. La partnership, insieme ad altre aziende come Michelin, Continental, Goodyear, Bridgestone, Hankook, Pirelli, Cooper, Petas, Mitas e Nexen, conferma la strategia improntata sulla crescita della società.</w:t>
      </w:r>
      <w:r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</w:t>
      </w:r>
    </w:p>
    <w:p w14:paraId="6C1B18A6" w14:textId="77777777" w:rsidR="00E769CF" w:rsidRDefault="00E769CF" w:rsidP="00E769CF">
      <w:pPr>
        <w:spacing w:after="0"/>
        <w:jc w:val="both"/>
        <w:rPr>
          <w:rFonts w:ascii="Calibri" w:eastAsia="Times New Roman" w:hAnsi="Calibri" w:cs="Calibri"/>
          <w:color w:val="0A0A0A"/>
          <w:sz w:val="24"/>
          <w:szCs w:val="24"/>
          <w:lang w:eastAsia="it-IT"/>
        </w:rPr>
      </w:pPr>
    </w:p>
    <w:p w14:paraId="668D925C" w14:textId="77777777" w:rsidR="00E769CF" w:rsidRPr="00746BF4" w:rsidRDefault="00E769CF" w:rsidP="00E769CF">
      <w:pPr>
        <w:spacing w:after="0"/>
        <w:jc w:val="both"/>
        <w:rPr>
          <w:rFonts w:ascii="Calibri" w:eastAsia="Times New Roman" w:hAnsi="Calibri" w:cs="Calibri"/>
          <w:color w:val="0A0A0A"/>
          <w:sz w:val="24"/>
          <w:szCs w:val="24"/>
          <w:lang w:eastAsia="it-IT"/>
        </w:rPr>
      </w:pPr>
      <w:r w:rsidRPr="00746BF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MaxTyre presente nel settore dal 2009, è riconosciuta da operatori specializzati come uno dei principali Player del Centro Italia nella vendita e distribuzione di pneumatici vettura, agricola, industriale, autocarro e moto.</w:t>
      </w:r>
    </w:p>
    <w:p w14:paraId="6034CF94" w14:textId="77777777" w:rsidR="00E769CF" w:rsidRPr="00746BF4" w:rsidRDefault="00E769CF" w:rsidP="00E769CF">
      <w:pPr>
        <w:spacing w:after="0"/>
        <w:jc w:val="both"/>
        <w:rPr>
          <w:rFonts w:ascii="Calibri" w:eastAsia="Times New Roman" w:hAnsi="Calibri" w:cs="Calibri"/>
          <w:color w:val="0A0A0A"/>
          <w:sz w:val="24"/>
          <w:szCs w:val="24"/>
          <w:lang w:eastAsia="it-IT"/>
        </w:rPr>
      </w:pPr>
      <w:r w:rsidRPr="00746BF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Uno dei principali obiettivi di questa operazione è continuare a consolidare la propria presenza nelle regioni di Lazio, Umbria, Abruzzo, Campania e Calabria, aumentando la gamma di prodotti, la competitività e disponibilità di pneumatici e dei servizi accessori.</w:t>
      </w:r>
    </w:p>
    <w:p w14:paraId="650C39C7" w14:textId="77777777" w:rsidR="00E769CF" w:rsidRPr="00746BF4" w:rsidRDefault="00E769CF" w:rsidP="00E769CF">
      <w:pPr>
        <w:spacing w:after="0"/>
        <w:jc w:val="both"/>
        <w:rPr>
          <w:rFonts w:ascii="Calibri" w:eastAsia="Times New Roman" w:hAnsi="Calibri" w:cs="Calibri"/>
          <w:color w:val="0A0A0A"/>
          <w:sz w:val="24"/>
          <w:szCs w:val="24"/>
          <w:lang w:eastAsia="it-IT"/>
        </w:rPr>
      </w:pPr>
      <w:r w:rsidRPr="00746BF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Il principale focus del piano industriale di MaxTyre, grazie al supporto di Univergomma, sarà dedicato all’espansione della propria rete commerciale in nuove aree geografiche, ad oggi servite solo marginalmente, e all’ampliamento della propria gamma prodotti anche con nuovi marchi in esclusiva. Il consolidato team di manager (nonché azionisti) di MaxTyre, composto da Antonio Medori (CEO), Massimo Maurizi, Ruggero Pagnotta e Dino Chiani continuerà ad operare in completa autonomia, ricoprendo ruoli chiave all’interno della stessa società supportati da Francesco Giordano come Responsabile sviluppo area Sud- Italia.</w:t>
      </w:r>
    </w:p>
    <w:p w14:paraId="21117F68" w14:textId="63545566" w:rsidR="00E769CF" w:rsidRDefault="00E769CF" w:rsidP="00E769CF">
      <w:pPr>
        <w:jc w:val="both"/>
        <w:rPr>
          <w:rFonts w:ascii="Calibri" w:eastAsia="Times New Roman" w:hAnsi="Calibri" w:cs="Calibri"/>
          <w:color w:val="0A0A0A"/>
          <w:sz w:val="24"/>
          <w:szCs w:val="24"/>
          <w:lang w:eastAsia="it-IT"/>
        </w:rPr>
      </w:pPr>
      <w:r w:rsidRPr="00746BF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“Con questa operazione straordinaria, confermiamo la nostra volontà a perseguire la consolidata visione glocal di Univergomma inserita in una complessiva strategia di crescita a livello locale e globale, valorizzando così le capacità di aziende fortemente radicate in una o più aree territoriali e mirando ad accrescerne il loro potenziale”, commenta la famiglia Peccia, azionista di </w:t>
      </w:r>
      <w:proofErr w:type="spellStart"/>
      <w:r w:rsidRPr="00746BF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Univergomma</w:t>
      </w:r>
      <w:proofErr w:type="spellEnd"/>
      <w:r w:rsidRPr="00746BF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S</w:t>
      </w:r>
      <w:r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.</w:t>
      </w:r>
      <w:r w:rsidRPr="00746BF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p</w:t>
      </w:r>
      <w:r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.</w:t>
      </w:r>
      <w:r w:rsidRPr="00746BF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A</w:t>
      </w:r>
      <w:r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.</w:t>
      </w:r>
    </w:p>
    <w:p w14:paraId="355D25FD" w14:textId="51871F05" w:rsidR="00B86A0A" w:rsidRDefault="00B86A0A" w:rsidP="00E769CF">
      <w:pPr>
        <w:jc w:val="both"/>
        <w:rPr>
          <w:rFonts w:ascii="Calibri" w:eastAsia="Times New Roman" w:hAnsi="Calibri" w:cs="Calibri"/>
          <w:color w:val="0A0A0A"/>
          <w:sz w:val="24"/>
          <w:szCs w:val="24"/>
          <w:lang w:eastAsia="it-IT"/>
        </w:rPr>
      </w:pPr>
    </w:p>
    <w:p w14:paraId="5F555115" w14:textId="349E29E4" w:rsidR="00B86A0A" w:rsidRDefault="00B86A0A" w:rsidP="00B86A0A">
      <w:pPr>
        <w:jc w:val="center"/>
        <w:rPr>
          <w:rFonts w:ascii="Calibri" w:eastAsia="Times New Roman" w:hAnsi="Calibri" w:cs="Calibri"/>
          <w:b/>
          <w:bCs/>
          <w:color w:val="FFFFFF" w:themeColor="background1"/>
          <w:sz w:val="10"/>
          <w:szCs w:val="10"/>
          <w:lang w:eastAsia="it-IT"/>
        </w:rPr>
      </w:pPr>
      <w:r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br/>
      </w:r>
      <w:r w:rsidRPr="00B86A0A">
        <w:rPr>
          <w:rFonts w:ascii="Calibri" w:eastAsia="Times New Roman" w:hAnsi="Calibri" w:cs="Calibri"/>
          <w:b/>
          <w:bCs/>
          <w:color w:val="FFFFFF" w:themeColor="background1"/>
          <w:sz w:val="10"/>
          <w:szCs w:val="10"/>
          <w:lang w:eastAsia="it-IT"/>
        </w:rPr>
        <w:t>.</w:t>
      </w:r>
    </w:p>
    <w:p w14:paraId="2EE8B975" w14:textId="18E4E2FD" w:rsidR="00B86A0A" w:rsidRPr="00B86A0A" w:rsidRDefault="00B86A0A" w:rsidP="00B86A0A">
      <w:pPr>
        <w:jc w:val="center"/>
        <w:rPr>
          <w:rFonts w:ascii="Calibri" w:eastAsia="Times New Roman" w:hAnsi="Calibri" w:cs="Calibri"/>
          <w:b/>
          <w:bCs/>
          <w:color w:val="0A0A0A"/>
          <w:sz w:val="32"/>
          <w:szCs w:val="32"/>
          <w:lang w:eastAsia="it-IT"/>
        </w:rPr>
      </w:pPr>
      <w:r>
        <w:rPr>
          <w:rFonts w:ascii="Calibri" w:eastAsia="Times New Roman" w:hAnsi="Calibri" w:cs="Calibri"/>
          <w:b/>
          <w:bCs/>
          <w:color w:val="0A0A0A"/>
          <w:sz w:val="32"/>
          <w:szCs w:val="32"/>
          <w:lang w:eastAsia="it-IT"/>
        </w:rPr>
        <w:lastRenderedPageBreak/>
        <w:br/>
      </w:r>
      <w:r w:rsidRPr="00B86A0A">
        <w:rPr>
          <w:rFonts w:ascii="Calibri" w:eastAsia="Times New Roman" w:hAnsi="Calibri" w:cs="Calibri"/>
          <w:b/>
          <w:bCs/>
          <w:color w:val="0A0A0A"/>
          <w:sz w:val="32"/>
          <w:szCs w:val="32"/>
          <w:lang w:eastAsia="it-IT"/>
        </w:rPr>
        <w:t>COMUNICATO STAMPA</w:t>
      </w:r>
    </w:p>
    <w:p w14:paraId="5EBDB57F" w14:textId="311F7BB2" w:rsidR="00B86A0A" w:rsidRDefault="00B86A0A" w:rsidP="00B86A0A">
      <w:pPr>
        <w:rPr>
          <w:b/>
        </w:rPr>
      </w:pPr>
    </w:p>
    <w:p w14:paraId="7FD73E26" w14:textId="2A8C2D97" w:rsidR="00B86A0A" w:rsidRDefault="003C6D3D" w:rsidP="00B86A0A">
      <w:pPr>
        <w:rPr>
          <w:b/>
        </w:rPr>
      </w:pPr>
      <w:proofErr w:type="spellStart"/>
      <w:r>
        <w:rPr>
          <w:b/>
        </w:rPr>
        <w:t>Univergomma</w:t>
      </w:r>
      <w:proofErr w:type="spellEnd"/>
      <w:r>
        <w:rPr>
          <w:b/>
        </w:rPr>
        <w:t xml:space="preserve"> S.p.A.</w:t>
      </w:r>
    </w:p>
    <w:p w14:paraId="4AAD0666" w14:textId="33A37F00" w:rsidR="00A85C63" w:rsidRPr="00B86A0A" w:rsidRDefault="00A85C63" w:rsidP="00B86A0A">
      <w:pPr>
        <w:jc w:val="both"/>
        <w:rPr>
          <w:b/>
        </w:rPr>
      </w:pPr>
      <w:r>
        <w:rPr>
          <w:b/>
        </w:rPr>
        <w:br/>
      </w:r>
      <w:proofErr w:type="spellStart"/>
      <w:r w:rsidRPr="00A85C63">
        <w:rPr>
          <w:rFonts w:ascii="Calibri" w:hAnsi="Calibri" w:cs="Calibri"/>
          <w:color w:val="0A0A0A"/>
          <w:sz w:val="24"/>
          <w:szCs w:val="24"/>
        </w:rPr>
        <w:t>Univergomma</w:t>
      </w:r>
      <w:proofErr w:type="spellEnd"/>
      <w:r w:rsidRPr="00A85C63">
        <w:rPr>
          <w:rFonts w:ascii="Calibri" w:hAnsi="Calibri" w:cs="Calibri"/>
          <w:color w:val="0A0A0A"/>
          <w:sz w:val="24"/>
          <w:szCs w:val="24"/>
        </w:rPr>
        <w:t xml:space="preserve"> nasce come </w:t>
      </w:r>
      <w:proofErr w:type="spellStart"/>
      <w:r w:rsidRPr="00A85C63">
        <w:rPr>
          <w:rFonts w:ascii="Calibri" w:hAnsi="Calibri" w:cs="Calibri"/>
          <w:color w:val="0A0A0A"/>
          <w:sz w:val="24"/>
          <w:szCs w:val="24"/>
        </w:rPr>
        <w:t>Universalgomme</w:t>
      </w:r>
      <w:proofErr w:type="spellEnd"/>
      <w:r w:rsidRPr="00A85C63">
        <w:rPr>
          <w:rFonts w:ascii="Calibri" w:hAnsi="Calibri" w:cs="Calibri"/>
          <w:color w:val="0A0A0A"/>
          <w:sz w:val="24"/>
          <w:szCs w:val="24"/>
        </w:rPr>
        <w:t xml:space="preserve"> nel 1956 dall’idea di Enzo Peccia ed Eugenio Marchesi.</w:t>
      </w:r>
      <w:r w:rsidRPr="00A85C63">
        <w:rPr>
          <w:rFonts w:ascii="Calibri" w:hAnsi="Calibri" w:cs="Calibri"/>
          <w:color w:val="0A0A0A"/>
          <w:sz w:val="24"/>
          <w:szCs w:val="24"/>
        </w:rPr>
        <w:br/>
        <w:t xml:space="preserve">Il primo stabilimento era situato non lontano dall’attuale sede principale e si occupava di ricostruzione di pneumatici. Negli anni Settanta </w:t>
      </w:r>
      <w:proofErr w:type="spellStart"/>
      <w:r w:rsidRPr="00A85C63">
        <w:rPr>
          <w:rFonts w:ascii="Calibri" w:hAnsi="Calibri" w:cs="Calibri"/>
          <w:color w:val="0A0A0A"/>
          <w:sz w:val="24"/>
          <w:szCs w:val="24"/>
        </w:rPr>
        <w:t>Universalgomme</w:t>
      </w:r>
      <w:proofErr w:type="spellEnd"/>
      <w:r w:rsidRPr="00A85C63">
        <w:rPr>
          <w:rFonts w:ascii="Calibri" w:hAnsi="Calibri" w:cs="Calibri"/>
          <w:color w:val="0A0A0A"/>
          <w:sz w:val="24"/>
          <w:szCs w:val="24"/>
        </w:rPr>
        <w:t xml:space="preserve"> diviene l’attuale </w:t>
      </w:r>
      <w:proofErr w:type="spellStart"/>
      <w:r w:rsidRPr="00A85C63">
        <w:rPr>
          <w:rFonts w:ascii="Calibri" w:hAnsi="Calibri" w:cs="Calibri"/>
          <w:color w:val="0A0A0A"/>
          <w:sz w:val="24"/>
          <w:szCs w:val="24"/>
        </w:rPr>
        <w:t>Univergomma</w:t>
      </w:r>
      <w:proofErr w:type="spellEnd"/>
      <w:r w:rsidRPr="00A85C63">
        <w:rPr>
          <w:rFonts w:ascii="Calibri" w:hAnsi="Calibri" w:cs="Calibri"/>
          <w:color w:val="0A0A0A"/>
          <w:sz w:val="24"/>
          <w:szCs w:val="24"/>
        </w:rPr>
        <w:t>.</w:t>
      </w:r>
    </w:p>
    <w:p w14:paraId="6ADB432E" w14:textId="77777777" w:rsidR="00A85C63" w:rsidRDefault="00A85C63" w:rsidP="00B86A0A">
      <w:pPr>
        <w:pStyle w:val="Normale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A0A0A"/>
        </w:rPr>
      </w:pPr>
      <w:r w:rsidRPr="00A85C63">
        <w:rPr>
          <w:rFonts w:ascii="Calibri" w:hAnsi="Calibri" w:cs="Calibri"/>
          <w:color w:val="0A0A0A"/>
        </w:rPr>
        <w:t>In questi anni Univergomma prende piede nel mercato regionale (toscano ed umbro) ed è per questo motivo che Enzo Peccia nel 1980 sceglie di acquistare l’intera società aprendo, pochi anni più tardi, un nuovo e molto più grande stabilimento che diverrà poi l’attuale sede Univergomma.</w:t>
      </w:r>
    </w:p>
    <w:p w14:paraId="78AD2A87" w14:textId="77777777" w:rsidR="00A85C63" w:rsidRPr="00A85C63" w:rsidRDefault="00A85C63" w:rsidP="00B86A0A">
      <w:pPr>
        <w:pStyle w:val="Normale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A0A0A"/>
        </w:rPr>
      </w:pPr>
      <w:r w:rsidRPr="00A85C63">
        <w:rPr>
          <w:rFonts w:ascii="Calibri" w:hAnsi="Calibri" w:cs="Calibri"/>
          <w:color w:val="0A0A0A"/>
        </w:rPr>
        <w:t>La filosofia Univergomma è quella di appassionarsi a un’idea, perseguire un obiettivo e realizzarlo. Oltre a garantire i più alti standard qualitativi grazie a un servizio consolidato da anni di esperienza.</w:t>
      </w:r>
    </w:p>
    <w:p w14:paraId="50DD42E9" w14:textId="1F494DB0" w:rsidR="003C6D3D" w:rsidRDefault="00A85C63" w:rsidP="00B86A0A">
      <w:pPr>
        <w:pStyle w:val="Normale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A0A0A"/>
        </w:rPr>
      </w:pPr>
      <w:r w:rsidRPr="00A85C63">
        <w:rPr>
          <w:rFonts w:ascii="Calibri" w:hAnsi="Calibri" w:cs="Calibri"/>
          <w:color w:val="0A0A0A"/>
        </w:rPr>
        <w:t>Entusiasmo e cura per ciò che la strada richiede è quello che ha garantito all’azienda di crescere per oltre cinquant’anni ed è quello che anima la voglia di proseguire in questo lavoro.</w:t>
      </w:r>
    </w:p>
    <w:p w14:paraId="5A360C7D" w14:textId="77777777" w:rsidR="00B86A0A" w:rsidRPr="00B86A0A" w:rsidRDefault="00B86A0A" w:rsidP="00B86A0A">
      <w:pPr>
        <w:pStyle w:val="Normale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A0A0A"/>
        </w:rPr>
      </w:pPr>
    </w:p>
    <w:p w14:paraId="535CD1E4" w14:textId="77777777" w:rsidR="003C6D3D" w:rsidRDefault="005D6BB6" w:rsidP="003C6D3D">
      <w:pPr>
        <w:spacing w:before="100" w:beforeAutospacing="1" w:after="100" w:afterAutospacing="1" w:line="80" w:lineRule="atLeast"/>
        <w:jc w:val="both"/>
        <w:rPr>
          <w:rFonts w:ascii="Calibri" w:eastAsia="Times New Roman" w:hAnsi="Calibri" w:cs="Calibri"/>
          <w:color w:val="0A0A0A"/>
          <w:sz w:val="24"/>
          <w:szCs w:val="24"/>
          <w:lang w:eastAsia="it-IT"/>
        </w:rPr>
      </w:pPr>
      <w:r w:rsidRPr="00201E8D">
        <w:rPr>
          <w:rFonts w:ascii="Calibri" w:eastAsia="Times New Roman" w:hAnsi="Calibri" w:cs="Calibri"/>
          <w:b/>
          <w:color w:val="0A0A0A"/>
          <w:sz w:val="24"/>
          <w:szCs w:val="24"/>
          <w:lang w:eastAsia="it-IT"/>
        </w:rPr>
        <w:t>MaxTyre</w:t>
      </w:r>
      <w:r w:rsidR="003C6D3D" w:rsidRPr="003C6D3D">
        <w:rPr>
          <w:rFonts w:ascii="Calibri" w:eastAsia="Times New Roman" w:hAnsi="Calibri" w:cs="Calibri"/>
          <w:b/>
          <w:color w:val="0A0A0A"/>
          <w:sz w:val="24"/>
          <w:szCs w:val="24"/>
          <w:lang w:eastAsia="it-IT"/>
        </w:rPr>
        <w:t xml:space="preserve"> S.r.l.</w:t>
      </w:r>
      <w:bookmarkStart w:id="0" w:name="_GoBack"/>
      <w:bookmarkEnd w:id="0"/>
    </w:p>
    <w:p w14:paraId="652940FF" w14:textId="54CAF7FD" w:rsidR="00B86A0A" w:rsidRDefault="003C6D3D" w:rsidP="003C6D3D">
      <w:pPr>
        <w:spacing w:before="100" w:beforeAutospacing="1" w:after="100" w:afterAutospacing="1" w:line="80" w:lineRule="atLeast"/>
        <w:jc w:val="both"/>
        <w:rPr>
          <w:rFonts w:ascii="Calibri" w:eastAsia="Times New Roman" w:hAnsi="Calibri" w:cs="Calibri"/>
          <w:color w:val="0A0A0A"/>
          <w:sz w:val="24"/>
          <w:szCs w:val="24"/>
          <w:lang w:eastAsia="it-IT"/>
        </w:rPr>
      </w:pPr>
      <w:r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MaxTyre</w:t>
      </w:r>
      <w:r w:rsidR="00B86A0A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, </w:t>
      </w:r>
      <w:r w:rsidR="005D6BB6"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fondata nel 2009 da un gruppo di imprenditori con consolidata esperienza nel settore, è</w:t>
      </w:r>
      <w:r w:rsidR="005D6BB6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</w:t>
      </w:r>
      <w:r w:rsidR="005D6BB6"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riconosciuta dagli operatori specializzati come uno dei principali player del centro Italia. La consolidata</w:t>
      </w:r>
      <w:r w:rsidR="005D6BB6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</w:t>
      </w:r>
      <w:r w:rsidR="005D6BB6"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partnership con alcuni dei principali produttori di pneumatici, tra cui Michelin, Continental, Goodyear,</w:t>
      </w:r>
      <w:r w:rsidR="005D6BB6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</w:t>
      </w:r>
      <w:r w:rsidR="005D6BB6"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Bridgestone oltre ad Hankook, Pirelli, Cooper, </w:t>
      </w:r>
      <w:proofErr w:type="spellStart"/>
      <w:r w:rsidR="005D6BB6"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Petlas</w:t>
      </w:r>
      <w:proofErr w:type="spellEnd"/>
      <w:r w:rsidR="005D6BB6"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, Mitas e Nexen, conferma la strategia improntata sulla crescita della società.</w:t>
      </w:r>
    </w:p>
    <w:p w14:paraId="099899E0" w14:textId="77777777" w:rsidR="00B86A0A" w:rsidRPr="00B86A0A" w:rsidRDefault="00B86A0A" w:rsidP="00B86A0A">
      <w:pPr>
        <w:pStyle w:val="Normale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A0A0A"/>
        </w:rPr>
      </w:pPr>
    </w:p>
    <w:p w14:paraId="5E08C9EA" w14:textId="77777777" w:rsidR="005D6BB6" w:rsidRDefault="003C6D3D" w:rsidP="00201E8D">
      <w:pPr>
        <w:rPr>
          <w:b/>
          <w:lang w:val="en-GB"/>
        </w:rPr>
      </w:pPr>
      <w:r w:rsidRPr="003C6D3D">
        <w:rPr>
          <w:b/>
          <w:lang w:val="en-GB"/>
        </w:rPr>
        <w:t>Ant Capital S</w:t>
      </w:r>
      <w:r>
        <w:rPr>
          <w:b/>
          <w:lang w:val="en-GB"/>
        </w:rPr>
        <w:t>.r.l.,</w:t>
      </w:r>
    </w:p>
    <w:p w14:paraId="1236F88B" w14:textId="16905580" w:rsidR="003C6D3D" w:rsidRPr="00B86A0A" w:rsidRDefault="00B86A0A" w:rsidP="00B86A0A">
      <w:pPr>
        <w:tabs>
          <w:tab w:val="num" w:pos="720"/>
        </w:tabs>
        <w:spacing w:before="100" w:beforeAutospacing="1" w:after="100" w:afterAutospacing="1" w:line="80" w:lineRule="atLeast"/>
        <w:jc w:val="both"/>
        <w:rPr>
          <w:rFonts w:ascii="Calibri" w:eastAsia="Times New Roman" w:hAnsi="Calibri" w:cs="Calibri"/>
          <w:color w:val="0A0A0A"/>
          <w:sz w:val="24"/>
          <w:szCs w:val="24"/>
          <w:lang w:eastAsia="it-IT"/>
        </w:rPr>
      </w:pPr>
      <w:r w:rsidRPr="00B86A0A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Ant Capital</w:t>
      </w:r>
      <w:r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, fondata nel 2016,</w:t>
      </w:r>
      <w:r w:rsidRPr="00B86A0A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è una Advisory &amp; Corporate Finance </w:t>
      </w:r>
      <w:proofErr w:type="spellStart"/>
      <w:r w:rsidRPr="00B86A0A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firm</w:t>
      </w:r>
      <w:proofErr w:type="spellEnd"/>
      <w:r w:rsidRPr="00B86A0A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specializzata nello studio, definizione e realizzazione di operazioni di finanza straordinaria quali acquisizioni e cessioni di società e di rami d’azienda, fusioni e scissioni societarie (M&amp;A), quotazioni in borsa e operazioni sul mercato dei capitali (IPO), privatizzazioni, private placement, business plan, piani di ristrutturazione finanziaria, societaria ed azionaria di imprese e di gruppi italiani ed esteri.</w:t>
      </w:r>
    </w:p>
    <w:p w14:paraId="61E99A80" w14:textId="77777777" w:rsidR="00C578B4" w:rsidRPr="00B86A0A" w:rsidRDefault="00C578B4" w:rsidP="00B86A0A">
      <w:pPr>
        <w:pStyle w:val="NormaleWeb"/>
        <w:shd w:val="clear" w:color="auto" w:fill="FFFFFF"/>
        <w:spacing w:before="0" w:beforeAutospacing="0" w:after="0" w:afterAutospacing="0"/>
        <w:jc w:val="both"/>
        <w:rPr>
          <w:b/>
        </w:rPr>
      </w:pPr>
    </w:p>
    <w:p w14:paraId="59D90E92" w14:textId="77777777" w:rsidR="00A85C63" w:rsidRPr="00B86A0A" w:rsidRDefault="003C6D3D" w:rsidP="00201E8D">
      <w:pPr>
        <w:rPr>
          <w:b/>
        </w:rPr>
      </w:pPr>
      <w:r w:rsidRPr="00B86A0A">
        <w:rPr>
          <w:b/>
        </w:rPr>
        <w:t>Chiomenti</w:t>
      </w:r>
    </w:p>
    <w:p w14:paraId="14F79DAF" w14:textId="6987B750" w:rsidR="00746BF4" w:rsidRDefault="00A85C63" w:rsidP="00C578B4">
      <w:pPr>
        <w:jc w:val="both"/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</w:pPr>
      <w:r w:rsidRP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Lo Studio Chiomenti viene fondato nel 1948 dall’Avvocato Pasquale Chiomenti e, in pochi anni, cresce e si rafforza, avendo l’opportunità e il privilegio di lavorare a fianco dei più grandi gruppi industriali e finanziari nazionali e internazionali</w:t>
      </w:r>
      <w:r w:rsidR="00A93583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. L</w:t>
      </w:r>
      <w:r w:rsidR="00C578B4" w:rsidRP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o Studio offre la propria assistenza legale ai principali operatori internazionali che guardano alle opportunità di investimento in Italia, e agli operatori nazionali che sviluppano la propria attività sui mercati nazionali e su quelli internazionali.</w:t>
      </w:r>
      <w:r w:rsid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L’offerta di servizi di consulenza è organizzata per dipartimenti e </w:t>
      </w:r>
      <w:proofErr w:type="spellStart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>practices</w:t>
      </w:r>
      <w:proofErr w:type="spellEnd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 xml:space="preserve"> </w:t>
      </w:r>
      <w:r w:rsid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professionali, che comprendono il dipartimento </w:t>
      </w:r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 xml:space="preserve">Corporate M&amp;A, </w:t>
      </w:r>
      <w:r w:rsid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il dipartimento </w:t>
      </w:r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>Banking &amp; Finance,</w:t>
      </w:r>
      <w:r w:rsid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il dipartimento </w:t>
      </w:r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>Antitrust,</w:t>
      </w:r>
      <w:r w:rsid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il dipartimento </w:t>
      </w:r>
      <w:proofErr w:type="spellStart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>Litigation</w:t>
      </w:r>
      <w:proofErr w:type="spellEnd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 xml:space="preserve">, </w:t>
      </w:r>
      <w:r w:rsid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il dipartimento Diritto del lavoro</w:t>
      </w:r>
      <w:r w:rsidR="00A93583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, </w:t>
      </w:r>
      <w:r w:rsid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la </w:t>
      </w:r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 xml:space="preserve">business </w:t>
      </w:r>
      <w:proofErr w:type="spellStart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>unit</w:t>
      </w:r>
      <w:proofErr w:type="spellEnd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 xml:space="preserve"> Private Equity, </w:t>
      </w:r>
      <w:r w:rsid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la </w:t>
      </w:r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 xml:space="preserve">business </w:t>
      </w:r>
      <w:proofErr w:type="spellStart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>unit</w:t>
      </w:r>
      <w:proofErr w:type="spellEnd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 xml:space="preserve"> </w:t>
      </w:r>
      <w:proofErr w:type="spellStart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>Restructuring</w:t>
      </w:r>
      <w:proofErr w:type="spellEnd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>,</w:t>
      </w:r>
      <w:r w:rsid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la </w:t>
      </w:r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 xml:space="preserve">business </w:t>
      </w:r>
      <w:proofErr w:type="spellStart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>unit</w:t>
      </w:r>
      <w:proofErr w:type="spellEnd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 xml:space="preserve"> White Collar Crime &amp; </w:t>
      </w:r>
      <w:r w:rsid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la </w:t>
      </w:r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 xml:space="preserve">business </w:t>
      </w:r>
      <w:proofErr w:type="spellStart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>unit</w:t>
      </w:r>
      <w:proofErr w:type="spellEnd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 xml:space="preserve"> </w:t>
      </w:r>
      <w:proofErr w:type="spellStart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>Wealth</w:t>
      </w:r>
      <w:proofErr w:type="spellEnd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 xml:space="preserve"> Management.</w:t>
      </w:r>
    </w:p>
    <w:sectPr w:rsidR="00746BF4" w:rsidSect="00A85C63">
      <w:pgSz w:w="11906" w:h="16838"/>
      <w:pgMar w:top="709" w:right="1134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C529F4"/>
    <w:multiLevelType w:val="hybridMultilevel"/>
    <w:tmpl w:val="865022D8"/>
    <w:lvl w:ilvl="0" w:tplc="01E4ECC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B4615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D3C32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94ED5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0207C3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DF8A6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AC3A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5A65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F0435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8D"/>
    <w:rsid w:val="00201E8D"/>
    <w:rsid w:val="00263018"/>
    <w:rsid w:val="002977D2"/>
    <w:rsid w:val="003C6D3D"/>
    <w:rsid w:val="003D1628"/>
    <w:rsid w:val="0055668D"/>
    <w:rsid w:val="005D6BB6"/>
    <w:rsid w:val="00746BF4"/>
    <w:rsid w:val="0075607F"/>
    <w:rsid w:val="007F75C4"/>
    <w:rsid w:val="00A76B58"/>
    <w:rsid w:val="00A85C63"/>
    <w:rsid w:val="00A93583"/>
    <w:rsid w:val="00B25D0C"/>
    <w:rsid w:val="00B86A0A"/>
    <w:rsid w:val="00B925B2"/>
    <w:rsid w:val="00C340AA"/>
    <w:rsid w:val="00C578B4"/>
    <w:rsid w:val="00E769CF"/>
    <w:rsid w:val="00EE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33AD9"/>
  <w15:chartTrackingRefBased/>
  <w15:docId w15:val="{2432A160-2F02-47B1-8E37-CB5EC51A2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201E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01E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01E8D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01E8D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NormaleWeb">
    <w:name w:val="Normal (Web)"/>
    <w:basedOn w:val="Normale"/>
    <w:uiPriority w:val="99"/>
    <w:unhideWhenUsed/>
    <w:rsid w:val="00201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201E8D"/>
    <w:rPr>
      <w:b/>
      <w:bCs/>
    </w:rPr>
  </w:style>
  <w:style w:type="character" w:styleId="Enfasicorsivo">
    <w:name w:val="Emphasis"/>
    <w:basedOn w:val="Carpredefinitoparagrafo"/>
    <w:uiPriority w:val="20"/>
    <w:qFormat/>
    <w:rsid w:val="00201E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51398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1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8419">
              <w:marLeft w:val="0"/>
              <w:marRight w:val="0"/>
              <w:marTop w:val="0"/>
              <w:marBottom w:val="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7667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394488">
              <w:marLeft w:val="0"/>
              <w:marRight w:val="0"/>
              <w:marTop w:val="0"/>
              <w:marBottom w:val="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197802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Fiorella Calderon</dc:creator>
  <cp:keywords/>
  <dc:description/>
  <cp:lastModifiedBy>Fiorella Calderon</cp:lastModifiedBy>
  <cp:revision>2</cp:revision>
  <dcterms:created xsi:type="dcterms:W3CDTF">2020-01-16T09:45:00Z</dcterms:created>
  <dcterms:modified xsi:type="dcterms:W3CDTF">2020-01-16T09:45:00Z</dcterms:modified>
</cp:coreProperties>
</file>