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Elena Okhonko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Singapore | +65 9072 7915 | elena.okhonko@gmail.com | linkedin.com/in/elenaokhonko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QUANTITATIVE TECHNOLOGY &amp; FINANCIAL MARKETS SYSTEMS ARCHITECT | DERIVATIVES, FIXED INCOME, OMS AND CONTROL AUTOMATION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Technical program and solution architecture professional with 20+ years across enterprise technology and financial services. Brings direct experience designing target operating models and integration architecture for a $25B derivatives portfolio, directing transformation of a $54B fixed income portfolio, centralizing collateral and margining workflows, and integrating OMS controls across custodians. Hands-on AI and API architecture experience complements financial-markets systems knowledge, including deterministic validation, policy-as-code, cloud-native API orchestration and control-conscious workflow automation.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EXPERTISE</w:t>
      </w:r>
    </w:p>
    <w:p>
      <w:r>
        <w:rPr>
          <w:rFonts w:ascii="Arial" w:cs="Arial" w:eastAsia="Arial" w:hAnsi="Arial"/>
          <w:sz w:val="21"/>
          <w:szCs w:val="21"/>
        </w:rPr>
        <w:t xml:space="preserve">Financial Markets Systems Architecture  |  Derivatives Target Operating Model Design  |  Fixed Income Transformation</w:t>
      </w:r>
    </w:p>
    <w:p>
      <w:r>
        <w:rPr>
          <w:rFonts w:ascii="Arial" w:cs="Arial" w:eastAsia="Arial" w:hAnsi="Arial"/>
          <w:sz w:val="21"/>
          <w:szCs w:val="21"/>
        </w:rPr>
        <w:t xml:space="preserve">Collateral and Margining Workflows  |  Order Management Systems (OMS)  |  Integration Architecture</w:t>
      </w:r>
    </w:p>
    <w:p>
      <w:r>
        <w:rPr>
          <w:rFonts w:ascii="Arial" w:cs="Arial" w:eastAsia="Arial" w:hAnsi="Arial"/>
          <w:sz w:val="21"/>
          <w:szCs w:val="21"/>
        </w:rPr>
        <w:t xml:space="preserve">Quantitative Systems  |  API Architecture  |  Python and Policy-as-Code</w:t>
      </w:r>
    </w:p>
    <w:p>
      <w:r>
        <w:rPr>
          <w:rFonts w:ascii="Arial" w:cs="Arial" w:eastAsia="Arial" w:hAnsi="Arial"/>
          <w:sz w:val="21"/>
          <w:szCs w:val="21"/>
        </w:rPr>
        <w:t xml:space="preserve">Suitability and Compliance Automation  |  Architecture Audits  |  Rapid Prototyping</w:t>
      </w:r>
    </w:p>
    <w:p>
      <w:r>
        <w:rPr>
          <w:rFonts w:ascii="Arial" w:cs="Arial" w:eastAsia="Arial" w:hAnsi="Arial"/>
          <w:sz w:val="21"/>
          <w:szCs w:val="21"/>
        </w:rPr>
        <w:t xml:space="preserve">Cross-Functional Delivery  |  AI Governance and Deterministic Validation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 ALIGNMENT SNAPSHOT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ABILITY TO SUPPORT TRADING-TECHNOLOGY USE CASES — DIRECT EVIDENCE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Designed derivatives integration architecture, centralized collateral and margining workflows, directed fixed income portfolio transformation, and integrated OMS controls across three custodians, providing direct experience in trading- and investment-technology operating environments.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DEVELOPMENT CAPABILITY FOR QUANTITATIVE TECHNOLOGY SYSTEMS — DIRECT EVIDENCE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Architected executable Python compliance rules, cloud-native API orchestrations, a deterministic neuro-symbolic validation layer, and front-to-back product architecture, demonstrating hands-on engineering of controlled, high-volume technology workflows.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RAPID APPLICATION DEVELOPMENT (RAD) ENGINEERING CAPABILITY — TRANSFERABLE EVIDENCE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Facilitated solution design and beta MVP release within eight weeks, led GuideBuoy AI to first beta launch in six months, and built API orchestrations handling 1,000 daily transactions.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QUANTITATIVE-FINANCE OR QUANTITATIVE-SYSTEMS DOMAIN FAMILIARITY — DIRECT EVIDENCE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Worked across derivatives and fixed income architecture, audited investment risk models and execution logic for 20+ robo-advisors, evaluated suitability algorithms, and implemented deterministic suitability logic for investment products.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EXPERIENCE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Founder &amp; Principal AI Architect (Agentic AI, NeSy AI, and Fiduciary Automation)</w:t>
      </w:r>
      <w:r>
        <w:rPr>
          <w:rFonts w:ascii="Arial" w:cs="Arial" w:eastAsia="Arial" w:hAnsi="Arial"/>
          <w:sz w:val="22"/>
          <w:szCs w:val="22"/>
        </w:rPr>
        <w:t xml:space="preserve"> | GuideBuoy AI SG Pte Ltd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August 2025 - Present - Singapore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Architecting agentic AI, neuro-symbolic AI and fiduciary automation workflows for financial-services compliance use cases.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Architected a deterministic neuro-symbolic validation layer processing 1,000 concurrent requests with 99% accuracy to autonomously audit regulatory compliance across scam- and fraud-related financial-institution workflows.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Built cloud-native API orchestrations handling 1,000 transactions daily, integrating LangChain and Guardrails AI to achieve 100% compliance with MAS FEAT and SRF guidelines and NIST AI RMF.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Engineered the Consumer Guardian Engine, translating six abstract MAS Fair Dealing mandates into executable Python logic rules and reducing manual compliance review time by 100%.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Enterprise Solution Architect &amp; Program Lead (Front Office &amp; Regulatory Transformation)</w:t>
      </w:r>
      <w:r>
        <w:rPr>
          <w:rFonts w:ascii="Arial" w:cs="Arial" w:eastAsia="Arial" w:hAnsi="Arial"/>
          <w:sz w:val="22"/>
          <w:szCs w:val="22"/>
        </w:rPr>
        <w:t xml:space="preserve"> | AIA Singapore / AIA Investment Management (AIAIM)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April 2023 - April 2025 - Singapore, Singapore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Delivered front-office architecture and regulatory transformation across derivatives, fixed income, liquidity and investment-operations workflows.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Designed the target operating model and modular integration architecture for a $25B derivatives portfolio, enabling interoperability between BlackRock Aladdin and BNPP Calypso.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Centralized collateral custody and outsourced critical margining workflows to BNP Paribas, replacing manual Excel-based processes with an automated system.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Directed the conversion of a $54B fixed income portfolio from Buy-and-Hold to Total Return, centralizing liquidity data infrastructure with BNY Mellon.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Centralized liquidity management across 10 APAC entities and reduced SOFR payment differentials by approximately 300 bps.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Associate Director (Multi-Asset Portfolios, DPM &amp; Digital Wealth Architecture)</w:t>
      </w:r>
      <w:r>
        <w:rPr>
          <w:rFonts w:ascii="Arial" w:cs="Arial" w:eastAsia="Arial" w:hAnsi="Arial"/>
          <w:sz w:val="22"/>
          <w:szCs w:val="22"/>
        </w:rPr>
        <w:t xml:space="preserve"> | Farringdon Asset Management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July 2019 - December 2022 - Singapore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Worked across multi-asset portfolios, discretionary portfolio management and digital wealth architecture.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Integrated OMS across three major custodians, automating 10+ transaction-level suitability checks daily and reducing operational errors by 90%.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Architected deterministic suitability logic across five investment products, eliminating manual advisory bias and reducing compliance audit time by 70%.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Grew AUM by USD $25M in six months and secured a permanent seat on the Investment &amp; Product Management Committee.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Lead Researcher (Algorithmic Wealth Architectures &amp; Asset Allocation)</w:t>
      </w:r>
      <w:r>
        <w:rPr>
          <w:rFonts w:ascii="Arial" w:cs="Arial" w:eastAsia="Arial" w:hAnsi="Arial"/>
          <w:sz w:val="22"/>
          <w:szCs w:val="22"/>
        </w:rPr>
        <w:t xml:space="preserve"> | Synpulse Management Consulting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August 2017 - January 2018 - Singapore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Conducted research and architectural analysis across digital wealth, robo-advisory and private-banking algorithmic workflows.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Conducted architectural audits of investment risk models and execution logic across 20+ digital wealth robo-advisors in Singapore and Hong Kong.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Developed a proprietary ranking system using six core data points to evaluate performance and suitability algorithms across 10+ tier-1 banks in APAC.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Regional CRM &amp; Sales Force Automation (SFA) Architect</w:t>
      </w:r>
      <w:r>
        <w:rPr>
          <w:rFonts w:ascii="Arial" w:cs="Arial" w:eastAsia="Arial" w:hAnsi="Arial"/>
          <w:sz w:val="22"/>
          <w:szCs w:val="22"/>
        </w:rPr>
        <w:t xml:space="preserve"> | Mondelēz International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February 2012 - September 2017 - Singapore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Architected regional CRM, sales-force automation and enterprise data-integration capabilities across APAC.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Codified standardized retail workflows into Salesforce architecture for 1,300+ users across 16 APAC markets, supporting the $140M Winning In Store Execution program.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Architected a CMDM data integration layer connecting Salesforce, SAP ERP, SAP BI HANA and distributor databases.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Managed external technology vendors to deliver implementations on schedule, realizing 61% IRR and $102M NPV.</w:t>
      </w:r>
    </w:p>
    <w:p>
      <w:pPr>
        <w:spacing w:after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 &amp; CREDENTIALS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Advanced Professional Certificate in Data Science and AI, Nanyang Technological University (NTU), Singapore | April 2026 - July 2026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Master of Science (MSc) in Wealth Management, Singapore Management University (SMU) | 2016 - 2017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Advanced Financial Analysis Series &amp; Excel Modeling, Wall Street Training (WST) | 2016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1"/>
          <w:szCs w:val="21"/>
        </w:rPr>
        <w:t xml:space="preserve">MBA (Master of Business Administration), North Park University | 2004 - 2005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2026-08-21T19:16:58.056Z</dcterms:created>
  <dcterms:modified xsi:type="dcterms:W3CDTF">2026-08-21T19:16:58.057Z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