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77ABD" w14:textId="19CE89A3" w:rsidR="00071378" w:rsidRPr="00264399" w:rsidRDefault="00264399">
      <w:pPr>
        <w:rPr>
          <w:b/>
          <w:bCs/>
        </w:rPr>
      </w:pPr>
      <w:r w:rsidRPr="00264399">
        <w:rPr>
          <w:b/>
          <w:bCs/>
        </w:rPr>
        <w:t>Project</w:t>
      </w:r>
      <w:r w:rsidR="00403533">
        <w:rPr>
          <w:b/>
          <w:bCs/>
        </w:rPr>
        <w:t xml:space="preserve"> </w:t>
      </w:r>
      <w:r w:rsidR="00154FAB">
        <w:rPr>
          <w:b/>
          <w:bCs/>
        </w:rPr>
        <w:t xml:space="preserve">1 </w:t>
      </w:r>
      <w:r w:rsidR="00403533">
        <w:rPr>
          <w:b/>
          <w:bCs/>
        </w:rPr>
        <w:t>The interpretation of disjunction in negative sentences</w:t>
      </w:r>
    </w:p>
    <w:p w14:paraId="5B464E5C" w14:textId="3B4CDEC0" w:rsidR="00A207D0" w:rsidRPr="00A207D0" w:rsidRDefault="00264399" w:rsidP="00A207D0">
      <w:pPr>
        <w:jc w:val="both"/>
        <w:rPr>
          <w:rFonts w:eastAsia="Times New Roman" w:cstheme="minorHAnsi"/>
          <w:sz w:val="22"/>
          <w:szCs w:val="22"/>
          <w:lang w:eastAsia="en-GB"/>
        </w:rPr>
      </w:pPr>
      <w:r w:rsidRPr="00A207D0">
        <w:rPr>
          <w:rFonts w:cstheme="minorHAnsi"/>
          <w:sz w:val="22"/>
          <w:szCs w:val="22"/>
        </w:rPr>
        <w:t xml:space="preserve">This </w:t>
      </w:r>
      <w:r w:rsidR="00A51661">
        <w:rPr>
          <w:rFonts w:cstheme="minorHAnsi"/>
          <w:sz w:val="22"/>
          <w:szCs w:val="22"/>
        </w:rPr>
        <w:t>line of investigation studies</w:t>
      </w:r>
      <w:r w:rsidRPr="00A207D0">
        <w:rPr>
          <w:rFonts w:cstheme="minorHAnsi"/>
          <w:sz w:val="22"/>
          <w:szCs w:val="22"/>
        </w:rPr>
        <w:t xml:space="preserve"> how children and adults interpret disjunction in negative contexts across different languages. </w:t>
      </w:r>
      <w:r w:rsidR="00A207D0" w:rsidRPr="00A207D0">
        <w:rPr>
          <w:rFonts w:cstheme="minorHAnsi"/>
          <w:sz w:val="22"/>
          <w:szCs w:val="22"/>
        </w:rPr>
        <w:t>As for linguistic theory, t</w:t>
      </w:r>
      <w:r w:rsidRPr="00A207D0">
        <w:rPr>
          <w:rFonts w:cstheme="minorHAnsi"/>
          <w:sz w:val="22"/>
          <w:szCs w:val="22"/>
        </w:rPr>
        <w:t>he results offer empirical evidence to the cross-linguistic distinction between PPI and non-PPI, but at the same time rise new questions, such as the role of prosody in assigning interpretation to potentially ambiguous sentences.</w:t>
      </w:r>
      <w:r w:rsidR="00A207D0" w:rsidRPr="00A207D0">
        <w:rPr>
          <w:rFonts w:cstheme="minorHAnsi"/>
          <w:sz w:val="22"/>
          <w:szCs w:val="22"/>
        </w:rPr>
        <w:t xml:space="preserve"> As for language acquisition,</w:t>
      </w:r>
      <w:r w:rsidRPr="00A207D0">
        <w:rPr>
          <w:rFonts w:cstheme="minorHAnsi"/>
          <w:sz w:val="22"/>
          <w:szCs w:val="22"/>
        </w:rPr>
        <w:t xml:space="preserve"> </w:t>
      </w:r>
      <w:r w:rsidR="00A207D0" w:rsidRPr="00A207D0">
        <w:rPr>
          <w:rFonts w:cstheme="minorHAnsi"/>
          <w:sz w:val="22"/>
          <w:szCs w:val="22"/>
        </w:rPr>
        <w:t>t</w:t>
      </w:r>
      <w:r w:rsidRPr="00A207D0">
        <w:rPr>
          <w:rFonts w:cstheme="minorHAnsi"/>
          <w:sz w:val="22"/>
          <w:szCs w:val="22"/>
        </w:rPr>
        <w:t xml:space="preserve">he investigations of children’s understanding of disjunction under negation in different languages reached the conclusion that children start by preferring the subset of the truth-conditions assigned to the negated disjunction according to classical logic, independently from the interpretation assigned by adult speakers of the local language. This pattern of responses has been explained in terms of a principle of language learnability called Semantic Subset Principle (Crain et al., 1994). However, </w:t>
      </w:r>
      <w:r w:rsidR="00A207D0" w:rsidRPr="00A207D0">
        <w:rPr>
          <w:rFonts w:cstheme="minorHAnsi"/>
          <w:sz w:val="22"/>
          <w:szCs w:val="22"/>
        </w:rPr>
        <w:t xml:space="preserve">it emerges that </w:t>
      </w:r>
      <w:r w:rsidRPr="00A207D0">
        <w:rPr>
          <w:rFonts w:cstheme="minorHAnsi"/>
          <w:sz w:val="22"/>
          <w:szCs w:val="22"/>
        </w:rPr>
        <w:t xml:space="preserve">others </w:t>
      </w:r>
      <w:r w:rsidR="00A207D0" w:rsidRPr="00A207D0">
        <w:rPr>
          <w:rFonts w:cstheme="minorHAnsi"/>
          <w:sz w:val="22"/>
          <w:szCs w:val="22"/>
        </w:rPr>
        <w:t xml:space="preserve">factors are at play such as the </w:t>
      </w:r>
      <w:r w:rsidR="00A207D0" w:rsidRPr="00A207D0">
        <w:rPr>
          <w:rFonts w:eastAsia="Times New Roman" w:cstheme="minorHAnsi"/>
          <w:color w:val="000000"/>
          <w:sz w:val="22"/>
          <w:szCs w:val="22"/>
          <w:lang w:eastAsia="en-GB"/>
        </w:rPr>
        <w:t xml:space="preserve">presence of alternative forms for disjunction and the language-specific particularities of the syntax </w:t>
      </w:r>
      <w:r w:rsidR="00A207D0" w:rsidRPr="00A207D0">
        <w:rPr>
          <w:rFonts w:eastAsia="Times New Roman" w:cstheme="minorHAnsi"/>
          <w:color w:val="000000"/>
          <w:sz w:val="22"/>
          <w:szCs w:val="22"/>
          <w:lang w:val="en-US" w:eastAsia="en-GB"/>
        </w:rPr>
        <w:t xml:space="preserve">and semantics </w:t>
      </w:r>
      <w:r w:rsidR="00A207D0" w:rsidRPr="00A207D0">
        <w:rPr>
          <w:rFonts w:eastAsia="Times New Roman" w:cstheme="minorHAnsi"/>
          <w:color w:val="000000"/>
          <w:sz w:val="22"/>
          <w:szCs w:val="22"/>
          <w:lang w:eastAsia="en-GB"/>
        </w:rPr>
        <w:t>of negation. </w:t>
      </w:r>
    </w:p>
    <w:p w14:paraId="3B29B4F6" w14:textId="33E93684" w:rsidR="00264399" w:rsidRDefault="00264399"/>
    <w:p w14:paraId="14DD3ED2" w14:textId="06BFC21A" w:rsidR="00A51661" w:rsidRDefault="00A51661"/>
    <w:p w14:paraId="058621B0" w14:textId="7421F5E3" w:rsidR="00A51661" w:rsidRPr="00A51661" w:rsidRDefault="00A51661">
      <w:pPr>
        <w:rPr>
          <w:b/>
          <w:bCs/>
        </w:rPr>
      </w:pPr>
      <w:r w:rsidRPr="00A51661">
        <w:rPr>
          <w:b/>
          <w:bCs/>
        </w:rPr>
        <w:t>Project</w:t>
      </w:r>
      <w:r w:rsidR="00403533">
        <w:rPr>
          <w:b/>
          <w:bCs/>
        </w:rPr>
        <w:t xml:space="preserve"> </w:t>
      </w:r>
      <w:r w:rsidR="00154FAB">
        <w:rPr>
          <w:b/>
          <w:bCs/>
        </w:rPr>
        <w:t>2 Scalar implicature in first language acquisition</w:t>
      </w:r>
    </w:p>
    <w:p w14:paraId="5524B771" w14:textId="56509CE9" w:rsidR="004562E3" w:rsidRPr="00CC39B3" w:rsidRDefault="00A51661" w:rsidP="00CC39B3">
      <w:pPr>
        <w:autoSpaceDE w:val="0"/>
        <w:autoSpaceDN w:val="0"/>
        <w:adjustRightInd w:val="0"/>
        <w:rPr>
          <w:rFonts w:cstheme="minorHAnsi"/>
          <w:sz w:val="22"/>
          <w:szCs w:val="22"/>
        </w:rPr>
      </w:pPr>
      <w:r w:rsidRPr="00CC39B3">
        <w:rPr>
          <w:rFonts w:cstheme="minorHAnsi"/>
          <w:sz w:val="22"/>
          <w:szCs w:val="22"/>
        </w:rPr>
        <w:t xml:space="preserve">Children accept a sentence such as </w:t>
      </w:r>
      <w:r w:rsidRPr="00CC39B3">
        <w:rPr>
          <w:rFonts w:cstheme="minorHAnsi"/>
          <w:i/>
          <w:iCs/>
          <w:sz w:val="22"/>
          <w:szCs w:val="22"/>
        </w:rPr>
        <w:t>Some giraffes wear a scarf</w:t>
      </w:r>
      <w:r w:rsidRPr="00CC39B3">
        <w:rPr>
          <w:rFonts w:cstheme="minorHAnsi"/>
          <w:sz w:val="22"/>
          <w:szCs w:val="22"/>
        </w:rPr>
        <w:t xml:space="preserve"> in a context in which all giraffes are wearing a scarf – differently from adults who would reject such </w:t>
      </w:r>
      <w:r w:rsidR="00FE67CC" w:rsidRPr="00CC39B3">
        <w:rPr>
          <w:rFonts w:cstheme="minorHAnsi"/>
          <w:sz w:val="22"/>
          <w:szCs w:val="22"/>
        </w:rPr>
        <w:t xml:space="preserve">a </w:t>
      </w:r>
      <w:r w:rsidRPr="00CC39B3">
        <w:rPr>
          <w:rFonts w:cstheme="minorHAnsi"/>
          <w:sz w:val="22"/>
          <w:szCs w:val="22"/>
        </w:rPr>
        <w:t xml:space="preserve">sentence in that context. </w:t>
      </w:r>
      <w:r w:rsidR="00C932B6" w:rsidRPr="00CC39B3">
        <w:rPr>
          <w:rFonts w:cstheme="minorHAnsi"/>
          <w:sz w:val="22"/>
          <w:szCs w:val="22"/>
        </w:rPr>
        <w:t xml:space="preserve">So, for an adult, </w:t>
      </w:r>
      <w:r w:rsidR="00C932B6" w:rsidRPr="00CC39B3">
        <w:rPr>
          <w:rFonts w:cstheme="minorHAnsi"/>
          <w:i/>
          <w:iCs/>
          <w:sz w:val="22"/>
          <w:szCs w:val="22"/>
        </w:rPr>
        <w:t>some</w:t>
      </w:r>
      <w:r w:rsidR="00C932B6" w:rsidRPr="00CC39B3">
        <w:rPr>
          <w:rFonts w:cstheme="minorHAnsi"/>
          <w:sz w:val="22"/>
          <w:szCs w:val="22"/>
        </w:rPr>
        <w:t xml:space="preserve"> means </w:t>
      </w:r>
      <w:r w:rsidR="00C932B6" w:rsidRPr="00CC39B3">
        <w:rPr>
          <w:rFonts w:cstheme="minorHAnsi"/>
          <w:i/>
          <w:iCs/>
          <w:sz w:val="22"/>
          <w:szCs w:val="22"/>
        </w:rPr>
        <w:t>not all</w:t>
      </w:r>
      <w:r w:rsidR="00C932B6" w:rsidRPr="00CC39B3">
        <w:rPr>
          <w:rFonts w:cstheme="minorHAnsi"/>
          <w:sz w:val="22"/>
          <w:szCs w:val="22"/>
        </w:rPr>
        <w:t xml:space="preserve">, even if logically speaking </w:t>
      </w:r>
      <w:r w:rsidR="00C932B6" w:rsidRPr="00CC39B3">
        <w:rPr>
          <w:rFonts w:cstheme="minorHAnsi"/>
          <w:i/>
          <w:iCs/>
          <w:sz w:val="22"/>
          <w:szCs w:val="22"/>
        </w:rPr>
        <w:t>all</w:t>
      </w:r>
      <w:r w:rsidR="00C932B6" w:rsidRPr="00CC39B3">
        <w:rPr>
          <w:rFonts w:cstheme="minorHAnsi"/>
          <w:sz w:val="22"/>
          <w:szCs w:val="22"/>
        </w:rPr>
        <w:t xml:space="preserve"> asymmetrically entails </w:t>
      </w:r>
      <w:r w:rsidR="00C932B6" w:rsidRPr="00CC39B3">
        <w:rPr>
          <w:rFonts w:cstheme="minorHAnsi"/>
          <w:i/>
          <w:iCs/>
          <w:sz w:val="22"/>
          <w:szCs w:val="22"/>
        </w:rPr>
        <w:t>some</w:t>
      </w:r>
      <w:r w:rsidR="00C932B6" w:rsidRPr="00CC39B3">
        <w:rPr>
          <w:rFonts w:cstheme="minorHAnsi"/>
          <w:sz w:val="22"/>
          <w:szCs w:val="22"/>
        </w:rPr>
        <w:t xml:space="preserve">. This </w:t>
      </w:r>
      <w:r w:rsidRPr="00CC39B3">
        <w:rPr>
          <w:rFonts w:cstheme="minorHAnsi"/>
          <w:sz w:val="22"/>
          <w:szCs w:val="22"/>
        </w:rPr>
        <w:t>line of investigation focuses on</w:t>
      </w:r>
      <w:r w:rsidR="00C932B6" w:rsidRPr="00CC39B3">
        <w:rPr>
          <w:rFonts w:cstheme="minorHAnsi"/>
          <w:sz w:val="22"/>
          <w:szCs w:val="22"/>
        </w:rPr>
        <w:t xml:space="preserve"> how children derive this type of inferences</w:t>
      </w:r>
      <w:r w:rsidR="00CC39B3" w:rsidRPr="00CC39B3">
        <w:rPr>
          <w:rFonts w:cstheme="minorHAnsi"/>
          <w:sz w:val="22"/>
          <w:szCs w:val="22"/>
        </w:rPr>
        <w:t xml:space="preserve"> </w:t>
      </w:r>
      <w:r w:rsidR="00CC39B3">
        <w:rPr>
          <w:rFonts w:cstheme="minorHAnsi"/>
          <w:sz w:val="22"/>
          <w:szCs w:val="22"/>
        </w:rPr>
        <w:t xml:space="preserve">- </w:t>
      </w:r>
      <w:r w:rsidR="00CC39B3" w:rsidRPr="00C932B6">
        <w:rPr>
          <w:rFonts w:cstheme="minorHAnsi"/>
          <w:sz w:val="22"/>
          <w:szCs w:val="22"/>
        </w:rPr>
        <w:t>which are usually called scalar implicature</w:t>
      </w:r>
      <w:r w:rsidR="00CC39B3">
        <w:rPr>
          <w:rFonts w:cstheme="minorHAnsi"/>
          <w:sz w:val="22"/>
          <w:szCs w:val="22"/>
        </w:rPr>
        <w:t xml:space="preserve"> </w:t>
      </w:r>
      <w:proofErr w:type="gramStart"/>
      <w:r w:rsidR="00CC39B3">
        <w:rPr>
          <w:rFonts w:cstheme="minorHAnsi"/>
          <w:sz w:val="22"/>
          <w:szCs w:val="22"/>
        </w:rPr>
        <w:t xml:space="preserve">- </w:t>
      </w:r>
      <w:r w:rsidR="00CC39B3" w:rsidRPr="00C932B6">
        <w:rPr>
          <w:rFonts w:cstheme="minorHAnsi"/>
          <w:sz w:val="22"/>
          <w:szCs w:val="22"/>
        </w:rPr>
        <w:t xml:space="preserve"> </w:t>
      </w:r>
      <w:r w:rsidR="00CC39B3" w:rsidRPr="00CC39B3">
        <w:rPr>
          <w:rFonts w:cstheme="minorHAnsi"/>
          <w:sz w:val="22"/>
          <w:szCs w:val="22"/>
        </w:rPr>
        <w:t>and</w:t>
      </w:r>
      <w:proofErr w:type="gramEnd"/>
      <w:r w:rsidR="00CC39B3" w:rsidRPr="00CC39B3">
        <w:rPr>
          <w:rFonts w:cstheme="minorHAnsi"/>
          <w:sz w:val="22"/>
          <w:szCs w:val="22"/>
        </w:rPr>
        <w:t xml:space="preserve"> on their </w:t>
      </w:r>
      <w:r w:rsidR="00CC39B3" w:rsidRPr="00CC39B3">
        <w:rPr>
          <w:rFonts w:cstheme="minorHAnsi"/>
          <w:sz w:val="22"/>
          <w:szCs w:val="22"/>
        </w:rPr>
        <w:t xml:space="preserve">variable success in computing </w:t>
      </w:r>
      <w:r w:rsidR="00CC39B3" w:rsidRPr="00CC39B3">
        <w:rPr>
          <w:rFonts w:cstheme="minorHAnsi"/>
          <w:sz w:val="22"/>
          <w:szCs w:val="22"/>
        </w:rPr>
        <w:t>them.</w:t>
      </w:r>
    </w:p>
    <w:p w14:paraId="60D53FFC" w14:textId="70047FC9" w:rsidR="00CC39B3" w:rsidRDefault="00CC39B3" w:rsidP="00CC39B3">
      <w:pPr>
        <w:autoSpaceDE w:val="0"/>
        <w:autoSpaceDN w:val="0"/>
        <w:adjustRightInd w:val="0"/>
        <w:rPr>
          <w:rFonts w:ascii="Times New Roman" w:hAnsi="Times New Roman" w:cs="Times New Roman"/>
          <w:sz w:val="14"/>
          <w:szCs w:val="14"/>
        </w:rPr>
      </w:pPr>
    </w:p>
    <w:p w14:paraId="77A728AB" w14:textId="77777777" w:rsidR="00CC39B3" w:rsidRDefault="00CC39B3" w:rsidP="00CC39B3">
      <w:pPr>
        <w:autoSpaceDE w:val="0"/>
        <w:autoSpaceDN w:val="0"/>
        <w:adjustRightInd w:val="0"/>
        <w:rPr>
          <w:rFonts w:cstheme="minorHAnsi"/>
          <w:sz w:val="22"/>
          <w:szCs w:val="22"/>
        </w:rPr>
      </w:pPr>
    </w:p>
    <w:p w14:paraId="5D4F02A1" w14:textId="6765C3F7" w:rsidR="004562E3" w:rsidRDefault="004562E3" w:rsidP="00C932B6">
      <w:pPr>
        <w:autoSpaceDE w:val="0"/>
        <w:autoSpaceDN w:val="0"/>
        <w:adjustRightInd w:val="0"/>
        <w:jc w:val="both"/>
        <w:rPr>
          <w:rFonts w:cstheme="minorHAnsi"/>
          <w:b/>
          <w:bCs/>
          <w:sz w:val="22"/>
          <w:szCs w:val="22"/>
        </w:rPr>
      </w:pPr>
      <w:r w:rsidRPr="004562E3">
        <w:rPr>
          <w:rFonts w:cstheme="minorHAnsi"/>
          <w:b/>
          <w:bCs/>
          <w:sz w:val="22"/>
          <w:szCs w:val="22"/>
        </w:rPr>
        <w:t>Project</w:t>
      </w:r>
      <w:r w:rsidR="00154FAB">
        <w:rPr>
          <w:rFonts w:cstheme="minorHAnsi"/>
          <w:b/>
          <w:bCs/>
          <w:sz w:val="22"/>
          <w:szCs w:val="22"/>
        </w:rPr>
        <w:t xml:space="preserve"> </w:t>
      </w:r>
      <w:r w:rsidRPr="004562E3">
        <w:rPr>
          <w:rFonts w:cstheme="minorHAnsi"/>
          <w:b/>
          <w:bCs/>
          <w:sz w:val="22"/>
          <w:szCs w:val="22"/>
        </w:rPr>
        <w:t>3</w:t>
      </w:r>
      <w:r w:rsidR="00154FAB">
        <w:rPr>
          <w:rFonts w:cstheme="minorHAnsi"/>
          <w:b/>
          <w:bCs/>
          <w:sz w:val="22"/>
          <w:szCs w:val="22"/>
        </w:rPr>
        <w:t xml:space="preserve"> </w:t>
      </w:r>
      <w:r w:rsidR="003F71E8">
        <w:rPr>
          <w:rFonts w:cstheme="minorHAnsi"/>
          <w:b/>
          <w:bCs/>
          <w:sz w:val="22"/>
          <w:szCs w:val="22"/>
        </w:rPr>
        <w:t>Quantification in child language</w:t>
      </w:r>
    </w:p>
    <w:p w14:paraId="0796962A" w14:textId="77777777" w:rsidR="0083647E" w:rsidRPr="0083647E" w:rsidRDefault="0083647E" w:rsidP="0083647E">
      <w:pPr>
        <w:autoSpaceDE w:val="0"/>
        <w:autoSpaceDN w:val="0"/>
        <w:adjustRightInd w:val="0"/>
        <w:jc w:val="both"/>
        <w:rPr>
          <w:rFonts w:cstheme="minorHAnsi"/>
          <w:sz w:val="20"/>
          <w:szCs w:val="20"/>
        </w:rPr>
      </w:pPr>
      <w:r w:rsidRPr="0083647E">
        <w:rPr>
          <w:rFonts w:cstheme="minorHAnsi"/>
          <w:sz w:val="20"/>
          <w:szCs w:val="20"/>
        </w:rPr>
        <w:t>A fundamental power of human language is the capacity to refer to quantities of entities,</w:t>
      </w:r>
    </w:p>
    <w:p w14:paraId="47B05770" w14:textId="77777777" w:rsidR="0083647E" w:rsidRPr="0083647E" w:rsidRDefault="0083647E" w:rsidP="0083647E">
      <w:pPr>
        <w:autoSpaceDE w:val="0"/>
        <w:autoSpaceDN w:val="0"/>
        <w:adjustRightInd w:val="0"/>
        <w:jc w:val="both"/>
        <w:rPr>
          <w:rFonts w:cstheme="minorHAnsi"/>
          <w:sz w:val="22"/>
          <w:szCs w:val="22"/>
        </w:rPr>
      </w:pPr>
      <w:r w:rsidRPr="0083647E">
        <w:rPr>
          <w:rFonts w:cstheme="minorHAnsi"/>
          <w:sz w:val="20"/>
          <w:szCs w:val="20"/>
        </w:rPr>
        <w:t>as expressed by quantifiers, numerical and plural expressions.</w:t>
      </w:r>
      <w:r w:rsidRPr="0083647E">
        <w:rPr>
          <w:rFonts w:cstheme="minorHAnsi"/>
          <w:sz w:val="22"/>
          <w:szCs w:val="22"/>
        </w:rPr>
        <w:t xml:space="preserve"> </w:t>
      </w:r>
      <w:r w:rsidR="002B51A5" w:rsidRPr="0083647E">
        <w:rPr>
          <w:rFonts w:cstheme="minorHAnsi"/>
          <w:sz w:val="22"/>
          <w:szCs w:val="22"/>
        </w:rPr>
        <w:t xml:space="preserve">This project investigates </w:t>
      </w:r>
      <w:r w:rsidRPr="0083647E">
        <w:rPr>
          <w:rFonts w:cstheme="minorHAnsi"/>
          <w:sz w:val="22"/>
          <w:szCs w:val="22"/>
        </w:rPr>
        <w:t>how</w:t>
      </w:r>
      <w:r w:rsidR="00470B4C" w:rsidRPr="0083647E">
        <w:rPr>
          <w:rFonts w:cstheme="minorHAnsi"/>
          <w:sz w:val="22"/>
          <w:szCs w:val="22"/>
        </w:rPr>
        <w:t xml:space="preserve"> children interpret </w:t>
      </w:r>
      <w:r w:rsidR="00470B4C" w:rsidRPr="0083647E">
        <w:rPr>
          <w:rStyle w:val="apple-converted-space"/>
          <w:rFonts w:cstheme="minorHAnsi"/>
          <w:sz w:val="22"/>
          <w:szCs w:val="22"/>
        </w:rPr>
        <w:t xml:space="preserve">sentences with semantically plural arguments, </w:t>
      </w:r>
      <w:r w:rsidR="00470B4C" w:rsidRPr="0083647E">
        <w:rPr>
          <w:rFonts w:cstheme="minorHAnsi"/>
          <w:sz w:val="22"/>
          <w:szCs w:val="22"/>
        </w:rPr>
        <w:t>such as the quantifier each and every.</w:t>
      </w:r>
      <w:r w:rsidRPr="0083647E">
        <w:rPr>
          <w:rFonts w:cstheme="minorHAnsi"/>
          <w:sz w:val="22"/>
          <w:szCs w:val="22"/>
        </w:rPr>
        <w:t xml:space="preserve"> </w:t>
      </w:r>
    </w:p>
    <w:p w14:paraId="3E582D70" w14:textId="63059516" w:rsidR="0083647E" w:rsidRPr="0083647E" w:rsidRDefault="0083647E" w:rsidP="0083647E">
      <w:pPr>
        <w:autoSpaceDE w:val="0"/>
        <w:autoSpaceDN w:val="0"/>
        <w:adjustRightInd w:val="0"/>
        <w:jc w:val="both"/>
        <w:rPr>
          <w:rFonts w:cstheme="minorHAnsi"/>
          <w:sz w:val="20"/>
          <w:szCs w:val="20"/>
        </w:rPr>
      </w:pPr>
      <w:r w:rsidRPr="0083647E">
        <w:rPr>
          <w:rFonts w:cstheme="minorHAnsi"/>
          <w:sz w:val="20"/>
          <w:szCs w:val="20"/>
        </w:rPr>
        <w:t>Previous acquisition research showed that pre-schoolers assign non-adult-like</w:t>
      </w:r>
      <w:r w:rsidRPr="0083647E">
        <w:rPr>
          <w:rFonts w:cstheme="minorHAnsi"/>
          <w:sz w:val="20"/>
          <w:szCs w:val="20"/>
        </w:rPr>
        <w:t xml:space="preserve"> </w:t>
      </w:r>
      <w:r w:rsidRPr="0083647E">
        <w:rPr>
          <w:rFonts w:cstheme="minorHAnsi"/>
          <w:sz w:val="20"/>
          <w:szCs w:val="20"/>
        </w:rPr>
        <w:t>interpretations to all and each and that the</w:t>
      </w:r>
      <w:r w:rsidRPr="0083647E">
        <w:rPr>
          <w:rFonts w:cstheme="minorHAnsi"/>
          <w:sz w:val="20"/>
          <w:szCs w:val="20"/>
        </w:rPr>
        <w:t xml:space="preserve"> </w:t>
      </w:r>
      <w:r w:rsidRPr="0083647E">
        <w:rPr>
          <w:rFonts w:cstheme="minorHAnsi"/>
          <w:sz w:val="20"/>
          <w:szCs w:val="20"/>
        </w:rPr>
        <w:t>acquisition of quantification is a lengthy</w:t>
      </w:r>
      <w:r w:rsidRPr="0083647E">
        <w:rPr>
          <w:rFonts w:cstheme="minorHAnsi"/>
          <w:sz w:val="20"/>
          <w:szCs w:val="20"/>
        </w:rPr>
        <w:t xml:space="preserve"> </w:t>
      </w:r>
      <w:r w:rsidRPr="0083647E">
        <w:rPr>
          <w:rFonts w:cstheme="minorHAnsi"/>
          <w:sz w:val="20"/>
          <w:szCs w:val="20"/>
        </w:rPr>
        <w:t>process.</w:t>
      </w:r>
      <w:r w:rsidRPr="0083647E">
        <w:rPr>
          <w:rFonts w:cstheme="minorHAnsi"/>
          <w:sz w:val="20"/>
          <w:szCs w:val="20"/>
        </w:rPr>
        <w:t xml:space="preserve"> </w:t>
      </w:r>
      <w:r w:rsidRPr="0083647E">
        <w:rPr>
          <w:rFonts w:cstheme="minorHAnsi"/>
          <w:sz w:val="22"/>
          <w:szCs w:val="22"/>
        </w:rPr>
        <w:t xml:space="preserve">However, the source of the difficulty with quantifiers such as </w:t>
      </w:r>
      <w:r w:rsidRPr="0083647E">
        <w:rPr>
          <w:rFonts w:cstheme="minorHAnsi"/>
          <w:i/>
          <w:sz w:val="22"/>
          <w:szCs w:val="22"/>
        </w:rPr>
        <w:t>each</w:t>
      </w:r>
      <w:r w:rsidRPr="0083647E">
        <w:rPr>
          <w:rFonts w:cstheme="minorHAnsi"/>
          <w:sz w:val="22"/>
          <w:szCs w:val="22"/>
        </w:rPr>
        <w:t xml:space="preserve"> and </w:t>
      </w:r>
      <w:r w:rsidRPr="0083647E">
        <w:rPr>
          <w:rFonts w:cstheme="minorHAnsi"/>
          <w:i/>
          <w:sz w:val="22"/>
          <w:szCs w:val="22"/>
        </w:rPr>
        <w:t>every</w:t>
      </w:r>
      <w:r w:rsidRPr="0083647E">
        <w:rPr>
          <w:rFonts w:cstheme="minorHAnsi"/>
          <w:sz w:val="22"/>
          <w:szCs w:val="22"/>
        </w:rPr>
        <w:t xml:space="preserve"> is still unknown and a unifying account has not been proposed yet.</w:t>
      </w:r>
    </w:p>
    <w:p w14:paraId="4C85AF7D" w14:textId="3FAA1C7C" w:rsidR="0083647E" w:rsidRDefault="0083647E" w:rsidP="0083647E">
      <w:pPr>
        <w:autoSpaceDE w:val="0"/>
        <w:autoSpaceDN w:val="0"/>
        <w:adjustRightInd w:val="0"/>
        <w:rPr>
          <w:rFonts w:ascii="Times New Roman" w:hAnsi="Times New Roman" w:cs="Times New Roman"/>
          <w:sz w:val="20"/>
          <w:szCs w:val="20"/>
        </w:rPr>
      </w:pPr>
    </w:p>
    <w:p w14:paraId="234FD210" w14:textId="483A8348" w:rsidR="00154FAB" w:rsidRDefault="00154FAB" w:rsidP="00C932B6">
      <w:pPr>
        <w:autoSpaceDE w:val="0"/>
        <w:autoSpaceDN w:val="0"/>
        <w:adjustRightInd w:val="0"/>
        <w:jc w:val="both"/>
        <w:rPr>
          <w:rFonts w:cstheme="minorHAnsi"/>
          <w:b/>
          <w:bCs/>
          <w:sz w:val="22"/>
          <w:szCs w:val="22"/>
        </w:rPr>
      </w:pPr>
    </w:p>
    <w:p w14:paraId="07CB4856" w14:textId="4EDBB6D8" w:rsidR="00154FAB" w:rsidRDefault="00154FAB" w:rsidP="00C932B6">
      <w:pPr>
        <w:autoSpaceDE w:val="0"/>
        <w:autoSpaceDN w:val="0"/>
        <w:adjustRightInd w:val="0"/>
        <w:jc w:val="both"/>
        <w:rPr>
          <w:rFonts w:cstheme="minorHAnsi"/>
          <w:b/>
          <w:bCs/>
          <w:sz w:val="22"/>
          <w:szCs w:val="22"/>
        </w:rPr>
      </w:pPr>
      <w:r>
        <w:rPr>
          <w:rFonts w:cstheme="minorHAnsi"/>
          <w:b/>
          <w:bCs/>
          <w:sz w:val="22"/>
          <w:szCs w:val="22"/>
        </w:rPr>
        <w:t xml:space="preserve">Project 4 </w:t>
      </w:r>
      <w:r w:rsidR="00470B4C">
        <w:rPr>
          <w:rFonts w:cstheme="minorHAnsi"/>
          <w:b/>
          <w:bCs/>
          <w:sz w:val="22"/>
          <w:szCs w:val="22"/>
        </w:rPr>
        <w:t>The complex realm of Developmental Dyslexia</w:t>
      </w:r>
    </w:p>
    <w:p w14:paraId="027CE835" w14:textId="786A1289" w:rsidR="00DF51CB" w:rsidRPr="004562E3" w:rsidRDefault="00DF51CB" w:rsidP="00C932B6">
      <w:pPr>
        <w:autoSpaceDE w:val="0"/>
        <w:autoSpaceDN w:val="0"/>
        <w:adjustRightInd w:val="0"/>
        <w:jc w:val="both"/>
        <w:rPr>
          <w:rFonts w:cstheme="minorHAnsi"/>
          <w:b/>
          <w:bCs/>
          <w:sz w:val="22"/>
          <w:szCs w:val="22"/>
        </w:rPr>
      </w:pPr>
      <w:r>
        <w:rPr>
          <w:sz w:val="21"/>
          <w:szCs w:val="21"/>
        </w:rPr>
        <w:t>Developmental Dyslex</w:t>
      </w:r>
      <w:r w:rsidR="00EC6757">
        <w:rPr>
          <w:sz w:val="21"/>
          <w:szCs w:val="21"/>
        </w:rPr>
        <w:t>ia</w:t>
      </w:r>
      <w:r>
        <w:rPr>
          <w:sz w:val="21"/>
          <w:szCs w:val="21"/>
        </w:rPr>
        <w:t xml:space="preserve"> is a learning disorder characterized by specific difficulty in learning to read accurately and fluently. It has been argued that the source of the disorder in </w:t>
      </w:r>
      <w:r w:rsidR="00EC6757">
        <w:rPr>
          <w:sz w:val="21"/>
          <w:szCs w:val="21"/>
        </w:rPr>
        <w:t>developmental dyslexia</w:t>
      </w:r>
      <w:r>
        <w:rPr>
          <w:sz w:val="21"/>
          <w:szCs w:val="21"/>
        </w:rPr>
        <w:t xml:space="preserve"> is phonological in nature. However, dyslexics often suffer from for fine and gross motor problems, subtle deficits in the processing of morphosyntactic features and of complex syntactic structures, and experience difficulties in rhythm perception. This project aims at </w:t>
      </w:r>
      <w:r w:rsidR="00EC6757">
        <w:rPr>
          <w:sz w:val="21"/>
          <w:szCs w:val="21"/>
        </w:rPr>
        <w:t>defining</w:t>
      </w:r>
      <w:r>
        <w:rPr>
          <w:sz w:val="21"/>
          <w:szCs w:val="21"/>
        </w:rPr>
        <w:t xml:space="preserve"> a more-fine grained </w:t>
      </w:r>
      <w:r w:rsidR="00EC6757">
        <w:rPr>
          <w:sz w:val="21"/>
          <w:szCs w:val="21"/>
        </w:rPr>
        <w:t xml:space="preserve">linguistic and cognitive </w:t>
      </w:r>
      <w:r>
        <w:rPr>
          <w:sz w:val="21"/>
          <w:szCs w:val="21"/>
        </w:rPr>
        <w:t xml:space="preserve">profile of children with </w:t>
      </w:r>
      <w:r w:rsidR="00EC6757">
        <w:rPr>
          <w:sz w:val="21"/>
          <w:szCs w:val="21"/>
        </w:rPr>
        <w:t>Developmental Dyslexia.</w:t>
      </w:r>
    </w:p>
    <w:sectPr w:rsidR="00DF51CB" w:rsidRPr="00456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45F"/>
    <w:rsid w:val="00071378"/>
    <w:rsid w:val="00154FAB"/>
    <w:rsid w:val="001D145F"/>
    <w:rsid w:val="00264399"/>
    <w:rsid w:val="002B51A5"/>
    <w:rsid w:val="003F71E8"/>
    <w:rsid w:val="00403533"/>
    <w:rsid w:val="004562E3"/>
    <w:rsid w:val="00470B4C"/>
    <w:rsid w:val="0083647E"/>
    <w:rsid w:val="00A207D0"/>
    <w:rsid w:val="00A51661"/>
    <w:rsid w:val="00C657B2"/>
    <w:rsid w:val="00C932B6"/>
    <w:rsid w:val="00CC39B3"/>
    <w:rsid w:val="00DF51CB"/>
    <w:rsid w:val="00EA0F80"/>
    <w:rsid w:val="00EC6757"/>
    <w:rsid w:val="00FE67CC"/>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6E082789"/>
  <w15:chartTrackingRefBased/>
  <w15:docId w15:val="{C7BA1DF4-EE32-A441-811A-1A7BAAB08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A516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PAGLIARINI</dc:creator>
  <cp:keywords/>
  <dc:description/>
  <cp:lastModifiedBy>ELENA PAGLIARINI</cp:lastModifiedBy>
  <cp:revision>8</cp:revision>
  <dcterms:created xsi:type="dcterms:W3CDTF">2021-02-16T14:57:00Z</dcterms:created>
  <dcterms:modified xsi:type="dcterms:W3CDTF">2021-02-16T21:58:00Z</dcterms:modified>
</cp:coreProperties>
</file>