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A7132" w14:textId="77777777" w:rsidR="00CF1A53" w:rsidRPr="00CF1A53" w:rsidRDefault="00CF1A53" w:rsidP="00CF1A53">
      <w:r w:rsidRPr="00CF1A53">
        <w:t xml:space="preserve">La </w:t>
      </w:r>
      <w:proofErr w:type="spellStart"/>
      <w:r w:rsidRPr="00CF1A53">
        <w:t>dacrifilia</w:t>
      </w:r>
      <w:proofErr w:type="spellEnd"/>
    </w:p>
    <w:p w14:paraId="4195526C" w14:textId="77777777" w:rsidR="00CF1A53" w:rsidRPr="00CF1A53" w:rsidRDefault="00CF1A53" w:rsidP="00CF1A53">
      <w:r w:rsidRPr="00CF1A53">
        <w:rPr>
          <w:b/>
          <w:bCs/>
        </w:rPr>
        <w:t xml:space="preserve">La </w:t>
      </w:r>
      <w:proofErr w:type="spellStart"/>
      <w:r w:rsidRPr="00CF1A53">
        <w:rPr>
          <w:b/>
          <w:bCs/>
        </w:rPr>
        <w:t>dacrifilia</w:t>
      </w:r>
      <w:proofErr w:type="spellEnd"/>
      <w:r w:rsidRPr="00CF1A53">
        <w:rPr>
          <w:b/>
          <w:bCs/>
        </w:rPr>
        <w:t> es una parafilia en la que una persona se excita con las lágrimas o el llanto.</w:t>
      </w:r>
      <w:r w:rsidRPr="00CF1A53">
        <w:t> Está asociada tanto a hombres como mujeres.</w:t>
      </w:r>
    </w:p>
    <w:p w14:paraId="1887C91C" w14:textId="77777777" w:rsidR="00CF1A53" w:rsidRPr="00CF1A53" w:rsidRDefault="00CF1A53" w:rsidP="00CF1A53">
      <w:r w:rsidRPr="00CF1A53">
        <w:rPr>
          <w:b/>
          <w:bCs/>
        </w:rPr>
        <w:t>Hay dos diferentes tipos</w:t>
      </w:r>
      <w:r w:rsidRPr="00CF1A53">
        <w:t xml:space="preserve"> que coexisten dentro del espectro </w:t>
      </w:r>
      <w:proofErr w:type="spellStart"/>
      <w:r w:rsidRPr="00CF1A53">
        <w:t>dacrifílico</w:t>
      </w:r>
      <w:proofErr w:type="spellEnd"/>
      <w:r w:rsidRPr="00CF1A53">
        <w:t>: </w:t>
      </w:r>
    </w:p>
    <w:p w14:paraId="2C3B02C7" w14:textId="77777777" w:rsidR="00CF1A53" w:rsidRPr="00CF1A53" w:rsidRDefault="00CF1A53" w:rsidP="00CF1A53">
      <w:r w:rsidRPr="00CF1A53">
        <w:t xml:space="preserve">los </w:t>
      </w:r>
      <w:proofErr w:type="spellStart"/>
      <w:r w:rsidRPr="00CF1A53">
        <w:t>dacrifílicos</w:t>
      </w:r>
      <w:proofErr w:type="spellEnd"/>
      <w:r w:rsidRPr="00CF1A53">
        <w:t xml:space="preserve"> sádicos y</w:t>
      </w:r>
      <w:r w:rsidRPr="00CF1A53">
        <w:br/>
        <w:t xml:space="preserve">los </w:t>
      </w:r>
      <w:proofErr w:type="spellStart"/>
      <w:r w:rsidRPr="00CF1A53">
        <w:t>dacrifílicos</w:t>
      </w:r>
      <w:proofErr w:type="spellEnd"/>
      <w:r w:rsidRPr="00CF1A53">
        <w:t xml:space="preserve"> voyeristas.</w:t>
      </w:r>
    </w:p>
    <w:p w14:paraId="6EE64A55" w14:textId="77777777" w:rsidR="00CF1A53" w:rsidRPr="00CF1A53" w:rsidRDefault="00CF1A53" w:rsidP="00CF1A53">
      <w:r w:rsidRPr="00CF1A53">
        <w:t>Eso, a su vez, genera </w:t>
      </w:r>
      <w:r w:rsidRPr="00CF1A53">
        <w:rPr>
          <w:b/>
          <w:bCs/>
        </w:rPr>
        <w:t>tres dicotomías:</w:t>
      </w:r>
    </w:p>
    <w:p w14:paraId="13BE8802" w14:textId="77777777" w:rsidR="00CF1A53" w:rsidRPr="00CF1A53" w:rsidRDefault="00CF1A53" w:rsidP="00CF1A53">
      <w:pPr>
        <w:numPr>
          <w:ilvl w:val="0"/>
          <w:numId w:val="1"/>
        </w:numPr>
      </w:pPr>
      <w:r w:rsidRPr="00CF1A53">
        <w:t xml:space="preserve">Intereses </w:t>
      </w:r>
      <w:proofErr w:type="spellStart"/>
      <w:r w:rsidRPr="00CF1A53">
        <w:t>dacrifílicos</w:t>
      </w:r>
      <w:proofErr w:type="spellEnd"/>
      <w:r w:rsidRPr="00CF1A53">
        <w:t xml:space="preserve"> sadomasoquistas vs intereses </w:t>
      </w:r>
      <w:proofErr w:type="spellStart"/>
      <w:r w:rsidRPr="00CF1A53">
        <w:t>dacrifílicos</w:t>
      </w:r>
      <w:proofErr w:type="spellEnd"/>
      <w:r w:rsidRPr="00CF1A53">
        <w:t xml:space="preserve"> emocionales;</w:t>
      </w:r>
    </w:p>
    <w:p w14:paraId="0F746236" w14:textId="77777777" w:rsidR="00CF1A53" w:rsidRPr="00CF1A53" w:rsidRDefault="00CF1A53" w:rsidP="00CF1A53">
      <w:pPr>
        <w:numPr>
          <w:ilvl w:val="0"/>
          <w:numId w:val="1"/>
        </w:numPr>
      </w:pPr>
      <w:r w:rsidRPr="00CF1A53">
        <w:t xml:space="preserve">Intereses </w:t>
      </w:r>
      <w:proofErr w:type="spellStart"/>
      <w:r w:rsidRPr="00CF1A53">
        <w:t>dacrifílicos</w:t>
      </w:r>
      <w:proofErr w:type="spellEnd"/>
      <w:r w:rsidRPr="00CF1A53">
        <w:t xml:space="preserve"> sádicos vs intereses </w:t>
      </w:r>
      <w:proofErr w:type="spellStart"/>
      <w:r w:rsidRPr="00CF1A53">
        <w:t>dacrifílicos</w:t>
      </w:r>
      <w:proofErr w:type="spellEnd"/>
      <w:r w:rsidRPr="00CF1A53">
        <w:t xml:space="preserve"> masoquistas;</w:t>
      </w:r>
    </w:p>
    <w:p w14:paraId="7EE86EE8" w14:textId="77777777" w:rsidR="00CF1A53" w:rsidRPr="00CF1A53" w:rsidRDefault="00CF1A53" w:rsidP="00CF1A53">
      <w:pPr>
        <w:numPr>
          <w:ilvl w:val="0"/>
          <w:numId w:val="1"/>
        </w:numPr>
      </w:pPr>
      <w:r w:rsidRPr="00CF1A53">
        <w:t xml:space="preserve">Individuos que participan activamente en la </w:t>
      </w:r>
      <w:proofErr w:type="spellStart"/>
      <w:r w:rsidRPr="00CF1A53">
        <w:t>dacrifilia</w:t>
      </w:r>
      <w:proofErr w:type="spellEnd"/>
      <w:r w:rsidRPr="00CF1A53">
        <w:t xml:space="preserve"> vs individuos que participan pasivamente.</w:t>
      </w:r>
    </w:p>
    <w:p w14:paraId="35F3AA73" w14:textId="77777777" w:rsidR="00CF1A53" w:rsidRPr="00CF1A53" w:rsidRDefault="00CF1A53" w:rsidP="00CF1A53">
      <w:r w:rsidRPr="00CF1A53">
        <w:t>Comportamiento sexual no normativo</w:t>
      </w:r>
    </w:p>
    <w:p w14:paraId="5FDED478" w14:textId="77777777" w:rsidR="00CF1A53" w:rsidRPr="00CF1A53" w:rsidRDefault="00CF1A53" w:rsidP="00CF1A53">
      <w:r w:rsidRPr="00CF1A53">
        <w:t>La existencia potencial de </w:t>
      </w:r>
      <w:r w:rsidRPr="00CF1A53">
        <w:rPr>
          <w:b/>
          <w:bCs/>
        </w:rPr>
        <w:t>sadismo y masoquismo</w:t>
      </w:r>
      <w:r w:rsidRPr="00CF1A53">
        <w:t xml:space="preserve">, e intereses pasivos y activos en la </w:t>
      </w:r>
      <w:proofErr w:type="spellStart"/>
      <w:r w:rsidRPr="00CF1A53">
        <w:t>dacrifilia</w:t>
      </w:r>
      <w:proofErr w:type="spellEnd"/>
      <w:r w:rsidRPr="00CF1A53">
        <w:t>, sugiere que es un comportamiento sexual no normativo. </w:t>
      </w:r>
    </w:p>
    <w:p w14:paraId="0289DF82" w14:textId="77777777" w:rsidR="00CF1A53" w:rsidRPr="00CF1A53" w:rsidRDefault="00CF1A53" w:rsidP="00CF1A53">
      <w:r w:rsidRPr="00CF1A53">
        <w:rPr>
          <w:b/>
          <w:bCs/>
        </w:rPr>
        <w:t xml:space="preserve">Richard </w:t>
      </w:r>
      <w:proofErr w:type="spellStart"/>
      <w:r w:rsidRPr="00CF1A53">
        <w:rPr>
          <w:b/>
          <w:bCs/>
        </w:rPr>
        <w:t>Greenhill</w:t>
      </w:r>
      <w:proofErr w:type="spellEnd"/>
      <w:r w:rsidRPr="00CF1A53">
        <w:t>, ha hecho un estudio pionero en este campo, compuesto por entrevistas online a 8 personas (6 mujeres y 2 hombres), de edades comprendidas entre los 20 y los 50 años, 5 de ellos norteamericanos y los otros 3 de Reino Unido, Rumania y Bélgica.</w:t>
      </w:r>
    </w:p>
    <w:p w14:paraId="7E501E84" w14:textId="77777777" w:rsidR="00CF1A53" w:rsidRPr="00CF1A53" w:rsidRDefault="00CF1A53" w:rsidP="00CF1A53">
      <w:r w:rsidRPr="00CF1A53">
        <w:t xml:space="preserve">Los participantes fueron “reclutados” a través de un foro específico de </w:t>
      </w:r>
      <w:proofErr w:type="spellStart"/>
      <w:r w:rsidRPr="00CF1A53">
        <w:t>dacrifilia</w:t>
      </w:r>
      <w:proofErr w:type="spellEnd"/>
      <w:r w:rsidRPr="00CF1A53">
        <w:t xml:space="preserve"> (</w:t>
      </w:r>
      <w:proofErr w:type="spellStart"/>
      <w:r w:rsidRPr="00CF1A53">
        <w:t>Crying</w:t>
      </w:r>
      <w:proofErr w:type="spellEnd"/>
      <w:r w:rsidRPr="00CF1A53">
        <w:t xml:space="preserve"> </w:t>
      </w:r>
      <w:proofErr w:type="spellStart"/>
      <w:r w:rsidRPr="00CF1A53">
        <w:t>Lovers</w:t>
      </w:r>
      <w:proofErr w:type="spellEnd"/>
      <w:r w:rsidRPr="00CF1A53">
        <w:t>), otro fetichista en general (</w:t>
      </w:r>
      <w:proofErr w:type="spellStart"/>
      <w:r w:rsidRPr="00CF1A53">
        <w:t>Fet</w:t>
      </w:r>
      <w:proofErr w:type="spellEnd"/>
      <w:r w:rsidRPr="00CF1A53">
        <w:t xml:space="preserve"> </w:t>
      </w:r>
      <w:proofErr w:type="spellStart"/>
      <w:r w:rsidRPr="00CF1A53">
        <w:t>Life</w:t>
      </w:r>
      <w:proofErr w:type="spellEnd"/>
      <w:r w:rsidRPr="00CF1A53">
        <w:t>) y un tercer foro BDSM (collarchat.com).</w:t>
      </w:r>
    </w:p>
    <w:p w14:paraId="62AFB92C" w14:textId="7427223B" w:rsidR="00CF1A53" w:rsidRPr="00CF1A53" w:rsidRDefault="00CF1A53" w:rsidP="00CF1A53">
      <w:pPr>
        <w:numPr>
          <w:ilvl w:val="0"/>
          <w:numId w:val="2"/>
        </w:numPr>
      </w:pPr>
      <w:r w:rsidRPr="00CF1A53">
        <mc:AlternateContent>
          <mc:Choice Requires="wps">
            <w:drawing>
              <wp:inline distT="0" distB="0" distL="0" distR="0" wp14:anchorId="21009756" wp14:editId="6341F37E">
                <wp:extent cx="1143000" cy="647700"/>
                <wp:effectExtent l="0" t="0" r="0" b="0"/>
                <wp:docPr id="2064730329"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1D401" id="Rectángulo 2" o:spid="_x0000_s1026" style="width:90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" filled="f" stroked="f">
                <o:lock v:ext="edit" aspectratio="t"/>
                <w10:anchorlock/>
              </v:rect>
            </w:pict>
          </mc:Fallback>
        </mc:AlternateContent>
      </w:r>
    </w:p>
    <w:p w14:paraId="0A5FAA46" w14:textId="77777777" w:rsidR="00CF1A53" w:rsidRPr="00CF1A53" w:rsidRDefault="00CF1A53" w:rsidP="00CF1A53">
      <w:hyperlink r:id="rId5" w:history="1">
        <w:proofErr w:type="spellStart"/>
        <w:r w:rsidRPr="00CF1A53">
          <w:rPr>
            <w:rStyle w:val="Hipervnculo"/>
          </w:rPr>
          <w:t>Antolagnia</w:t>
        </w:r>
        <w:proofErr w:type="spellEnd"/>
        <w:r w:rsidRPr="00CF1A53">
          <w:rPr>
            <w:rStyle w:val="Hipervnculo"/>
          </w:rPr>
          <w:t xml:space="preserve"> o sexo floral</w:t>
        </w:r>
      </w:hyperlink>
    </w:p>
    <w:p w14:paraId="1313F861" w14:textId="77777777" w:rsidR="00CF1A53" w:rsidRPr="00CF1A53" w:rsidRDefault="00CF1A53" w:rsidP="00CF1A53">
      <w:r w:rsidRPr="00CF1A53">
        <w:t>Estudios</w:t>
      </w:r>
    </w:p>
    <w:p w14:paraId="002C5684" w14:textId="77777777" w:rsidR="00CF1A53" w:rsidRPr="00CF1A53" w:rsidRDefault="00CF1A53" w:rsidP="00CF1A53">
      <w:r w:rsidRPr="00CF1A53">
        <w:t>Si bien este estudio es insuficiente, y el primero en su género, da sin embargo pie para diversas conclusiones, entre ellas se identificaron </w:t>
      </w:r>
      <w:r w:rsidRPr="00CF1A53">
        <w:rPr>
          <w:b/>
          <w:bCs/>
        </w:rPr>
        <w:t xml:space="preserve">tres áreas temáticas de </w:t>
      </w:r>
      <w:proofErr w:type="spellStart"/>
      <w:r w:rsidRPr="00CF1A53">
        <w:rPr>
          <w:b/>
          <w:bCs/>
        </w:rPr>
        <w:t>dacrifilia</w:t>
      </w:r>
      <w:proofErr w:type="spellEnd"/>
      <w:r w:rsidRPr="00CF1A53">
        <w:rPr>
          <w:b/>
          <w:bCs/>
        </w:rPr>
        <w:t>:</w:t>
      </w:r>
    </w:p>
    <w:p w14:paraId="3FFFBF0C" w14:textId="77777777" w:rsidR="00CF1A53" w:rsidRPr="00CF1A53" w:rsidRDefault="00CF1A53" w:rsidP="00CF1A53">
      <w:pPr>
        <w:numPr>
          <w:ilvl w:val="0"/>
          <w:numId w:val="3"/>
        </w:numPr>
      </w:pPr>
      <w:r w:rsidRPr="00CF1A53">
        <w:t>Compasión,</w:t>
      </w:r>
    </w:p>
    <w:p w14:paraId="515118EF" w14:textId="77777777" w:rsidR="00CF1A53" w:rsidRPr="00CF1A53" w:rsidRDefault="00CF1A53" w:rsidP="00CF1A53">
      <w:pPr>
        <w:numPr>
          <w:ilvl w:val="0"/>
          <w:numId w:val="3"/>
        </w:numPr>
      </w:pPr>
      <w:r w:rsidRPr="00CF1A53">
        <w:t>Dominación/sumisión</w:t>
      </w:r>
    </w:p>
    <w:p w14:paraId="2F366E6E" w14:textId="77777777" w:rsidR="00CF1A53" w:rsidRPr="00CF1A53" w:rsidRDefault="00CF1A53" w:rsidP="00CF1A53">
      <w:pPr>
        <w:numPr>
          <w:ilvl w:val="0"/>
          <w:numId w:val="3"/>
        </w:numPr>
      </w:pPr>
      <w:r w:rsidRPr="00CF1A53">
        <w:lastRenderedPageBreak/>
        <w:t>Labios curvados o crispados.</w:t>
      </w:r>
    </w:p>
    <w:p w14:paraId="56373120" w14:textId="77777777" w:rsidR="00CF1A53" w:rsidRPr="00CF1A53" w:rsidRDefault="00CF1A53" w:rsidP="00CF1A53">
      <w:r w:rsidRPr="00CF1A53">
        <w:t>Compasión</w:t>
      </w:r>
    </w:p>
    <w:p w14:paraId="1E647730" w14:textId="77777777" w:rsidR="00CF1A53" w:rsidRPr="00CF1A53" w:rsidRDefault="00CF1A53" w:rsidP="00CF1A53">
      <w:r w:rsidRPr="00CF1A53">
        <w:t>La mitad de los participantes, todas </w:t>
      </w:r>
      <w:r w:rsidRPr="00CF1A53">
        <w:rPr>
          <w:b/>
          <w:bCs/>
        </w:rPr>
        <w:t>mujeres</w:t>
      </w:r>
      <w:r w:rsidRPr="00CF1A53">
        <w:t xml:space="preserve">, expresaron su </w:t>
      </w:r>
      <w:proofErr w:type="spellStart"/>
      <w:r w:rsidRPr="00CF1A53">
        <w:t>dacrifilia</w:t>
      </w:r>
      <w:proofErr w:type="spellEnd"/>
      <w:r w:rsidRPr="00CF1A53">
        <w:t xml:space="preserve"> principalmente a través de la compasión, lo cual significa que disfrutaban o se excitaban consolando.</w:t>
      </w:r>
    </w:p>
    <w:p w14:paraId="0F3D28C2" w14:textId="77777777" w:rsidR="00CF1A53" w:rsidRPr="00CF1A53" w:rsidRDefault="00CF1A53" w:rsidP="00CF1A53">
      <w:r w:rsidRPr="00CF1A53">
        <w:t>En este tema, se identificaron </w:t>
      </w:r>
      <w:r w:rsidRPr="00CF1A53">
        <w:rPr>
          <w:b/>
          <w:bCs/>
        </w:rPr>
        <w:t>cuatro subtipos dentro de la </w:t>
      </w:r>
      <w:proofErr w:type="spellStart"/>
      <w:r w:rsidRPr="00CF1A53">
        <w:rPr>
          <w:b/>
          <w:bCs/>
        </w:rPr>
        <w:t>dacrifilia</w:t>
      </w:r>
      <w:proofErr w:type="spellEnd"/>
      <w:r w:rsidRPr="00CF1A53">
        <w:rPr>
          <w:b/>
          <w:bCs/>
        </w:rPr>
        <w:t xml:space="preserve"> compasiva:</w:t>
      </w:r>
    </w:p>
    <w:p w14:paraId="3851566C" w14:textId="77777777" w:rsidR="00CF1A53" w:rsidRPr="00CF1A53" w:rsidRDefault="00CF1A53" w:rsidP="00CF1A53">
      <w:r w:rsidRPr="00CF1A53">
        <w:t xml:space="preserve">la </w:t>
      </w:r>
      <w:proofErr w:type="spellStart"/>
      <w:r w:rsidRPr="00CF1A53">
        <w:t>dacrifilia</w:t>
      </w:r>
      <w:proofErr w:type="spellEnd"/>
      <w:r w:rsidRPr="00CF1A53">
        <w:t xml:space="preserve"> como consuelo;</w:t>
      </w:r>
      <w:r w:rsidRPr="00CF1A53">
        <w:br/>
        <w:t xml:space="preserve">un despertar de sentimientos negativos, </w:t>
      </w:r>
      <w:proofErr w:type="spellStart"/>
      <w:r w:rsidRPr="00CF1A53">
        <w:t>dacrifilia</w:t>
      </w:r>
      <w:proofErr w:type="spellEnd"/>
      <w:r w:rsidRPr="00CF1A53">
        <w:t xml:space="preserve"> sadomasoquista;</w:t>
      </w:r>
      <w:r w:rsidRPr="00CF1A53">
        <w:br/>
        <w:t xml:space="preserve">la </w:t>
      </w:r>
      <w:proofErr w:type="spellStart"/>
      <w:r w:rsidRPr="00CF1A53">
        <w:t>dacrifilia</w:t>
      </w:r>
      <w:proofErr w:type="spellEnd"/>
      <w:r w:rsidRPr="00CF1A53">
        <w:t xml:space="preserve"> vista como un deber;</w:t>
      </w:r>
      <w:r w:rsidRPr="00CF1A53">
        <w:br/>
        <w:t>y subversión de la sociedad o normas de género.</w:t>
      </w:r>
    </w:p>
    <w:p w14:paraId="236D2CB3" w14:textId="77777777" w:rsidR="00CF1A53" w:rsidRPr="00CF1A53" w:rsidRDefault="00CF1A53" w:rsidP="00CF1A53">
      <w:r w:rsidRPr="00CF1A53">
        <w:t xml:space="preserve">Para tres de estas mujeres, la idea de la </w:t>
      </w:r>
      <w:proofErr w:type="spellStart"/>
      <w:r w:rsidRPr="00CF1A53">
        <w:t>dacrifilia</w:t>
      </w:r>
      <w:proofErr w:type="spellEnd"/>
      <w:r w:rsidRPr="00CF1A53">
        <w:t xml:space="preserve"> como acción consoladora forma parte importante de su identidad </w:t>
      </w:r>
      <w:proofErr w:type="spellStart"/>
      <w:r w:rsidRPr="00CF1A53">
        <w:t>dacrifílica</w:t>
      </w:r>
      <w:proofErr w:type="spellEnd"/>
      <w:r w:rsidRPr="00CF1A53">
        <w:t>.</w:t>
      </w:r>
    </w:p>
    <w:p w14:paraId="2E58A319" w14:textId="77777777" w:rsidR="00CF1A53" w:rsidRPr="00CF1A53" w:rsidRDefault="00CF1A53" w:rsidP="00CF1A53">
      <w:r w:rsidRPr="00CF1A53">
        <w:t>Dominación/sumisión</w:t>
      </w:r>
    </w:p>
    <w:p w14:paraId="1975C848" w14:textId="77777777" w:rsidR="00CF1A53" w:rsidRPr="00CF1A53" w:rsidRDefault="00CF1A53" w:rsidP="00CF1A53">
      <w:r w:rsidRPr="00CF1A53">
        <w:t>Tres de los otros participantes (dos mujeres sumisas y un hombre dominante) expresaron su trastorno principalmente a través de </w:t>
      </w:r>
      <w:r w:rsidRPr="00CF1A53">
        <w:rPr>
          <w:b/>
          <w:bCs/>
        </w:rPr>
        <w:t>dominación/sumisión</w:t>
      </w:r>
      <w:r w:rsidRPr="00CF1A53">
        <w:t>, significando esto que se excitaban llorando (en individuos sumisos en actos consentidos) o haciendo llorar.</w:t>
      </w:r>
    </w:p>
    <w:p w14:paraId="56912F99" w14:textId="77777777" w:rsidR="00CF1A53" w:rsidRPr="00CF1A53" w:rsidRDefault="00CF1A53" w:rsidP="00CF1A53">
      <w:r w:rsidRPr="00CF1A53">
        <w:t xml:space="preserve">Aunque este tipo de </w:t>
      </w:r>
      <w:proofErr w:type="spellStart"/>
      <w:r w:rsidRPr="00CF1A53">
        <w:t>dacrifilia</w:t>
      </w:r>
      <w:proofErr w:type="spellEnd"/>
      <w:r w:rsidRPr="00CF1A53">
        <w:t xml:space="preserve"> a menudo se caracteriza como</w:t>
      </w:r>
      <w:r w:rsidRPr="00CF1A53">
        <w:rPr>
          <w:b/>
          <w:bCs/>
        </w:rPr>
        <w:t> sadomasoquista</w:t>
      </w:r>
      <w:r w:rsidRPr="00CF1A53">
        <w:t>, una manera más acertada de definirla es a través de la dominación/sumisión, y se identificaron dos subtipos:</w:t>
      </w:r>
    </w:p>
    <w:p w14:paraId="1ADBD853" w14:textId="77777777" w:rsidR="00CF1A53" w:rsidRPr="00CF1A53" w:rsidRDefault="00CF1A53" w:rsidP="00CF1A53">
      <w:r w:rsidRPr="00CF1A53">
        <w:t>dolor emocional y físico;</w:t>
      </w:r>
      <w:r w:rsidRPr="00CF1A53">
        <w:br/>
        <w:t>y lágrimas y llanto como un componente secundario de la dominación/sumisión.</w:t>
      </w:r>
    </w:p>
    <w:p w14:paraId="7F06B686" w14:textId="77777777" w:rsidR="00CF1A53" w:rsidRPr="00CF1A53" w:rsidRDefault="00CF1A53" w:rsidP="00CF1A53">
      <w:r w:rsidRPr="00CF1A53">
        <w:t>Todos los que se identificaron con estos intereses disfrutaban tanto con el dolor físico como con el emocional.</w:t>
      </w:r>
    </w:p>
    <w:p w14:paraId="3F9532BC" w14:textId="77777777" w:rsidR="00CF1A53" w:rsidRPr="00CF1A53" w:rsidRDefault="00CF1A53" w:rsidP="00CF1A53">
      <w:r w:rsidRPr="00CF1A53">
        <w:t>Gesto de los labios al llorar</w:t>
      </w:r>
    </w:p>
    <w:p w14:paraId="59C81A1B" w14:textId="77777777" w:rsidR="00CF1A53" w:rsidRPr="00CF1A53" w:rsidRDefault="00CF1A53" w:rsidP="00CF1A53">
      <w:r w:rsidRPr="00CF1A53">
        <w:t>El último participante, </w:t>
      </w:r>
      <w:r w:rsidRPr="00CF1A53">
        <w:rPr>
          <w:b/>
          <w:bCs/>
        </w:rPr>
        <w:t>hombre</w:t>
      </w:r>
      <w:r w:rsidRPr="00CF1A53">
        <w:t xml:space="preserve">, no expresó ni intereses de compasión o dominación/sumisión, él manifestó su </w:t>
      </w:r>
      <w:proofErr w:type="spellStart"/>
      <w:r w:rsidRPr="00CF1A53">
        <w:t>dacrifilia</w:t>
      </w:r>
      <w:proofErr w:type="spellEnd"/>
      <w:r w:rsidRPr="00CF1A53">
        <w:t xml:space="preserve"> principalmente con su </w:t>
      </w:r>
      <w:r w:rsidRPr="00CF1A53">
        <w:rPr>
          <w:b/>
          <w:bCs/>
        </w:rPr>
        <w:t>atracción por el gesto de los labios al llorar</w:t>
      </w:r>
      <w:r w:rsidRPr="00CF1A53">
        <w:t>, excitándose con los labios crispados o curvados de la pareja mientras lloraba.</w:t>
      </w:r>
    </w:p>
    <w:p w14:paraId="6C9E6668" w14:textId="77777777" w:rsidR="00CF1A53" w:rsidRPr="00CF1A53" w:rsidRDefault="00CF1A53" w:rsidP="00CF1A53">
      <w:r w:rsidRPr="00CF1A53">
        <w:t>El tamaño de la muestra limita sus conclusiones, lo que evidentemente hace necesario un estudio con una muestra mayor, no obstante, el haber encontrado tres subtipos en una muestra pequeña sugiere que debe haber unos subtipos bien definidos de esta parafilia poco común.</w:t>
      </w:r>
    </w:p>
    <w:p w14:paraId="13CB9381" w14:textId="77777777" w:rsidR="00CF1A53" w:rsidRPr="00CF1A53" w:rsidRDefault="00CF1A53" w:rsidP="00CF1A53">
      <w:proofErr w:type="spellStart"/>
      <w:r w:rsidRPr="00CF1A53">
        <w:t>Dacrifilia</w:t>
      </w:r>
      <w:proofErr w:type="spellEnd"/>
      <w:r w:rsidRPr="00CF1A53">
        <w:t xml:space="preserve"> pasiva</w:t>
      </w:r>
    </w:p>
    <w:p w14:paraId="03E668C0" w14:textId="77777777" w:rsidR="00CF1A53" w:rsidRPr="00CF1A53" w:rsidRDefault="00CF1A53" w:rsidP="00CF1A53">
      <w:r w:rsidRPr="00CF1A53">
        <w:lastRenderedPageBreak/>
        <w:t>Se ha descrito también una </w:t>
      </w:r>
      <w:proofErr w:type="spellStart"/>
      <w:r w:rsidRPr="00CF1A53">
        <w:rPr>
          <w:b/>
          <w:bCs/>
        </w:rPr>
        <w:t>dacrifilia</w:t>
      </w:r>
      <w:proofErr w:type="spellEnd"/>
      <w:r w:rsidRPr="00CF1A53">
        <w:rPr>
          <w:b/>
          <w:bCs/>
        </w:rPr>
        <w:t xml:space="preserve"> pasiva</w:t>
      </w:r>
      <w:r w:rsidRPr="00CF1A53">
        <w:t>, que consiste en que una tercera persona se excita viendo una relación de pareja, en la que la persona sumisa de la pareja llora.</w:t>
      </w:r>
    </w:p>
    <w:p w14:paraId="1E22B9E2" w14:textId="4EAA8728" w:rsidR="00CF1A53" w:rsidRDefault="00CF1A53">
      <w:r>
        <w:t>FUENTE:</w:t>
      </w:r>
    </w:p>
    <w:p w14:paraId="1E05D708" w14:textId="4F48A879" w:rsidR="00CF1A53" w:rsidRPr="00CF1A53" w:rsidRDefault="00CF1A53">
      <w:pPr>
        <w:rPr>
          <w:u w:val="single"/>
        </w:rPr>
      </w:pPr>
      <w:r w:rsidRPr="00CF1A53">
        <w:t>https://www.nuevatribuna.es/articulo/sociedad/parafilias-poco-comunes-dacrifilia/20211022175309192091.html</w:t>
      </w:r>
    </w:p>
    <w:sectPr w:rsidR="00CF1A53" w:rsidRPr="00CF1A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1385"/>
    <w:multiLevelType w:val="multilevel"/>
    <w:tmpl w:val="0E1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A65F8"/>
    <w:multiLevelType w:val="multilevel"/>
    <w:tmpl w:val="70AE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B1354"/>
    <w:multiLevelType w:val="multilevel"/>
    <w:tmpl w:val="863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515756">
    <w:abstractNumId w:val="2"/>
  </w:num>
  <w:num w:numId="2" w16cid:durableId="842890440">
    <w:abstractNumId w:val="0"/>
  </w:num>
  <w:num w:numId="3" w16cid:durableId="545531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53"/>
    <w:rsid w:val="00CF1A53"/>
    <w:rsid w:val="00FF16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0BF0"/>
  <w15:chartTrackingRefBased/>
  <w15:docId w15:val="{C4837614-F3E2-4631-9200-B954344E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1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1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1A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1A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1A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1A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A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A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A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A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1A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1A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1A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1A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1A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A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A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A53"/>
    <w:rPr>
      <w:rFonts w:eastAsiaTheme="majorEastAsia" w:cstheme="majorBidi"/>
      <w:color w:val="272727" w:themeColor="text1" w:themeTint="D8"/>
    </w:rPr>
  </w:style>
  <w:style w:type="paragraph" w:styleId="Ttulo">
    <w:name w:val="Title"/>
    <w:basedOn w:val="Normal"/>
    <w:next w:val="Normal"/>
    <w:link w:val="TtuloCar"/>
    <w:uiPriority w:val="10"/>
    <w:qFormat/>
    <w:rsid w:val="00CF1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A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A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A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A53"/>
    <w:pPr>
      <w:spacing w:before="160"/>
      <w:jc w:val="center"/>
    </w:pPr>
    <w:rPr>
      <w:i/>
      <w:iCs/>
      <w:color w:val="404040" w:themeColor="text1" w:themeTint="BF"/>
    </w:rPr>
  </w:style>
  <w:style w:type="character" w:customStyle="1" w:styleId="CitaCar">
    <w:name w:val="Cita Car"/>
    <w:basedOn w:val="Fuentedeprrafopredeter"/>
    <w:link w:val="Cita"/>
    <w:uiPriority w:val="29"/>
    <w:rsid w:val="00CF1A53"/>
    <w:rPr>
      <w:i/>
      <w:iCs/>
      <w:color w:val="404040" w:themeColor="text1" w:themeTint="BF"/>
    </w:rPr>
  </w:style>
  <w:style w:type="paragraph" w:styleId="Prrafodelista">
    <w:name w:val="List Paragraph"/>
    <w:basedOn w:val="Normal"/>
    <w:uiPriority w:val="34"/>
    <w:qFormat/>
    <w:rsid w:val="00CF1A53"/>
    <w:pPr>
      <w:ind w:left="720"/>
      <w:contextualSpacing/>
    </w:pPr>
  </w:style>
  <w:style w:type="character" w:styleId="nfasisintenso">
    <w:name w:val="Intense Emphasis"/>
    <w:basedOn w:val="Fuentedeprrafopredeter"/>
    <w:uiPriority w:val="21"/>
    <w:qFormat/>
    <w:rsid w:val="00CF1A53"/>
    <w:rPr>
      <w:i/>
      <w:iCs/>
      <w:color w:val="0F4761" w:themeColor="accent1" w:themeShade="BF"/>
    </w:rPr>
  </w:style>
  <w:style w:type="paragraph" w:styleId="Citadestacada">
    <w:name w:val="Intense Quote"/>
    <w:basedOn w:val="Normal"/>
    <w:next w:val="Normal"/>
    <w:link w:val="CitadestacadaCar"/>
    <w:uiPriority w:val="30"/>
    <w:qFormat/>
    <w:rsid w:val="00CF1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1A53"/>
    <w:rPr>
      <w:i/>
      <w:iCs/>
      <w:color w:val="0F4761" w:themeColor="accent1" w:themeShade="BF"/>
    </w:rPr>
  </w:style>
  <w:style w:type="character" w:styleId="Referenciaintensa">
    <w:name w:val="Intense Reference"/>
    <w:basedOn w:val="Fuentedeprrafopredeter"/>
    <w:uiPriority w:val="32"/>
    <w:qFormat/>
    <w:rsid w:val="00CF1A53"/>
    <w:rPr>
      <w:b/>
      <w:bCs/>
      <w:smallCaps/>
      <w:color w:val="0F4761" w:themeColor="accent1" w:themeShade="BF"/>
      <w:spacing w:val="5"/>
    </w:rPr>
  </w:style>
  <w:style w:type="character" w:styleId="Hipervnculo">
    <w:name w:val="Hyperlink"/>
    <w:basedOn w:val="Fuentedeprrafopredeter"/>
    <w:uiPriority w:val="99"/>
    <w:unhideWhenUsed/>
    <w:rsid w:val="00CF1A53"/>
    <w:rPr>
      <w:color w:val="467886" w:themeColor="hyperlink"/>
      <w:u w:val="single"/>
    </w:rPr>
  </w:style>
  <w:style w:type="character" w:styleId="Mencinsinresolver">
    <w:name w:val="Unresolved Mention"/>
    <w:basedOn w:val="Fuentedeprrafopredeter"/>
    <w:uiPriority w:val="99"/>
    <w:semiHidden/>
    <w:unhideWhenUsed/>
    <w:rsid w:val="00CF1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uevatribuna.es/articulo/sociedad/parafilias-poco-comunes-antolagnia-sexo-floral/20211105182213192489.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572</Words>
  <Characters>3150</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SANCHEZ</dc:creator>
  <cp:keywords/>
  <dc:description/>
  <cp:lastModifiedBy>ELENA SERRANO SANCHEZ</cp:lastModifiedBy>
  <cp:revision>1</cp:revision>
  <dcterms:created xsi:type="dcterms:W3CDTF">2025-08-12T07:35:00Z</dcterms:created>
  <dcterms:modified xsi:type="dcterms:W3CDTF">2025-08-12T07:39:00Z</dcterms:modified>
</cp:coreProperties>
</file>