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23F" w:rsidRPr="002715B3" w:rsidRDefault="00B61E10" w:rsidP="0007723F">
      <w:pPr>
        <w:spacing w:line="240" w:lineRule="atLeast"/>
        <w:jc w:val="center"/>
        <w:rPr>
          <w:rFonts w:ascii="標楷體" w:eastAsia="標楷體" w:hAnsi="標楷體"/>
          <w:b/>
          <w:bCs/>
          <w:sz w:val="36"/>
          <w:szCs w:val="36"/>
        </w:rPr>
      </w:pPr>
      <w:r w:rsidRPr="002715B3">
        <w:rPr>
          <w:rFonts w:ascii="新細明體" w:hAnsi="新細明體" w:hint="eastAsia"/>
          <w:b/>
          <w:bCs/>
          <w:sz w:val="36"/>
          <w:szCs w:val="36"/>
        </w:rPr>
        <w:t>國立空中大學</w:t>
      </w:r>
      <w:r w:rsidR="00E0373A" w:rsidRPr="002715B3">
        <w:rPr>
          <w:rFonts w:ascii="新細明體" w:hAnsi="新細明體" w:hint="eastAsia"/>
          <w:b/>
          <w:bCs/>
          <w:sz w:val="36"/>
          <w:szCs w:val="36"/>
        </w:rPr>
        <w:t>107下《教育心理學》</w:t>
      </w:r>
      <w:r w:rsidRPr="002715B3">
        <w:rPr>
          <w:rFonts w:ascii="新細明體" w:hAnsi="新細明體" w:hint="eastAsia"/>
          <w:b/>
          <w:bCs/>
          <w:sz w:val="36"/>
          <w:szCs w:val="36"/>
        </w:rPr>
        <w:t>課程網頁教材</w:t>
      </w:r>
      <w:r w:rsidR="0007723F" w:rsidRPr="002715B3">
        <w:rPr>
          <w:rFonts w:ascii="新細明體" w:hAnsi="新細明體" w:hint="eastAsia"/>
          <w:b/>
          <w:bCs/>
          <w:sz w:val="36"/>
          <w:szCs w:val="36"/>
        </w:rPr>
        <w:t>「</w:t>
      </w:r>
      <w:r w:rsidR="00B40B3C" w:rsidRPr="002715B3">
        <w:rPr>
          <w:rFonts w:ascii="新細明體" w:hAnsi="新細明體" w:hint="eastAsia"/>
          <w:b/>
          <w:bCs/>
          <w:sz w:val="36"/>
          <w:szCs w:val="36"/>
        </w:rPr>
        <w:t>自我評量</w:t>
      </w:r>
      <w:r w:rsidR="0007723F" w:rsidRPr="002715B3">
        <w:rPr>
          <w:rFonts w:ascii="新細明體" w:hAnsi="新細明體" w:hint="eastAsia"/>
          <w:b/>
          <w:bCs/>
          <w:sz w:val="36"/>
          <w:szCs w:val="36"/>
        </w:rPr>
        <w:t>」腳本</w:t>
      </w:r>
    </w:p>
    <w:p w:rsidR="000404D5" w:rsidRDefault="00904D8B" w:rsidP="009B263F">
      <w:pPr>
        <w:spacing w:afterLines="50" w:after="180"/>
        <w:rPr>
          <w:rFonts w:ascii="新細明體" w:hAnsi="新細明體"/>
          <w:color w:val="0000FF"/>
        </w:rPr>
      </w:pPr>
      <w:r w:rsidRPr="002715B3">
        <w:rPr>
          <w:rFonts w:ascii="新細明體" w:hAnsi="新細明體" w:hint="eastAsia"/>
          <w:b/>
          <w:color w:val="000000"/>
          <w:sz w:val="28"/>
          <w:szCs w:val="28"/>
          <w:u w:val="single"/>
        </w:rPr>
        <w:t>第</w:t>
      </w:r>
      <w:r w:rsidR="00E0373A" w:rsidRPr="002715B3">
        <w:rPr>
          <w:rFonts w:ascii="新細明體" w:hAnsi="新細明體" w:hint="eastAsia"/>
          <w:b/>
          <w:color w:val="000000"/>
          <w:sz w:val="28"/>
          <w:szCs w:val="28"/>
          <w:u w:val="single"/>
        </w:rPr>
        <w:t xml:space="preserve"> </w:t>
      </w:r>
      <w:r w:rsidR="002A6167">
        <w:rPr>
          <w:rFonts w:ascii="新細明體" w:hAnsi="新細明體" w:hint="eastAsia"/>
          <w:b/>
          <w:color w:val="000000"/>
          <w:sz w:val="28"/>
          <w:szCs w:val="28"/>
          <w:u w:val="single"/>
        </w:rPr>
        <w:t>四</w:t>
      </w:r>
      <w:r w:rsidR="002715B3">
        <w:rPr>
          <w:rFonts w:ascii="新細明體" w:hAnsi="新細明體" w:hint="eastAsia"/>
          <w:b/>
          <w:color w:val="000000"/>
          <w:sz w:val="28"/>
          <w:szCs w:val="28"/>
          <w:u w:val="single"/>
        </w:rPr>
        <w:t xml:space="preserve"> </w:t>
      </w:r>
      <w:r w:rsidR="00E0373A" w:rsidRPr="002715B3">
        <w:rPr>
          <w:rFonts w:ascii="新細明體" w:hAnsi="新細明體" w:hint="eastAsia"/>
          <w:b/>
          <w:color w:val="000000"/>
          <w:sz w:val="28"/>
          <w:szCs w:val="28"/>
          <w:u w:val="single"/>
        </w:rPr>
        <w:t xml:space="preserve"> </w:t>
      </w:r>
      <w:r w:rsidRPr="002715B3">
        <w:rPr>
          <w:rFonts w:ascii="新細明體" w:hAnsi="新細明體" w:hint="eastAsia"/>
          <w:b/>
          <w:color w:val="000000"/>
          <w:sz w:val="28"/>
          <w:szCs w:val="28"/>
          <w:u w:val="single"/>
        </w:rPr>
        <w:t>章</w:t>
      </w:r>
      <w:r w:rsidR="00E0373A" w:rsidRPr="002715B3">
        <w:rPr>
          <w:rFonts w:ascii="新細明體" w:hAnsi="新細明體" w:hint="eastAsia"/>
          <w:b/>
          <w:color w:val="000000"/>
          <w:sz w:val="28"/>
          <w:szCs w:val="28"/>
          <w:u w:val="single"/>
        </w:rPr>
        <w:t xml:space="preserve">               </w:t>
      </w:r>
      <w:r w:rsidR="002715B3">
        <w:rPr>
          <w:rFonts w:ascii="新細明體" w:hAnsi="新細明體" w:hint="eastAsia"/>
          <w:b/>
          <w:color w:val="000000"/>
          <w:sz w:val="28"/>
          <w:szCs w:val="28"/>
          <w:u w:val="single"/>
        </w:rPr>
        <w:t xml:space="preserve">        </w:t>
      </w:r>
      <w:r w:rsidR="00E0373A" w:rsidRPr="002715B3">
        <w:rPr>
          <w:rFonts w:ascii="新細明體" w:hAnsi="新細明體" w:hint="eastAsia"/>
          <w:b/>
          <w:color w:val="000000"/>
          <w:sz w:val="28"/>
          <w:szCs w:val="28"/>
          <w:u w:val="single"/>
        </w:rPr>
        <w:t xml:space="preserve">       </w:t>
      </w:r>
      <w:r w:rsidR="009D4EBC" w:rsidRPr="002715B3">
        <w:rPr>
          <w:rFonts w:hint="eastAsia"/>
          <w:b/>
          <w:color w:val="000000"/>
          <w:sz w:val="28"/>
          <w:szCs w:val="28"/>
        </w:rPr>
        <w:t>自我評量</w:t>
      </w:r>
      <w:r w:rsidR="00CD2421" w:rsidRPr="002715B3">
        <w:rPr>
          <w:rFonts w:ascii="新細明體" w:hAnsi="新細明體" w:hint="eastAsia"/>
          <w:b/>
          <w:color w:val="000000"/>
          <w:sz w:val="28"/>
          <w:szCs w:val="28"/>
        </w:rPr>
        <w:t xml:space="preserve">  </w:t>
      </w:r>
      <w:r w:rsidR="00CD2421" w:rsidRPr="002715B3">
        <w:rPr>
          <w:rFonts w:ascii="新細明體" w:hAnsi="新細明體" w:hint="eastAsia"/>
          <w:color w:val="0000FF"/>
          <w:sz w:val="28"/>
          <w:szCs w:val="28"/>
        </w:rPr>
        <w:t xml:space="preserve">           </w:t>
      </w:r>
      <w:r w:rsidR="00E2438C" w:rsidRPr="002715B3">
        <w:rPr>
          <w:rFonts w:hint="eastAsia"/>
          <w:b/>
          <w:sz w:val="28"/>
          <w:szCs w:val="28"/>
        </w:rPr>
        <w:t>是非或選擇題</w:t>
      </w:r>
    </w:p>
    <w:tbl>
      <w:tblPr>
        <w:tblW w:w="1442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77"/>
        <w:gridCol w:w="540"/>
        <w:gridCol w:w="378"/>
        <w:gridCol w:w="2234"/>
        <w:gridCol w:w="1676"/>
        <w:gridCol w:w="1817"/>
        <w:gridCol w:w="1450"/>
        <w:gridCol w:w="87"/>
        <w:gridCol w:w="2007"/>
        <w:gridCol w:w="2126"/>
        <w:gridCol w:w="1134"/>
      </w:tblGrid>
      <w:tr w:rsidR="00E0373A" w:rsidRPr="005B607C" w:rsidTr="002715B3">
        <w:trPr>
          <w:trHeight w:val="392"/>
        </w:trPr>
        <w:tc>
          <w:tcPr>
            <w:tcW w:w="1895" w:type="dxa"/>
            <w:gridSpan w:val="3"/>
            <w:shd w:val="clear" w:color="auto" w:fill="D9D9D9"/>
          </w:tcPr>
          <w:p w:rsidR="00E0373A" w:rsidRPr="005B607C" w:rsidRDefault="00E0373A" w:rsidP="005A3AD9">
            <w:pPr>
              <w:jc w:val="right"/>
              <w:rPr>
                <w:rFonts w:ascii="新細明體" w:hAnsi="新細明體"/>
                <w:b/>
                <w:bCs/>
                <w:sz w:val="28"/>
                <w:szCs w:val="28"/>
              </w:rPr>
            </w:pPr>
            <w:r w:rsidRPr="005B607C">
              <w:rPr>
                <w:rFonts w:ascii="新細明體" w:hAnsi="新細明體" w:hint="eastAsia"/>
                <w:b/>
                <w:bCs/>
                <w:sz w:val="28"/>
                <w:szCs w:val="28"/>
              </w:rPr>
              <w:t>學科老師：</w:t>
            </w:r>
          </w:p>
        </w:tc>
        <w:tc>
          <w:tcPr>
            <w:tcW w:w="2234" w:type="dxa"/>
          </w:tcPr>
          <w:p w:rsidR="00E0373A" w:rsidRPr="005B607C" w:rsidRDefault="00E0373A" w:rsidP="005A3AD9">
            <w:pPr>
              <w:jc w:val="center"/>
              <w:rPr>
                <w:rFonts w:ascii="新細明體" w:hAnsi="新細明體"/>
                <w:b/>
                <w:bCs/>
                <w:sz w:val="28"/>
                <w:szCs w:val="28"/>
              </w:rPr>
            </w:pPr>
          </w:p>
        </w:tc>
        <w:tc>
          <w:tcPr>
            <w:tcW w:w="1676" w:type="dxa"/>
            <w:shd w:val="clear" w:color="auto" w:fill="D9D9D9"/>
          </w:tcPr>
          <w:p w:rsidR="00E0373A" w:rsidRPr="005B607C" w:rsidRDefault="00E0373A" w:rsidP="005A3AD9">
            <w:pPr>
              <w:jc w:val="right"/>
              <w:rPr>
                <w:rFonts w:ascii="新細明體" w:hAnsi="新細明體"/>
                <w:b/>
                <w:bCs/>
                <w:sz w:val="28"/>
                <w:szCs w:val="28"/>
              </w:rPr>
            </w:pPr>
            <w:r w:rsidRPr="005B607C">
              <w:rPr>
                <w:rFonts w:ascii="新細明體" w:hAnsi="新細明體" w:hint="eastAsia"/>
                <w:b/>
                <w:bCs/>
                <w:sz w:val="28"/>
                <w:szCs w:val="28"/>
              </w:rPr>
              <w:t>填寫日期：</w:t>
            </w:r>
          </w:p>
        </w:tc>
        <w:tc>
          <w:tcPr>
            <w:tcW w:w="1817" w:type="dxa"/>
          </w:tcPr>
          <w:p w:rsidR="00E0373A" w:rsidRPr="005B607C" w:rsidRDefault="00E0373A" w:rsidP="005A3AD9">
            <w:pPr>
              <w:jc w:val="center"/>
              <w:rPr>
                <w:rFonts w:ascii="新細明體" w:hAnsi="新細明體"/>
                <w:b/>
                <w:bCs/>
                <w:sz w:val="28"/>
                <w:szCs w:val="28"/>
              </w:rPr>
            </w:pPr>
          </w:p>
        </w:tc>
        <w:tc>
          <w:tcPr>
            <w:tcW w:w="1537" w:type="dxa"/>
            <w:gridSpan w:val="2"/>
            <w:shd w:val="clear" w:color="auto" w:fill="D9D9D9"/>
          </w:tcPr>
          <w:p w:rsidR="00E0373A" w:rsidRPr="005B607C" w:rsidRDefault="00E0373A" w:rsidP="005A3AD9">
            <w:pPr>
              <w:jc w:val="right"/>
              <w:rPr>
                <w:rFonts w:ascii="新細明體" w:hAnsi="新細明體"/>
                <w:b/>
                <w:bCs/>
                <w:sz w:val="28"/>
                <w:szCs w:val="28"/>
              </w:rPr>
            </w:pPr>
            <w:r w:rsidRPr="005B607C">
              <w:rPr>
                <w:rFonts w:ascii="新細明體" w:hAnsi="新細明體" w:hint="eastAsia"/>
                <w:b/>
                <w:bCs/>
                <w:sz w:val="28"/>
                <w:szCs w:val="28"/>
              </w:rPr>
              <w:t>媒體委員：</w:t>
            </w:r>
          </w:p>
        </w:tc>
        <w:tc>
          <w:tcPr>
            <w:tcW w:w="2007" w:type="dxa"/>
          </w:tcPr>
          <w:p w:rsidR="00E0373A" w:rsidRPr="005B607C" w:rsidRDefault="00E0373A" w:rsidP="005A3AD9">
            <w:pPr>
              <w:jc w:val="center"/>
              <w:rPr>
                <w:rFonts w:ascii="新細明體" w:hAnsi="新細明體"/>
                <w:b/>
                <w:bCs/>
                <w:sz w:val="28"/>
                <w:szCs w:val="28"/>
              </w:rPr>
            </w:pPr>
          </w:p>
        </w:tc>
        <w:tc>
          <w:tcPr>
            <w:tcW w:w="2126" w:type="dxa"/>
            <w:shd w:val="clear" w:color="auto" w:fill="D9D9D9"/>
          </w:tcPr>
          <w:p w:rsidR="00E0373A" w:rsidRPr="005B607C" w:rsidRDefault="002715B3" w:rsidP="002715B3">
            <w:pPr>
              <w:ind w:right="560"/>
              <w:jc w:val="right"/>
              <w:rPr>
                <w:rFonts w:ascii="新細明體" w:hAnsi="新細明體"/>
                <w:b/>
                <w:bCs/>
                <w:sz w:val="28"/>
                <w:szCs w:val="28"/>
              </w:rPr>
            </w:pPr>
            <w:r>
              <w:rPr>
                <w:rFonts w:ascii="新細明體" w:hAnsi="新細明體" w:hint="eastAsia"/>
                <w:b/>
                <w:bCs/>
                <w:sz w:val="28"/>
                <w:szCs w:val="28"/>
              </w:rPr>
              <w:t>審定日期</w:t>
            </w:r>
            <w:r w:rsidRPr="005B607C">
              <w:rPr>
                <w:rFonts w:ascii="新細明體" w:hAnsi="新細明體" w:hint="eastAsia"/>
                <w:b/>
                <w:bCs/>
                <w:sz w:val="28"/>
                <w:szCs w:val="28"/>
              </w:rPr>
              <w:t>：</w:t>
            </w:r>
          </w:p>
        </w:tc>
        <w:tc>
          <w:tcPr>
            <w:tcW w:w="1134" w:type="dxa"/>
          </w:tcPr>
          <w:p w:rsidR="00E0373A" w:rsidRPr="005B607C" w:rsidRDefault="00E0373A" w:rsidP="005A3AD9">
            <w:pPr>
              <w:jc w:val="center"/>
              <w:rPr>
                <w:rFonts w:ascii="新細明體" w:hAnsi="新細明體"/>
                <w:b/>
                <w:bCs/>
                <w:sz w:val="28"/>
                <w:szCs w:val="28"/>
              </w:rPr>
            </w:pPr>
          </w:p>
        </w:tc>
      </w:tr>
      <w:tr w:rsidR="00F704CF" w:rsidRPr="00F029A3" w:rsidTr="002715B3">
        <w:tblPrEx>
          <w:tblCellMar>
            <w:left w:w="108" w:type="dxa"/>
            <w:right w:w="108" w:type="dxa"/>
          </w:tblCellMar>
          <w:tblLook w:val="01E0" w:firstRow="1" w:lastRow="1" w:firstColumn="1" w:lastColumn="1" w:noHBand="0" w:noVBand="0"/>
        </w:tblPrEx>
        <w:trPr>
          <w:trHeight w:val="698"/>
        </w:trPr>
        <w:tc>
          <w:tcPr>
            <w:tcW w:w="977" w:type="dxa"/>
            <w:tcBorders>
              <w:bottom w:val="single" w:sz="4" w:space="0" w:color="auto"/>
            </w:tcBorders>
            <w:vAlign w:val="center"/>
          </w:tcPr>
          <w:p w:rsidR="00F704CF" w:rsidRPr="00F704CF" w:rsidRDefault="00F704CF" w:rsidP="009B263F">
            <w:pPr>
              <w:spacing w:beforeLines="25" w:before="90" w:afterLines="25" w:after="90" w:line="360" w:lineRule="exact"/>
              <w:ind w:left="-108"/>
              <w:jc w:val="center"/>
              <w:rPr>
                <w:rFonts w:ascii="新細明體" w:hAnsi="新細明體"/>
                <w:b/>
                <w:noProof/>
                <w:color w:val="000000"/>
                <w:sz w:val="20"/>
                <w:szCs w:val="20"/>
              </w:rPr>
            </w:pPr>
            <w:r w:rsidRPr="00F704CF">
              <w:rPr>
                <w:rFonts w:ascii="新細明體" w:hAnsi="新細明體" w:hint="eastAsia"/>
                <w:b/>
                <w:noProof/>
                <w:color w:val="000000"/>
                <w:sz w:val="20"/>
                <w:szCs w:val="20"/>
              </w:rPr>
              <w:t>正確答案</w:t>
            </w:r>
            <w:r>
              <w:rPr>
                <w:rFonts w:ascii="新細明體" w:hAnsi="新細明體"/>
                <w:b/>
                <w:noProof/>
                <w:color w:val="000000"/>
                <w:sz w:val="20"/>
                <w:szCs w:val="20"/>
              </w:rPr>
              <w:br/>
            </w:r>
            <w:r>
              <w:rPr>
                <w:rFonts w:ascii="新細明體" w:hAnsi="新細明體" w:hint="eastAsia"/>
                <w:b/>
                <w:noProof/>
                <w:color w:val="000000"/>
                <w:sz w:val="20"/>
                <w:szCs w:val="20"/>
              </w:rPr>
              <w:t>(需填)</w:t>
            </w:r>
          </w:p>
        </w:tc>
        <w:tc>
          <w:tcPr>
            <w:tcW w:w="540" w:type="dxa"/>
            <w:tcBorders>
              <w:bottom w:val="single" w:sz="4" w:space="0" w:color="auto"/>
            </w:tcBorders>
            <w:vAlign w:val="center"/>
          </w:tcPr>
          <w:p w:rsidR="00F704CF" w:rsidRPr="0043121E" w:rsidRDefault="00F704CF" w:rsidP="009B263F">
            <w:pPr>
              <w:spacing w:beforeLines="25" w:before="90" w:afterLines="25" w:after="90" w:line="360" w:lineRule="exact"/>
              <w:jc w:val="center"/>
              <w:rPr>
                <w:rFonts w:ascii="新細明體" w:hAnsi="新細明體"/>
                <w:b/>
                <w:noProof/>
                <w:color w:val="000000"/>
              </w:rPr>
            </w:pPr>
            <w:r>
              <w:rPr>
                <w:rFonts w:ascii="新細明體" w:hAnsi="新細明體" w:hint="eastAsia"/>
                <w:b/>
                <w:noProof/>
                <w:color w:val="000000"/>
              </w:rPr>
              <w:t>題號</w:t>
            </w:r>
          </w:p>
        </w:tc>
        <w:tc>
          <w:tcPr>
            <w:tcW w:w="7555" w:type="dxa"/>
            <w:gridSpan w:val="5"/>
            <w:tcBorders>
              <w:bottom w:val="single" w:sz="4" w:space="0" w:color="auto"/>
            </w:tcBorders>
            <w:vAlign w:val="center"/>
          </w:tcPr>
          <w:p w:rsidR="00F704CF" w:rsidRPr="0043121E" w:rsidRDefault="00F704CF" w:rsidP="009B263F">
            <w:pPr>
              <w:tabs>
                <w:tab w:val="left" w:pos="2767"/>
              </w:tabs>
              <w:spacing w:beforeLines="25" w:before="90" w:afterLines="25" w:after="90" w:line="360" w:lineRule="exact"/>
              <w:ind w:leftChars="-521" w:left="2" w:hangingChars="521" w:hanging="1252"/>
              <w:jc w:val="center"/>
              <w:rPr>
                <w:rFonts w:ascii="新細明體" w:hAnsi="新細明體"/>
                <w:b/>
                <w:noProof/>
                <w:color w:val="000000"/>
              </w:rPr>
            </w:pPr>
            <w:r w:rsidRPr="0043121E">
              <w:rPr>
                <w:rFonts w:ascii="新細明體" w:hAnsi="新細明體" w:hint="eastAsia"/>
                <w:b/>
                <w:noProof/>
                <w:color w:val="000000"/>
              </w:rPr>
              <w:t>題  目</w:t>
            </w:r>
            <w:r>
              <w:rPr>
                <w:rFonts w:ascii="新細明體" w:hAnsi="新細明體" w:hint="eastAsia"/>
                <w:b/>
                <w:noProof/>
                <w:color w:val="000000"/>
                <w:sz w:val="20"/>
                <w:szCs w:val="20"/>
              </w:rPr>
              <w:t>(需填)</w:t>
            </w:r>
          </w:p>
        </w:tc>
        <w:tc>
          <w:tcPr>
            <w:tcW w:w="5354" w:type="dxa"/>
            <w:gridSpan w:val="4"/>
            <w:vAlign w:val="center"/>
          </w:tcPr>
          <w:p w:rsidR="00F704CF" w:rsidRDefault="00F704CF" w:rsidP="009B263F">
            <w:pPr>
              <w:spacing w:beforeLines="25" w:before="90" w:afterLines="25" w:after="90" w:line="220" w:lineRule="exact"/>
              <w:ind w:left="-40"/>
              <w:jc w:val="center"/>
              <w:rPr>
                <w:rFonts w:ascii="新細明體" w:hAnsi="新細明體"/>
                <w:noProof/>
                <w:color w:val="000000"/>
                <w:sz w:val="16"/>
                <w:szCs w:val="16"/>
              </w:rPr>
            </w:pPr>
            <w:r w:rsidRPr="009419B9">
              <w:rPr>
                <w:rFonts w:ascii="新細明體" w:hAnsi="新細明體" w:hint="eastAsia"/>
                <w:noProof/>
                <w:color w:val="000000"/>
                <w:sz w:val="16"/>
                <w:szCs w:val="16"/>
              </w:rPr>
              <w:t>建議再閱讀的單元</w:t>
            </w:r>
          </w:p>
          <w:p w:rsidR="00F704CF" w:rsidRPr="0043121E" w:rsidRDefault="00F704CF" w:rsidP="009B263F">
            <w:pPr>
              <w:spacing w:beforeLines="25" w:before="90" w:afterLines="25" w:after="90" w:line="360" w:lineRule="exact"/>
              <w:ind w:left="-108"/>
              <w:jc w:val="center"/>
              <w:rPr>
                <w:rFonts w:ascii="新細明體" w:hAnsi="新細明體"/>
                <w:b/>
                <w:noProof/>
                <w:color w:val="000000"/>
              </w:rPr>
            </w:pPr>
            <w:r>
              <w:rPr>
                <w:rFonts w:ascii="新細明體" w:hAnsi="新細明體" w:hint="eastAsia"/>
                <w:noProof/>
                <w:color w:val="000000"/>
                <w:sz w:val="16"/>
                <w:szCs w:val="16"/>
              </w:rPr>
              <w:t>(或詳細解答</w:t>
            </w:r>
            <w:r>
              <w:rPr>
                <w:rFonts w:ascii="新細明體" w:hAnsi="新細明體" w:hint="eastAsia"/>
                <w:b/>
                <w:noProof/>
                <w:color w:val="000000"/>
                <w:sz w:val="20"/>
                <w:szCs w:val="20"/>
              </w:rPr>
              <w:t>需填)</w:t>
            </w:r>
          </w:p>
        </w:tc>
      </w:tr>
      <w:tr w:rsidR="00504A45" w:rsidRPr="007F5325" w:rsidTr="002715B3">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504A45" w:rsidRPr="007F5325" w:rsidRDefault="002A6167" w:rsidP="009B263F">
            <w:pPr>
              <w:spacing w:beforeLines="25" w:before="90" w:afterLines="25" w:after="90"/>
              <w:jc w:val="center"/>
              <w:rPr>
                <w:rFonts w:ascii="Garamond" w:eastAsia="標楷體" w:hAnsi="Garamond"/>
              </w:rPr>
            </w:pPr>
            <w:r>
              <w:rPr>
                <w:rFonts w:ascii="Garamond" w:eastAsia="標楷體" w:hAnsi="Garamond" w:hint="eastAsia"/>
              </w:rPr>
              <w:t>O</w:t>
            </w:r>
          </w:p>
        </w:tc>
        <w:tc>
          <w:tcPr>
            <w:tcW w:w="540" w:type="dxa"/>
            <w:tcBorders>
              <w:bottom w:val="single" w:sz="4" w:space="0" w:color="auto"/>
            </w:tcBorders>
          </w:tcPr>
          <w:p w:rsidR="00504A45" w:rsidRPr="007F5325" w:rsidRDefault="002A6167" w:rsidP="009B263F">
            <w:pPr>
              <w:spacing w:beforeLines="25" w:before="90" w:afterLines="25" w:after="90"/>
              <w:ind w:left="360" w:hangingChars="150" w:hanging="360"/>
              <w:jc w:val="center"/>
              <w:rPr>
                <w:rFonts w:ascii="新細明體" w:hAnsi="新細明體"/>
                <w:b/>
              </w:rPr>
            </w:pPr>
            <w:r>
              <w:rPr>
                <w:rFonts w:ascii="新細明體" w:hAnsi="新細明體" w:hint="eastAsia"/>
                <w:b/>
              </w:rPr>
              <w:t>1</w:t>
            </w:r>
          </w:p>
        </w:tc>
        <w:tc>
          <w:tcPr>
            <w:tcW w:w="7555" w:type="dxa"/>
            <w:gridSpan w:val="5"/>
            <w:tcBorders>
              <w:bottom w:val="single" w:sz="4" w:space="0" w:color="auto"/>
            </w:tcBorders>
          </w:tcPr>
          <w:p w:rsidR="00504A45" w:rsidRPr="007F5325" w:rsidRDefault="002A6167" w:rsidP="009B263F">
            <w:pPr>
              <w:spacing w:beforeLines="25" w:before="90" w:afterLines="25" w:after="90"/>
              <w:rPr>
                <w:rFonts w:ascii="標楷體" w:eastAsia="標楷體" w:hAnsi="標楷體"/>
                <w:b/>
              </w:rPr>
            </w:pPr>
            <w:r w:rsidRPr="00F861BB">
              <w:rPr>
                <w:color w:val="231F20"/>
                <w:spacing w:val="-2"/>
              </w:rPr>
              <w:t>公民為了維持國家、社會的永續發展，公民的生育行為決策也應被視為公民責任的一環。</w:t>
            </w:r>
          </w:p>
        </w:tc>
        <w:tc>
          <w:tcPr>
            <w:tcW w:w="5354" w:type="dxa"/>
            <w:gridSpan w:val="4"/>
          </w:tcPr>
          <w:p w:rsidR="00504A45" w:rsidRDefault="002A6167" w:rsidP="005E5CDB">
            <w:pPr>
              <w:rPr>
                <w:rFonts w:ascii="新細明體" w:hAnsi="新細明體"/>
                <w:noProof/>
                <w:color w:val="000000"/>
              </w:rPr>
            </w:pPr>
            <w:r w:rsidRPr="002715B3">
              <w:rPr>
                <w:rFonts w:ascii="新細明體" w:hAnsi="新細明體" w:hint="eastAsia"/>
                <w:noProof/>
                <w:color w:val="000000"/>
              </w:rPr>
              <w:t>建議再閱讀</w:t>
            </w:r>
            <w:r>
              <w:rPr>
                <w:rFonts w:ascii="新細明體" w:hAnsi="新細明體" w:hint="eastAsia"/>
                <w:noProof/>
                <w:color w:val="000000"/>
              </w:rPr>
              <w:t xml:space="preserve"> </w:t>
            </w:r>
            <w:r>
              <w:rPr>
                <w:rFonts w:ascii="新細明體" w:hAnsi="新細明體"/>
                <w:noProof/>
                <w:color w:val="000000"/>
              </w:rPr>
              <w:t xml:space="preserve"> </w:t>
            </w:r>
            <w:r>
              <w:rPr>
                <w:rFonts w:ascii="新細明體" w:hAnsi="新細明體" w:hint="eastAsia"/>
                <w:noProof/>
                <w:color w:val="000000"/>
              </w:rPr>
              <w:t>第1節 少子化現象的相關論述和說明</w:t>
            </w:r>
          </w:p>
          <w:p w:rsidR="00FC3E7C" w:rsidRPr="00FC3E7C" w:rsidRDefault="00FC3E7C" w:rsidP="00FC3E7C">
            <w:pPr>
              <w:ind w:firstLineChars="200" w:firstLine="476"/>
              <w:rPr>
                <w:rFonts w:hint="eastAsia"/>
                <w:color w:val="231F20"/>
                <w:spacing w:val="-2"/>
              </w:rPr>
            </w:pPr>
            <w:r w:rsidRPr="00F861BB">
              <w:rPr>
                <w:color w:val="231F20"/>
                <w:spacing w:val="-1"/>
              </w:rPr>
              <w:t>公民權</w:t>
            </w:r>
            <w:r w:rsidRPr="00F861BB">
              <w:rPr>
                <w:rFonts w:hint="eastAsia"/>
                <w:color w:val="231F20"/>
                <w:spacing w:val="-1"/>
              </w:rPr>
              <w:t>是</w:t>
            </w:r>
            <w:r w:rsidRPr="00F861BB">
              <w:rPr>
                <w:color w:val="231F20"/>
                <w:spacing w:val="-1"/>
              </w:rPr>
              <w:t>一種權利</w:t>
            </w:r>
            <w:r w:rsidRPr="00F861BB">
              <w:rPr>
                <w:color w:val="231F20"/>
                <w:spacing w:val="-2"/>
              </w:rPr>
              <w:t>（</w:t>
            </w:r>
            <w:r w:rsidRPr="00F861BB">
              <w:rPr>
                <w:rFonts w:eastAsia="Times New Roman"/>
                <w:color w:val="231F20"/>
                <w:spacing w:val="-2"/>
              </w:rPr>
              <w:t>citizenship-as-rights</w:t>
            </w:r>
            <w:r w:rsidRPr="00F861BB">
              <w:rPr>
                <w:color w:val="231F20"/>
                <w:spacing w:val="-2"/>
              </w:rPr>
              <w:t>），</w:t>
            </w:r>
            <w:r w:rsidRPr="00F861BB">
              <w:rPr>
                <w:color w:val="231F20"/>
                <w:spacing w:val="-1"/>
              </w:rPr>
              <w:t>公民有</w:t>
            </w:r>
            <w:r w:rsidRPr="00F861BB">
              <w:rPr>
                <w:color w:val="231F20"/>
                <w:spacing w:val="-2"/>
              </w:rPr>
              <w:t>權享受經濟、社會生活安全與平等對待，這也是西方社會主義福利國家的重要施政理念；</w:t>
            </w:r>
            <w:r w:rsidRPr="00F861BB">
              <w:rPr>
                <w:rFonts w:hint="eastAsia"/>
                <w:color w:val="231F20"/>
                <w:spacing w:val="-2"/>
              </w:rPr>
              <w:t>然而在享有</w:t>
            </w:r>
            <w:r w:rsidRPr="00F861BB">
              <w:rPr>
                <w:color w:val="231F20"/>
                <w:spacing w:val="-2"/>
              </w:rPr>
              <w:t>國家的</w:t>
            </w:r>
            <w:r w:rsidRPr="00F861BB">
              <w:rPr>
                <w:rFonts w:hint="eastAsia"/>
                <w:color w:val="231F20"/>
                <w:spacing w:val="-2"/>
              </w:rPr>
              <w:t>服務</w:t>
            </w:r>
            <w:r w:rsidRPr="00F861BB">
              <w:rPr>
                <w:color w:val="231F20"/>
                <w:spacing w:val="-2"/>
              </w:rPr>
              <w:t>與支持</w:t>
            </w:r>
            <w:r w:rsidRPr="00F861BB">
              <w:rPr>
                <w:rFonts w:hint="eastAsia"/>
                <w:color w:val="231F20"/>
                <w:spacing w:val="-2"/>
              </w:rPr>
              <w:t>的同時，公民也有相對應的責任</w:t>
            </w:r>
            <w:r w:rsidRPr="00F861BB">
              <w:rPr>
                <w:color w:val="231F20"/>
                <w:spacing w:val="-2"/>
              </w:rPr>
              <w:t>，</w:t>
            </w:r>
            <w:r w:rsidRPr="00F861BB">
              <w:rPr>
                <w:rFonts w:hint="eastAsia"/>
                <w:color w:val="231F20"/>
                <w:spacing w:val="-2"/>
              </w:rPr>
              <w:t>也就是</w:t>
            </w:r>
            <w:r w:rsidRPr="00F861BB">
              <w:rPr>
                <w:color w:val="231F20"/>
                <w:spacing w:val="-2"/>
              </w:rPr>
              <w:t>公民必須積極參與國家公共與私人層面的事務，公民責任（</w:t>
            </w:r>
            <w:r w:rsidRPr="00F861BB">
              <w:rPr>
                <w:rFonts w:eastAsia="Times New Roman"/>
                <w:color w:val="231F20"/>
                <w:spacing w:val="-2"/>
              </w:rPr>
              <w:t>citizenship-as-responsibilities</w:t>
            </w:r>
            <w:r w:rsidRPr="00F861BB">
              <w:rPr>
                <w:color w:val="231F20"/>
                <w:spacing w:val="-2"/>
              </w:rPr>
              <w:t>）</w:t>
            </w:r>
            <w:r w:rsidRPr="00F861BB">
              <w:rPr>
                <w:rFonts w:hint="eastAsia"/>
                <w:color w:val="231F20"/>
                <w:spacing w:val="-2"/>
              </w:rPr>
              <w:t>亦是</w:t>
            </w:r>
            <w:r w:rsidRPr="00F861BB">
              <w:rPr>
                <w:color w:val="231F20"/>
              </w:rPr>
              <w:t>公民身分</w:t>
            </w:r>
            <w:r w:rsidRPr="00F861BB">
              <w:rPr>
                <w:rFonts w:hint="eastAsia"/>
                <w:color w:val="231F20"/>
              </w:rPr>
              <w:t>另一面的展現</w:t>
            </w:r>
            <w:r w:rsidRPr="00F861BB">
              <w:rPr>
                <w:color w:val="231F20"/>
              </w:rPr>
              <w:t>；因此積極而非</w:t>
            </w:r>
            <w:r w:rsidRPr="00F861BB">
              <w:rPr>
                <w:color w:val="231F20"/>
                <w:spacing w:val="-2"/>
              </w:rPr>
              <w:t>被動的參與社會事務，</w:t>
            </w:r>
            <w:r w:rsidRPr="00F861BB">
              <w:rPr>
                <w:rFonts w:hint="eastAsia"/>
                <w:color w:val="231F20"/>
                <w:spacing w:val="-2"/>
              </w:rPr>
              <w:t>乃</w:t>
            </w:r>
            <w:r w:rsidRPr="00F861BB">
              <w:rPr>
                <w:color w:val="231F20"/>
                <w:spacing w:val="-2"/>
              </w:rPr>
              <w:t>公民責任的一環；公民為了維持國家、社會的永續發展，公民的生育行為決策也應被視為公民責任的一環。</w:t>
            </w:r>
          </w:p>
        </w:tc>
      </w:tr>
      <w:tr w:rsidR="00504A45" w:rsidRPr="007F5325" w:rsidTr="002715B3">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tcPr>
          <w:p w:rsidR="00504A45" w:rsidRPr="007F5325" w:rsidRDefault="00FC3E7C" w:rsidP="009B263F">
            <w:pPr>
              <w:spacing w:beforeLines="25" w:before="90" w:afterLines="25" w:after="90"/>
              <w:jc w:val="center"/>
              <w:rPr>
                <w:rFonts w:ascii="新細明體" w:hAnsi="新細明體"/>
                <w:color w:val="0000FF"/>
              </w:rPr>
            </w:pPr>
            <w:r>
              <w:rPr>
                <w:rFonts w:ascii="新細明體" w:hAnsi="新細明體" w:hint="eastAsia"/>
                <w:color w:val="0000FF"/>
              </w:rPr>
              <w:t>X</w:t>
            </w:r>
          </w:p>
        </w:tc>
        <w:tc>
          <w:tcPr>
            <w:tcW w:w="540" w:type="dxa"/>
            <w:tcBorders>
              <w:bottom w:val="single" w:sz="4" w:space="0" w:color="auto"/>
            </w:tcBorders>
          </w:tcPr>
          <w:p w:rsidR="00504A45" w:rsidRPr="007F5325" w:rsidRDefault="002A6167" w:rsidP="00FC3E7C">
            <w:pPr>
              <w:spacing w:beforeLines="25" w:before="90" w:afterLines="25" w:after="90"/>
              <w:rPr>
                <w:rFonts w:ascii="新細明體" w:hAnsi="新細明體"/>
                <w:b/>
              </w:rPr>
            </w:pPr>
            <w:r>
              <w:rPr>
                <w:rFonts w:ascii="新細明體" w:hAnsi="新細明體" w:hint="eastAsia"/>
                <w:b/>
              </w:rPr>
              <w:t>2</w:t>
            </w:r>
          </w:p>
        </w:tc>
        <w:tc>
          <w:tcPr>
            <w:tcW w:w="7555" w:type="dxa"/>
            <w:gridSpan w:val="5"/>
            <w:tcBorders>
              <w:bottom w:val="single" w:sz="4" w:space="0" w:color="auto"/>
            </w:tcBorders>
          </w:tcPr>
          <w:p w:rsidR="00504A45" w:rsidRPr="007F5325" w:rsidRDefault="00FC3E7C" w:rsidP="00FC3E7C">
            <w:pPr>
              <w:spacing w:beforeLines="25" w:before="90" w:afterLines="25" w:after="90"/>
              <w:ind w:left="74" w:hangingChars="31" w:hanging="74"/>
              <w:rPr>
                <w:rFonts w:ascii="標楷體" w:eastAsia="標楷體" w:hAnsi="標楷體"/>
                <w:b/>
              </w:rPr>
            </w:pPr>
            <w:r w:rsidRPr="004555CA">
              <w:rPr>
                <w:rFonts w:ascii="新細明體" w:hAnsi="新細明體" w:cs="新細明體" w:hint="eastAsia"/>
                <w:color w:val="231F20"/>
                <w:spacing w:val="-1"/>
              </w:rPr>
              <w:t>婚姻同時具有「選擇」與「保障」的效果：前者指</w:t>
            </w:r>
            <w:r>
              <w:rPr>
                <w:rFonts w:ascii="新細明體" w:hAnsi="新細明體" w:cs="新細明體" w:hint="eastAsia"/>
                <w:color w:val="231F20"/>
                <w:spacing w:val="-1"/>
              </w:rPr>
              <w:t>出</w:t>
            </w:r>
            <w:r w:rsidRPr="004555CA">
              <w:rPr>
                <w:rFonts w:ascii="新細明體" w:hAnsi="新細明體" w:cs="新細明體" w:hint="eastAsia"/>
                <w:color w:val="231F20"/>
                <w:spacing w:val="-3"/>
                <w:w w:val="103"/>
              </w:rPr>
              <w:t>婚姻有助於整合並共享配偶的經濟</w:t>
            </w:r>
            <w:r w:rsidRPr="004555CA">
              <w:rPr>
                <w:rFonts w:ascii="新細明體" w:hAnsi="新細明體" w:cs="新細明體" w:hint="eastAsia"/>
                <w:color w:val="231F20"/>
                <w:spacing w:val="-3"/>
              </w:rPr>
              <w:t>資源與社會支持系統，使夫妻雙方無論在身心各方面皆呈現較佳的健康狀態</w:t>
            </w:r>
            <w:r>
              <w:rPr>
                <w:rFonts w:ascii="新細明體" w:hAnsi="新細明體" w:cs="新細明體" w:hint="eastAsia"/>
                <w:color w:val="231F20"/>
                <w:spacing w:val="-3"/>
              </w:rPr>
              <w:t>，</w:t>
            </w:r>
            <w:r w:rsidRPr="004555CA">
              <w:rPr>
                <w:rFonts w:ascii="新細明體" w:hAnsi="新細明體" w:cs="新細明體" w:hint="eastAsia"/>
                <w:color w:val="231F20"/>
                <w:spacing w:val="-3"/>
                <w:w w:val="103"/>
              </w:rPr>
              <w:t>後者指出</w:t>
            </w:r>
            <w:r>
              <w:rPr>
                <w:rFonts w:ascii="新細明體" w:hAnsi="新細明體" w:cs="新細明體" w:hint="eastAsia"/>
                <w:color w:val="231F20"/>
                <w:spacing w:val="-3"/>
                <w:w w:val="103"/>
              </w:rPr>
              <w:t>其</w:t>
            </w:r>
            <w:r w:rsidRPr="004555CA">
              <w:rPr>
                <w:rFonts w:ascii="新細明體" w:hAnsi="新細明體" w:cs="新細明體" w:hint="eastAsia"/>
                <w:color w:val="231F20"/>
                <w:spacing w:val="-1"/>
              </w:rPr>
              <w:t>身心健康、經濟能力與教育程度較佳者，得在結婚市</w:t>
            </w:r>
            <w:r w:rsidRPr="004555CA">
              <w:rPr>
                <w:rFonts w:ascii="新細明體" w:hAnsi="新細明體" w:cs="新細明體" w:hint="eastAsia"/>
                <w:color w:val="231F20"/>
                <w:spacing w:val="-5"/>
                <w:w w:val="103"/>
              </w:rPr>
              <w:t>場取得優勢</w:t>
            </w:r>
            <w:r>
              <w:rPr>
                <w:rFonts w:ascii="新細明體" w:hAnsi="新細明體" w:cs="新細明體" w:hint="eastAsia"/>
                <w:color w:val="231F20"/>
                <w:w w:val="103"/>
                <w:position w:val="1"/>
              </w:rPr>
              <w:t>。</w:t>
            </w:r>
          </w:p>
        </w:tc>
        <w:tc>
          <w:tcPr>
            <w:tcW w:w="5354" w:type="dxa"/>
            <w:gridSpan w:val="4"/>
            <w:tcBorders>
              <w:bottom w:val="single" w:sz="4" w:space="0" w:color="auto"/>
            </w:tcBorders>
          </w:tcPr>
          <w:p w:rsidR="00FC3E7C" w:rsidRPr="00B54CE2" w:rsidRDefault="00FC3E7C" w:rsidP="00FC3E7C">
            <w:r w:rsidRPr="002715B3">
              <w:rPr>
                <w:rFonts w:ascii="新細明體" w:hAnsi="新細明體" w:hint="eastAsia"/>
                <w:noProof/>
                <w:color w:val="000000"/>
              </w:rPr>
              <w:t>建議再閱讀</w:t>
            </w:r>
            <w:r w:rsidRPr="00B54CE2">
              <w:rPr>
                <w:rFonts w:hint="eastAsia"/>
              </w:rPr>
              <w:t>第</w:t>
            </w:r>
            <w:r>
              <w:rPr>
                <w:rFonts w:hint="eastAsia"/>
              </w:rPr>
              <w:t>2</w:t>
            </w:r>
            <w:r w:rsidRPr="00B54CE2">
              <w:rPr>
                <w:rFonts w:hint="eastAsia"/>
              </w:rPr>
              <w:t>節</w:t>
            </w:r>
            <w:r>
              <w:t xml:space="preserve">  </w:t>
            </w:r>
            <w:r w:rsidRPr="00B54CE2">
              <w:rPr>
                <w:rFonts w:hint="eastAsia"/>
              </w:rPr>
              <w:t>婚姻與婚姻教育</w:t>
            </w:r>
            <w:r>
              <w:rPr>
                <w:rFonts w:hint="eastAsia"/>
              </w:rPr>
              <w:t>的發展</w:t>
            </w:r>
            <w:r w:rsidR="00047CA6">
              <w:rPr>
                <w:rFonts w:hint="eastAsia"/>
              </w:rPr>
              <w:t>中「</w:t>
            </w:r>
            <w:r w:rsidR="00047CA6">
              <w:rPr>
                <w:rFonts w:hint="eastAsia"/>
              </w:rPr>
              <w:t>婚姻意義的轉變</w:t>
            </w:r>
            <w:r w:rsidR="00047CA6">
              <w:rPr>
                <w:rFonts w:hint="eastAsia"/>
              </w:rPr>
              <w:t>」</w:t>
            </w:r>
          </w:p>
          <w:p w:rsidR="00FC3E7C" w:rsidRDefault="00FC3E7C" w:rsidP="00504A45">
            <w:pPr>
              <w:rPr>
                <w:rFonts w:ascii="新細明體" w:hAnsi="新細明體" w:cs="新細明體"/>
                <w:color w:val="231F20"/>
                <w:spacing w:val="-1"/>
              </w:rPr>
            </w:pPr>
          </w:p>
          <w:p w:rsidR="00504A45" w:rsidRPr="007F5325" w:rsidRDefault="00FC3E7C" w:rsidP="00504A45">
            <w:r w:rsidRPr="004555CA">
              <w:rPr>
                <w:rFonts w:ascii="新細明體" w:hAnsi="新細明體" w:cs="新細明體" w:hint="eastAsia"/>
                <w:color w:val="231F20"/>
                <w:spacing w:val="-1"/>
              </w:rPr>
              <w:t>根據傳統的婚姻理論，婚姻同時具有「選擇」與「保障」的效果：前者指涉身心健康、經濟能力與教育程度較佳者，得在結婚市</w:t>
            </w:r>
            <w:r w:rsidRPr="004555CA">
              <w:rPr>
                <w:rFonts w:ascii="新細明體" w:hAnsi="新細明體" w:cs="新細明體" w:hint="eastAsia"/>
                <w:color w:val="231F20"/>
                <w:spacing w:val="-5"/>
                <w:w w:val="103"/>
              </w:rPr>
              <w:t>場取得優勢</w:t>
            </w:r>
            <w:proofErr w:type="gramStart"/>
            <w:r w:rsidRPr="004555CA">
              <w:rPr>
                <w:rFonts w:ascii="新細明體" w:hAnsi="新細明體" w:cs="新細明體" w:hint="eastAsia"/>
                <w:color w:val="231F20"/>
                <w:spacing w:val="-12"/>
                <w:w w:val="103"/>
              </w:rPr>
              <w:t>（</w:t>
            </w:r>
            <w:proofErr w:type="gramEnd"/>
            <w:r w:rsidRPr="004555CA">
              <w:rPr>
                <w:color w:val="231F20"/>
                <w:spacing w:val="-1"/>
                <w:w w:val="103"/>
                <w:position w:val="1"/>
              </w:rPr>
              <w:t>Gov</w:t>
            </w:r>
            <w:r w:rsidRPr="004555CA">
              <w:rPr>
                <w:color w:val="231F20"/>
                <w:w w:val="103"/>
                <w:position w:val="1"/>
              </w:rPr>
              <w:t>e</w:t>
            </w:r>
            <w:r w:rsidRPr="004555CA">
              <w:rPr>
                <w:color w:val="231F20"/>
                <w:position w:val="1"/>
              </w:rPr>
              <w:t xml:space="preserve"> </w:t>
            </w:r>
            <w:r w:rsidRPr="004555CA">
              <w:rPr>
                <w:color w:val="231F20"/>
                <w:w w:val="103"/>
                <w:position w:val="1"/>
              </w:rPr>
              <w:t>et</w:t>
            </w:r>
            <w:r w:rsidRPr="004555CA">
              <w:rPr>
                <w:color w:val="231F20"/>
                <w:position w:val="1"/>
              </w:rPr>
              <w:t xml:space="preserve"> </w:t>
            </w:r>
            <w:r w:rsidRPr="004555CA">
              <w:rPr>
                <w:color w:val="231F20"/>
                <w:w w:val="103"/>
                <w:position w:val="1"/>
              </w:rPr>
              <w:t>al.,1990</w:t>
            </w:r>
            <w:proofErr w:type="gramStart"/>
            <w:r>
              <w:rPr>
                <w:rFonts w:ascii="新細明體" w:hAnsi="新細明體" w:cs="新細明體"/>
                <w:color w:val="231F20"/>
                <w:w w:val="103"/>
                <w:position w:val="1"/>
              </w:rPr>
              <w:t>）</w:t>
            </w:r>
            <w:proofErr w:type="gramEnd"/>
            <w:r>
              <w:rPr>
                <w:rFonts w:ascii="新細明體" w:hAnsi="新細明體" w:cs="新細明體" w:hint="eastAsia"/>
                <w:color w:val="231F20"/>
                <w:w w:val="103"/>
                <w:position w:val="1"/>
              </w:rPr>
              <w:t>，</w:t>
            </w:r>
            <w:r w:rsidRPr="004555CA">
              <w:rPr>
                <w:rFonts w:ascii="新細明體" w:hAnsi="新細明體" w:cs="新細明體" w:hint="eastAsia"/>
                <w:color w:val="231F20"/>
                <w:spacing w:val="-3"/>
                <w:w w:val="103"/>
              </w:rPr>
              <w:t>後者指出婚姻有助於整合並共享配偶的經濟</w:t>
            </w:r>
            <w:r w:rsidRPr="004555CA">
              <w:rPr>
                <w:rFonts w:ascii="新細明體" w:hAnsi="新細明體" w:cs="新細明體" w:hint="eastAsia"/>
                <w:color w:val="231F20"/>
                <w:spacing w:val="-3"/>
              </w:rPr>
              <w:t>資源與社會支持系統，使夫妻雙方無論在身心各方面皆呈現較佳的健康狀態</w:t>
            </w:r>
            <w:proofErr w:type="gramStart"/>
            <w:r w:rsidRPr="004555CA">
              <w:rPr>
                <w:rFonts w:ascii="新細明體" w:hAnsi="新細明體" w:cs="新細明體" w:hint="eastAsia"/>
                <w:color w:val="231F20"/>
                <w:w w:val="103"/>
              </w:rPr>
              <w:t>（</w:t>
            </w:r>
            <w:proofErr w:type="gramEnd"/>
            <w:r w:rsidRPr="004555CA">
              <w:rPr>
                <w:color w:val="231F20"/>
                <w:spacing w:val="-19"/>
                <w:w w:val="103"/>
                <w:position w:val="1"/>
              </w:rPr>
              <w:t>W</w:t>
            </w:r>
            <w:r w:rsidRPr="004555CA">
              <w:rPr>
                <w:color w:val="231F20"/>
                <w:w w:val="103"/>
                <w:position w:val="1"/>
              </w:rPr>
              <w:t>aite</w:t>
            </w:r>
            <w:r w:rsidRPr="004555CA">
              <w:rPr>
                <w:color w:val="231F20"/>
                <w:position w:val="1"/>
              </w:rPr>
              <w:t xml:space="preserve"> </w:t>
            </w:r>
            <w:r w:rsidRPr="004555CA">
              <w:rPr>
                <w:color w:val="231F20"/>
                <w:w w:val="103"/>
                <w:position w:val="1"/>
              </w:rPr>
              <w:t>and</w:t>
            </w:r>
            <w:r w:rsidRPr="004555CA">
              <w:rPr>
                <w:color w:val="231F20"/>
                <w:position w:val="1"/>
              </w:rPr>
              <w:t xml:space="preserve"> </w:t>
            </w:r>
            <w:r w:rsidRPr="004555CA">
              <w:rPr>
                <w:color w:val="231F20"/>
                <w:spacing w:val="-1"/>
                <w:w w:val="103"/>
                <w:position w:val="1"/>
              </w:rPr>
              <w:t>Gallaghe</w:t>
            </w:r>
            <w:r w:rsidRPr="004555CA">
              <w:rPr>
                <w:color w:val="231F20"/>
                <w:spacing w:val="-9"/>
                <w:w w:val="103"/>
                <w:position w:val="1"/>
              </w:rPr>
              <w:t>r</w:t>
            </w:r>
            <w:r w:rsidRPr="004555CA">
              <w:rPr>
                <w:color w:val="231F20"/>
                <w:w w:val="103"/>
                <w:position w:val="1"/>
              </w:rPr>
              <w:t>,</w:t>
            </w:r>
            <w:r w:rsidRPr="004555CA">
              <w:rPr>
                <w:color w:val="231F20"/>
                <w:position w:val="1"/>
              </w:rPr>
              <w:t xml:space="preserve"> </w:t>
            </w:r>
            <w:r w:rsidRPr="004555CA">
              <w:rPr>
                <w:color w:val="231F20"/>
                <w:w w:val="103"/>
                <w:position w:val="1"/>
              </w:rPr>
              <w:t>2000</w:t>
            </w:r>
            <w:r>
              <w:rPr>
                <w:rFonts w:ascii="新細明體" w:hAnsi="新細明體" w:cs="新細明體" w:hint="eastAsia"/>
                <w:color w:val="231F20"/>
                <w:spacing w:val="-113"/>
                <w:w w:val="103"/>
              </w:rPr>
              <w:t>；</w:t>
            </w:r>
            <w:r w:rsidRPr="004555CA">
              <w:rPr>
                <w:rFonts w:ascii="新細明體" w:hAnsi="新細明體" w:cs="新細明體" w:hint="eastAsia"/>
                <w:color w:val="231F20"/>
                <w:w w:val="103"/>
              </w:rPr>
              <w:t>楊文山，2</w:t>
            </w:r>
            <w:r w:rsidRPr="004555CA">
              <w:rPr>
                <w:rFonts w:ascii="新細明體" w:hAnsi="新細明體" w:cs="新細明體"/>
                <w:color w:val="231F20"/>
                <w:w w:val="103"/>
              </w:rPr>
              <w:t>015)</w:t>
            </w:r>
            <w:r w:rsidRPr="004555CA">
              <w:rPr>
                <w:rFonts w:ascii="新細明體" w:hAnsi="新細明體" w:cs="新細明體" w:hint="eastAsia"/>
                <w:color w:val="231F20"/>
                <w:w w:val="103"/>
              </w:rPr>
              <w:t>。</w:t>
            </w:r>
          </w:p>
        </w:tc>
      </w:tr>
      <w:tr w:rsidR="00504A45" w:rsidRPr="007F5325" w:rsidTr="002715B3">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504A45" w:rsidRPr="007F5325" w:rsidRDefault="00047CA6" w:rsidP="009B263F">
            <w:pPr>
              <w:spacing w:beforeLines="25" w:before="90" w:afterLines="25" w:after="90"/>
              <w:jc w:val="center"/>
              <w:rPr>
                <w:rFonts w:ascii="Garamond" w:eastAsia="標楷體" w:hAnsi="Garamond"/>
              </w:rPr>
            </w:pPr>
            <w:r>
              <w:rPr>
                <w:rFonts w:ascii="Garamond" w:eastAsia="標楷體" w:hAnsi="Garamond" w:hint="eastAsia"/>
              </w:rPr>
              <w:lastRenderedPageBreak/>
              <w:t>X</w:t>
            </w:r>
          </w:p>
        </w:tc>
        <w:tc>
          <w:tcPr>
            <w:tcW w:w="540" w:type="dxa"/>
            <w:tcBorders>
              <w:bottom w:val="single" w:sz="4" w:space="0" w:color="auto"/>
            </w:tcBorders>
          </w:tcPr>
          <w:p w:rsidR="00504A45" w:rsidRPr="007F5325" w:rsidRDefault="002A6167" w:rsidP="00504A45">
            <w:pPr>
              <w:jc w:val="center"/>
              <w:rPr>
                <w:rFonts w:ascii="新細明體" w:hAnsi="新細明體"/>
                <w:b/>
              </w:rPr>
            </w:pPr>
            <w:r>
              <w:rPr>
                <w:rFonts w:ascii="新細明體" w:hAnsi="新細明體" w:hint="eastAsia"/>
                <w:b/>
              </w:rPr>
              <w:t>3</w:t>
            </w:r>
          </w:p>
        </w:tc>
        <w:tc>
          <w:tcPr>
            <w:tcW w:w="7555" w:type="dxa"/>
            <w:gridSpan w:val="5"/>
            <w:tcBorders>
              <w:bottom w:val="single" w:sz="4" w:space="0" w:color="auto"/>
            </w:tcBorders>
          </w:tcPr>
          <w:p w:rsidR="00504A45" w:rsidRPr="007541A5" w:rsidRDefault="00047CA6" w:rsidP="007541A5">
            <w:pPr>
              <w:rPr>
                <w:rFonts w:ascii="標楷體" w:eastAsia="標楷體" w:hAnsi="標楷體"/>
              </w:rPr>
            </w:pPr>
            <w:r>
              <w:rPr>
                <w:rFonts w:ascii="新細明體" w:hAnsi="新細明體" w:cs="新細明體" w:hint="eastAsia"/>
              </w:rPr>
              <w:t>在</w:t>
            </w:r>
            <w:r w:rsidR="00FC3E7C" w:rsidRPr="00932FE9">
              <w:rPr>
                <w:rFonts w:ascii="新細明體" w:hAnsi="新細明體" w:cs="新細明體" w:hint="eastAsia"/>
              </w:rPr>
              <w:t>婚姻關係建立理論</w:t>
            </w:r>
            <w:r>
              <w:rPr>
                <w:rFonts w:ascii="新細明體" w:hAnsi="新細明體" w:cs="新細明體" w:hint="eastAsia"/>
              </w:rPr>
              <w:t>中，</w:t>
            </w:r>
            <w:r w:rsidR="00FC3E7C" w:rsidRPr="00932FE9">
              <w:rPr>
                <w:rFonts w:ascii="新細明體" w:hAnsi="新細明體" w:cs="新細明體" w:hint="eastAsia"/>
              </w:rPr>
              <w:t>強調婚前關係中兩個人的個性、價值、社會人口變項一致的重要性</w:t>
            </w:r>
            <w:r w:rsidR="00FC3E7C">
              <w:rPr>
                <w:rFonts w:ascii="新細明體" w:hAnsi="新細明體" w:cs="新細明體" w:hint="eastAsia"/>
              </w:rPr>
              <w:t>，兩個人的社經地位愈相近、人生價值愈相似等有助於兩個人發展成伴侶關係</w:t>
            </w:r>
            <w:r>
              <w:rPr>
                <w:rFonts w:ascii="新細明體" w:hAnsi="新細明體" w:cs="新細明體" w:hint="eastAsia"/>
              </w:rPr>
              <w:t>，這稱為「</w:t>
            </w:r>
            <w:r w:rsidRPr="00932FE9">
              <w:rPr>
                <w:rFonts w:ascii="新細明體" w:hAnsi="新細明體" w:cs="新細明體" w:hint="eastAsia"/>
              </w:rPr>
              <w:t>社會交換模式</w:t>
            </w:r>
            <w:r>
              <w:rPr>
                <w:rFonts w:ascii="新細明體" w:hAnsi="新細明體" w:cs="新細明體" w:hint="eastAsia"/>
              </w:rPr>
              <w:t>」。</w:t>
            </w:r>
          </w:p>
        </w:tc>
        <w:tc>
          <w:tcPr>
            <w:tcW w:w="5354" w:type="dxa"/>
            <w:gridSpan w:val="4"/>
          </w:tcPr>
          <w:p w:rsidR="00504A45" w:rsidRDefault="00047CA6" w:rsidP="00504A45">
            <w:r w:rsidRPr="002715B3">
              <w:rPr>
                <w:rFonts w:ascii="新細明體" w:hAnsi="新細明體" w:hint="eastAsia"/>
                <w:noProof/>
                <w:color w:val="000000"/>
              </w:rPr>
              <w:t>建議再閱讀</w:t>
            </w:r>
            <w:r>
              <w:rPr>
                <w:rFonts w:ascii="新細明體" w:hAnsi="新細明體" w:hint="eastAsia"/>
                <w:noProof/>
                <w:color w:val="000000"/>
              </w:rPr>
              <w:t>第2</w:t>
            </w:r>
            <w:r>
              <w:rPr>
                <w:rFonts w:ascii="新細明體" w:hAnsi="新細明體"/>
                <w:noProof/>
                <w:color w:val="000000"/>
              </w:rPr>
              <w:t xml:space="preserve"> </w:t>
            </w:r>
            <w:r>
              <w:rPr>
                <w:rFonts w:ascii="新細明體" w:hAnsi="新細明體" w:hint="eastAsia"/>
                <w:noProof/>
                <w:color w:val="000000"/>
              </w:rPr>
              <w:t xml:space="preserve">節 </w:t>
            </w:r>
            <w:r w:rsidRPr="00B54CE2">
              <w:rPr>
                <w:rFonts w:hint="eastAsia"/>
              </w:rPr>
              <w:t>婚姻與婚姻教育</w:t>
            </w:r>
            <w:r>
              <w:rPr>
                <w:rFonts w:hint="eastAsia"/>
              </w:rPr>
              <w:t>的發展中</w:t>
            </w:r>
            <w:r>
              <w:rPr>
                <w:rFonts w:hint="eastAsia"/>
              </w:rPr>
              <w:t>「</w:t>
            </w:r>
            <w:r>
              <w:rPr>
                <w:rFonts w:hint="eastAsia"/>
              </w:rPr>
              <w:t>婚姻關係的形成、維繫及結束的理論基礎</w:t>
            </w:r>
            <w:r>
              <w:rPr>
                <w:rFonts w:hint="eastAsia"/>
              </w:rPr>
              <w:t>」</w:t>
            </w:r>
          </w:p>
          <w:p w:rsidR="00047CA6" w:rsidRPr="00932FE9" w:rsidRDefault="00047CA6" w:rsidP="00047CA6">
            <w:pPr>
              <w:pStyle w:val="ac"/>
              <w:spacing w:before="149" w:line="254" w:lineRule="auto"/>
              <w:ind w:right="444" w:firstLineChars="200" w:firstLine="480"/>
              <w:jc w:val="both"/>
              <w:rPr>
                <w:rFonts w:ascii="新細明體" w:eastAsia="新細明體" w:hAnsi="新細明體" w:cs="新細明體"/>
                <w:sz w:val="24"/>
                <w:szCs w:val="24"/>
                <w:lang w:eastAsia="zh-TW"/>
              </w:rPr>
            </w:pPr>
            <w:r w:rsidRPr="00932FE9">
              <w:rPr>
                <w:rFonts w:ascii="新細明體" w:eastAsia="新細明體" w:hAnsi="新細明體" w:cs="新細明體" w:hint="eastAsia"/>
                <w:sz w:val="24"/>
                <w:szCs w:val="24"/>
                <w:lang w:eastAsia="zh-TW"/>
              </w:rPr>
              <w:t>擇偶根據</w:t>
            </w:r>
            <w:r w:rsidRPr="00932FE9">
              <w:rPr>
                <w:rFonts w:ascii="新細明體" w:eastAsia="新細明體" w:hAnsi="新細明體" w:cs="新細明體"/>
                <w:sz w:val="24"/>
                <w:szCs w:val="24"/>
                <w:lang w:eastAsia="zh-TW"/>
              </w:rPr>
              <w:t xml:space="preserve"> Cate &amp; Lloyd (1988) </w:t>
            </w:r>
            <w:r w:rsidRPr="00932FE9">
              <w:rPr>
                <w:rFonts w:ascii="新細明體" w:eastAsia="新細明體" w:hAnsi="新細明體" w:cs="新細明體" w:hint="eastAsia"/>
                <w:sz w:val="24"/>
                <w:szCs w:val="24"/>
                <w:lang w:eastAsia="zh-TW"/>
              </w:rPr>
              <w:t>的研究，婚姻關係建立理論歸為三類：相容模式、社會交換模式、人際互動模式。相容模式包含了互補、相似及結果過濾三種理論，此模式強調婚前關係中兩個人的個性、價值、社會人口變項一致的重要性</w:t>
            </w:r>
            <w:r>
              <w:rPr>
                <w:rFonts w:ascii="新細明體" w:eastAsia="新細明體" w:hAnsi="新細明體" w:cs="新細明體" w:hint="eastAsia"/>
                <w:sz w:val="24"/>
                <w:szCs w:val="24"/>
                <w:lang w:eastAsia="zh-TW"/>
              </w:rPr>
              <w:t>，兩個人的社經地位愈相近、人生價值愈相似等有助於兩個人發展成伴侶關係</w:t>
            </w:r>
            <w:r w:rsidRPr="00932FE9">
              <w:rPr>
                <w:rFonts w:ascii="新細明體" w:eastAsia="新細明體" w:hAnsi="新細明體" w:cs="新細明體" w:hint="eastAsia"/>
                <w:sz w:val="24"/>
                <w:szCs w:val="24"/>
                <w:lang w:eastAsia="zh-TW"/>
              </w:rPr>
              <w:t>。社會交換模式強調兩人關係之所以得以發展是由於雙方對彼此交換的報償感到滿意。人際互動理論</w:t>
            </w:r>
            <w:r>
              <w:rPr>
                <w:rFonts w:ascii="新細明體" w:eastAsia="新細明體" w:hAnsi="新細明體" w:cs="新細明體" w:hint="eastAsia"/>
                <w:sz w:val="24"/>
                <w:szCs w:val="24"/>
                <w:lang w:eastAsia="zh-TW"/>
              </w:rPr>
              <w:t>主張兩個人互動觀感才是關係形成的最主要因素，它</w:t>
            </w:r>
            <w:r w:rsidRPr="00932FE9">
              <w:rPr>
                <w:rFonts w:ascii="新細明體" w:eastAsia="新細明體" w:hAnsi="新細明體" w:cs="新細明體" w:hint="eastAsia"/>
                <w:sz w:val="24"/>
                <w:szCs w:val="24"/>
                <w:lang w:eastAsia="zh-TW"/>
              </w:rPr>
              <w:t>融合了前兩</w:t>
            </w:r>
            <w:proofErr w:type="gramStart"/>
            <w:r w:rsidRPr="00932FE9">
              <w:rPr>
                <w:rFonts w:ascii="新細明體" w:eastAsia="新細明體" w:hAnsi="新細明體" w:cs="新細明體" w:hint="eastAsia"/>
                <w:sz w:val="24"/>
                <w:szCs w:val="24"/>
                <w:lang w:eastAsia="zh-TW"/>
              </w:rPr>
              <w:t>個</w:t>
            </w:r>
            <w:proofErr w:type="gramEnd"/>
            <w:r w:rsidRPr="00932FE9">
              <w:rPr>
                <w:rFonts w:ascii="新細明體" w:eastAsia="新細明體" w:hAnsi="新細明體" w:cs="新細明體" w:hint="eastAsia"/>
                <w:sz w:val="24"/>
                <w:szCs w:val="24"/>
                <w:lang w:eastAsia="zh-TW"/>
              </w:rPr>
              <w:t>理論觀點，認為「一致」與「交換報償」等靜態指標都是擇偶的重要因素，但更強調兩人關係發展過程中的互動性。</w:t>
            </w:r>
          </w:p>
          <w:p w:rsidR="00047CA6" w:rsidRPr="00047CA6" w:rsidRDefault="00047CA6" w:rsidP="00504A45">
            <w:pPr>
              <w:rPr>
                <w:rFonts w:hint="eastAsia"/>
              </w:rPr>
            </w:pPr>
          </w:p>
        </w:tc>
      </w:tr>
      <w:tr w:rsidR="00504A45" w:rsidRPr="007F5325" w:rsidTr="002715B3">
        <w:tblPrEx>
          <w:tblCellMar>
            <w:left w:w="108" w:type="dxa"/>
            <w:right w:w="108" w:type="dxa"/>
          </w:tblCellMar>
          <w:tblLook w:val="01E0" w:firstRow="1" w:lastRow="1" w:firstColumn="1" w:lastColumn="1" w:noHBand="0" w:noVBand="0"/>
        </w:tblPrEx>
        <w:trPr>
          <w:trHeight w:val="406"/>
        </w:trPr>
        <w:tc>
          <w:tcPr>
            <w:tcW w:w="977" w:type="dxa"/>
            <w:vAlign w:val="center"/>
          </w:tcPr>
          <w:p w:rsidR="00504A45" w:rsidRPr="007F5325" w:rsidRDefault="00764B85" w:rsidP="009B263F">
            <w:pPr>
              <w:spacing w:beforeLines="25" w:before="90" w:afterLines="25" w:after="90"/>
              <w:jc w:val="center"/>
              <w:rPr>
                <w:rFonts w:ascii="Garamond" w:eastAsia="標楷體" w:hAnsi="Garamond"/>
              </w:rPr>
            </w:pPr>
            <w:r>
              <w:rPr>
                <w:rFonts w:ascii="Garamond" w:eastAsia="標楷體" w:hAnsi="Garamond"/>
              </w:rPr>
              <w:t>X</w:t>
            </w:r>
            <w:bookmarkStart w:id="0" w:name="_GoBack"/>
            <w:bookmarkEnd w:id="0"/>
          </w:p>
        </w:tc>
        <w:tc>
          <w:tcPr>
            <w:tcW w:w="540" w:type="dxa"/>
          </w:tcPr>
          <w:p w:rsidR="00504A45" w:rsidRPr="007F5325" w:rsidRDefault="002A6167" w:rsidP="009B263F">
            <w:pPr>
              <w:spacing w:beforeLines="25" w:before="90" w:afterLines="25" w:after="90"/>
              <w:ind w:left="360" w:hangingChars="150" w:hanging="360"/>
              <w:jc w:val="center"/>
              <w:rPr>
                <w:rFonts w:ascii="新細明體" w:hAnsi="新細明體"/>
                <w:b/>
              </w:rPr>
            </w:pPr>
            <w:r>
              <w:rPr>
                <w:rFonts w:ascii="新細明體" w:hAnsi="新細明體" w:hint="eastAsia"/>
                <w:b/>
              </w:rPr>
              <w:t>4</w:t>
            </w:r>
          </w:p>
        </w:tc>
        <w:tc>
          <w:tcPr>
            <w:tcW w:w="7555" w:type="dxa"/>
            <w:gridSpan w:val="5"/>
          </w:tcPr>
          <w:p w:rsidR="00504A45" w:rsidRPr="007F5325" w:rsidRDefault="00764B85" w:rsidP="009B263F">
            <w:pPr>
              <w:spacing w:beforeLines="25" w:before="90" w:afterLines="25" w:after="90"/>
              <w:rPr>
                <w:rFonts w:ascii="標楷體" w:eastAsia="標楷體" w:hAnsi="標楷體"/>
                <w:b/>
              </w:rPr>
            </w:pPr>
            <w:r w:rsidRPr="001C2090">
              <w:rPr>
                <w:rFonts w:ascii="Droid Serif" w:hAnsi="Droid Serif" w:cs="新細明體"/>
                <w:bCs/>
                <w:color w:val="333333"/>
              </w:rPr>
              <w:t>PREPARE / ENRICH</w:t>
            </w:r>
            <w:r w:rsidR="00D614B3" w:rsidRPr="00077D10">
              <w:rPr>
                <w:rFonts w:asciiTheme="majorEastAsia" w:eastAsiaTheme="majorEastAsia" w:hAnsiTheme="majorEastAsia" w:cs="SimSun"/>
                <w:spacing w:val="-4"/>
              </w:rPr>
              <w:t>婚姻教育方案</w:t>
            </w:r>
            <w:r w:rsidR="00D614B3">
              <w:rPr>
                <w:rFonts w:asciiTheme="majorEastAsia" w:eastAsiaTheme="majorEastAsia" w:hAnsiTheme="majorEastAsia" w:cs="SimSun" w:hint="eastAsia"/>
                <w:spacing w:val="-4"/>
              </w:rPr>
              <w:t>是</w:t>
            </w:r>
            <w:proofErr w:type="gramStart"/>
            <w:r w:rsidR="00D614B3" w:rsidRPr="00077D10">
              <w:rPr>
                <w:rFonts w:asciiTheme="majorEastAsia" w:eastAsiaTheme="majorEastAsia" w:hAnsiTheme="majorEastAsia" w:cs="SimSun"/>
                <w:spacing w:val="-4"/>
              </w:rPr>
              <w:t>採</w:t>
            </w:r>
            <w:proofErr w:type="gramEnd"/>
            <w:r w:rsidR="00D614B3" w:rsidRPr="00077D10">
              <w:rPr>
                <w:rFonts w:asciiTheme="majorEastAsia" w:eastAsiaTheme="majorEastAsia" w:hAnsiTheme="majorEastAsia" w:cs="SimSun"/>
                <w:spacing w:val="-4"/>
              </w:rPr>
              <w:t>認知</w:t>
            </w:r>
            <w:proofErr w:type="gramStart"/>
            <w:r w:rsidR="00D614B3" w:rsidRPr="00077D10">
              <w:rPr>
                <w:rFonts w:asciiTheme="majorEastAsia" w:eastAsiaTheme="majorEastAsia" w:hAnsiTheme="majorEastAsia" w:cs="SimSun"/>
                <w:spacing w:val="-4"/>
              </w:rPr>
              <w:t>─</w:t>
            </w:r>
            <w:proofErr w:type="gramEnd"/>
            <w:r w:rsidR="00D614B3" w:rsidRPr="00077D10">
              <w:rPr>
                <w:rFonts w:asciiTheme="majorEastAsia" w:eastAsiaTheme="majorEastAsia" w:hAnsiTheme="majorEastAsia" w:cs="SimSun"/>
                <w:spacing w:val="-4"/>
              </w:rPr>
              <w:t>行</w:t>
            </w:r>
            <w:r w:rsidR="00D614B3" w:rsidRPr="00077D10">
              <w:rPr>
                <w:rFonts w:asciiTheme="majorEastAsia" w:eastAsiaTheme="majorEastAsia" w:hAnsiTheme="majorEastAsia" w:cs="SimSun"/>
              </w:rPr>
              <w:t>為策略，看重技巧訓練</w:t>
            </w:r>
            <w:r w:rsidR="00D614B3">
              <w:rPr>
                <w:rFonts w:asciiTheme="majorEastAsia" w:eastAsiaTheme="majorEastAsia" w:hAnsiTheme="majorEastAsia" w:cs="SimSun" w:hint="eastAsia"/>
              </w:rPr>
              <w:t>，</w:t>
            </w:r>
            <w:r w:rsidR="00D614B3" w:rsidRPr="00077D10">
              <w:rPr>
                <w:rFonts w:asciiTheme="majorEastAsia" w:eastAsiaTheme="majorEastAsia" w:hAnsiTheme="majorEastAsia" w:cs="SimSun" w:hint="eastAsia"/>
              </w:rPr>
              <w:t>透過</w:t>
            </w:r>
            <w:r w:rsidR="00D614B3" w:rsidRPr="00077D10">
              <w:rPr>
                <w:rFonts w:asciiTheme="majorEastAsia" w:eastAsiaTheme="majorEastAsia" w:hAnsiTheme="majorEastAsia" w:cs="SimSun"/>
              </w:rPr>
              <w:t>降低關係中的</w:t>
            </w:r>
            <w:r w:rsidR="00D614B3" w:rsidRPr="00077D10">
              <w:rPr>
                <w:rFonts w:asciiTheme="majorEastAsia" w:eastAsiaTheme="majorEastAsia" w:hAnsiTheme="majorEastAsia" w:cs="SimSun"/>
                <w:spacing w:val="-3"/>
              </w:rPr>
              <w:t>危險因</w:t>
            </w:r>
            <w:r w:rsidR="00D614B3" w:rsidRPr="00077D10">
              <w:rPr>
                <w:rFonts w:asciiTheme="majorEastAsia" w:eastAsiaTheme="majorEastAsia" w:hAnsiTheme="majorEastAsia" w:cs="SimSun" w:hint="eastAsia"/>
                <w:spacing w:val="-3"/>
              </w:rPr>
              <w:t>子</w:t>
            </w:r>
            <w:r w:rsidR="00D614B3" w:rsidRPr="00077D10">
              <w:rPr>
                <w:rFonts w:asciiTheme="majorEastAsia" w:eastAsiaTheme="majorEastAsia" w:hAnsiTheme="majorEastAsia" w:cs="SimSun"/>
                <w:spacing w:val="-3"/>
              </w:rPr>
              <w:t>，</w:t>
            </w:r>
            <w:r w:rsidR="00D614B3" w:rsidRPr="00077D10">
              <w:rPr>
                <w:rFonts w:asciiTheme="majorEastAsia" w:eastAsiaTheme="majorEastAsia" w:hAnsiTheme="majorEastAsia" w:cs="SimSun" w:hint="eastAsia"/>
                <w:spacing w:val="-3"/>
              </w:rPr>
              <w:t>及</w:t>
            </w:r>
            <w:r w:rsidR="00D614B3" w:rsidRPr="00077D10">
              <w:rPr>
                <w:rFonts w:asciiTheme="majorEastAsia" w:eastAsiaTheme="majorEastAsia" w:hAnsiTheme="majorEastAsia" w:cs="SimSun"/>
                <w:spacing w:val="-3"/>
              </w:rPr>
              <w:t>提升保護因</w:t>
            </w:r>
            <w:r w:rsidR="00D614B3" w:rsidRPr="00077D10">
              <w:rPr>
                <w:rFonts w:asciiTheme="majorEastAsia" w:eastAsiaTheme="majorEastAsia" w:hAnsiTheme="majorEastAsia" w:cs="SimSun" w:hint="eastAsia"/>
                <w:spacing w:val="-3"/>
              </w:rPr>
              <w:t>子</w:t>
            </w:r>
            <w:r w:rsidR="00D614B3" w:rsidRPr="00077D10">
              <w:rPr>
                <w:rFonts w:asciiTheme="majorEastAsia" w:eastAsiaTheme="majorEastAsia" w:hAnsiTheme="majorEastAsia" w:cs="SimSun" w:hint="eastAsia"/>
                <w:spacing w:val="-8"/>
              </w:rPr>
              <w:t>來幫助夫妻建立快樂且健康的婚姻。</w:t>
            </w:r>
          </w:p>
        </w:tc>
        <w:tc>
          <w:tcPr>
            <w:tcW w:w="5354" w:type="dxa"/>
            <w:gridSpan w:val="4"/>
          </w:tcPr>
          <w:p w:rsidR="00D614B3" w:rsidRDefault="00D614B3" w:rsidP="00D614B3">
            <w:pPr>
              <w:rPr>
                <w:rFonts w:ascii="Helvetica" w:hAnsi="Helvetica" w:cs="Helvetica"/>
                <w:color w:val="3F3F3F"/>
              </w:rPr>
            </w:pPr>
            <w:r w:rsidRPr="002715B3">
              <w:rPr>
                <w:rFonts w:ascii="新細明體" w:hAnsi="新細明體" w:hint="eastAsia"/>
                <w:noProof/>
                <w:color w:val="000000"/>
              </w:rPr>
              <w:t>建議再閱讀</w:t>
            </w:r>
            <w:r>
              <w:rPr>
                <w:rFonts w:ascii="新細明體" w:hAnsi="新細明體" w:hint="eastAsia"/>
                <w:noProof/>
                <w:color w:val="000000"/>
              </w:rPr>
              <w:t>第</w:t>
            </w:r>
            <w:r>
              <w:rPr>
                <w:rFonts w:ascii="新細明體" w:hAnsi="新細明體"/>
                <w:noProof/>
                <w:color w:val="000000"/>
              </w:rPr>
              <w:t>3</w:t>
            </w:r>
            <w:r>
              <w:rPr>
                <w:rFonts w:ascii="新細明體" w:hAnsi="新細明體"/>
                <w:noProof/>
                <w:color w:val="000000"/>
              </w:rPr>
              <w:t xml:space="preserve"> </w:t>
            </w:r>
            <w:r>
              <w:rPr>
                <w:rFonts w:ascii="新細明體" w:hAnsi="新細明體" w:hint="eastAsia"/>
                <w:noProof/>
                <w:color w:val="000000"/>
              </w:rPr>
              <w:t>節</w:t>
            </w:r>
            <w:r>
              <w:rPr>
                <w:rFonts w:ascii="SimSun" w:eastAsia="SimSun" w:hAnsi="SimSun" w:cs="SimSun" w:hint="eastAsia"/>
                <w:color w:val="000000"/>
                <w:spacing w:val="-3"/>
                <w:sz w:val="26"/>
                <w:szCs w:val="26"/>
              </w:rPr>
              <w:t>婚姻教育</w:t>
            </w:r>
            <w:r>
              <w:rPr>
                <w:rFonts w:asciiTheme="minorEastAsia" w:hAnsiTheme="minorEastAsia" w:cs="SimSun" w:hint="eastAsia"/>
                <w:color w:val="000000"/>
                <w:spacing w:val="-3"/>
                <w:sz w:val="26"/>
                <w:szCs w:val="26"/>
              </w:rPr>
              <w:t>的</w:t>
            </w:r>
            <w:r w:rsidRPr="008B1C92">
              <w:rPr>
                <w:rFonts w:asciiTheme="minorEastAsia" w:hAnsiTheme="minorEastAsia" w:cs="SimSun" w:hint="eastAsia"/>
                <w:spacing w:val="-3"/>
                <w:sz w:val="26"/>
                <w:szCs w:val="26"/>
              </w:rPr>
              <w:t>檢測量表與教育方案</w:t>
            </w:r>
            <w:r>
              <w:rPr>
                <w:rFonts w:asciiTheme="minorEastAsia" w:hAnsiTheme="minorEastAsia" w:cs="SimSun" w:hint="eastAsia"/>
                <w:spacing w:val="-3"/>
                <w:sz w:val="26"/>
                <w:szCs w:val="26"/>
              </w:rPr>
              <w:t>中「</w:t>
            </w:r>
            <w:r w:rsidRPr="001C2090">
              <w:rPr>
                <w:rFonts w:ascii="Helvetica" w:hAnsi="Helvetica" w:cs="Helvetica" w:hint="eastAsia"/>
                <w:color w:val="3F3F3F"/>
              </w:rPr>
              <w:t>婚姻教育方案</w:t>
            </w:r>
            <w:r>
              <w:rPr>
                <w:rFonts w:ascii="Helvetica" w:hAnsi="Helvetica" w:cs="Helvetica" w:hint="eastAsia"/>
                <w:color w:val="3F3F3F"/>
              </w:rPr>
              <w:t>」</w:t>
            </w:r>
          </w:p>
          <w:p w:rsidR="00D614B3" w:rsidRDefault="00D614B3" w:rsidP="00D614B3">
            <w:pPr>
              <w:rPr>
                <w:rFonts w:asciiTheme="minorEastAsia" w:hAnsiTheme="minorEastAsia" w:cs="SimSun" w:hint="eastAsia"/>
                <w:color w:val="FF0000"/>
                <w:spacing w:val="-3"/>
                <w:sz w:val="26"/>
                <w:szCs w:val="26"/>
              </w:rPr>
            </w:pPr>
            <w:r w:rsidRPr="00077D10">
              <w:rPr>
                <w:rFonts w:asciiTheme="majorEastAsia" w:eastAsiaTheme="majorEastAsia" w:hAnsiTheme="majorEastAsia"/>
              </w:rPr>
              <w:t>PREP</w:t>
            </w:r>
            <w:r w:rsidRPr="00077D10">
              <w:rPr>
                <w:rFonts w:asciiTheme="majorEastAsia" w:eastAsiaTheme="majorEastAsia" w:hAnsiTheme="majorEastAsia"/>
                <w:spacing w:val="-7"/>
              </w:rPr>
              <w:t xml:space="preserve"> </w:t>
            </w:r>
            <w:r w:rsidRPr="00077D10">
              <w:rPr>
                <w:rFonts w:asciiTheme="majorEastAsia" w:eastAsiaTheme="majorEastAsia" w:hAnsiTheme="majorEastAsia" w:cs="SimSun"/>
              </w:rPr>
              <w:t>全名為</w:t>
            </w:r>
            <w:r w:rsidRPr="00077D10">
              <w:rPr>
                <w:rFonts w:asciiTheme="majorEastAsia" w:eastAsiaTheme="majorEastAsia" w:hAnsiTheme="majorEastAsia" w:cs="SimSun"/>
                <w:spacing w:val="-15"/>
              </w:rPr>
              <w:t xml:space="preserve"> </w:t>
            </w:r>
            <w:r w:rsidRPr="00077D10">
              <w:rPr>
                <w:rFonts w:asciiTheme="majorEastAsia" w:eastAsiaTheme="majorEastAsia" w:hAnsiTheme="majorEastAsia"/>
              </w:rPr>
              <w:t>Prevention</w:t>
            </w:r>
            <w:r w:rsidRPr="00077D10">
              <w:rPr>
                <w:rFonts w:asciiTheme="majorEastAsia" w:eastAsiaTheme="majorEastAsia" w:hAnsiTheme="majorEastAsia"/>
                <w:spacing w:val="-7"/>
              </w:rPr>
              <w:t xml:space="preserve"> </w:t>
            </w:r>
            <w:r w:rsidRPr="00077D10">
              <w:rPr>
                <w:rFonts w:asciiTheme="majorEastAsia" w:eastAsiaTheme="majorEastAsia" w:hAnsiTheme="majorEastAsia"/>
              </w:rPr>
              <w:t>and</w:t>
            </w:r>
            <w:r w:rsidRPr="00077D10">
              <w:rPr>
                <w:rFonts w:asciiTheme="majorEastAsia" w:eastAsiaTheme="majorEastAsia" w:hAnsiTheme="majorEastAsia"/>
                <w:spacing w:val="-8"/>
              </w:rPr>
              <w:t xml:space="preserve"> </w:t>
            </w:r>
            <w:r w:rsidRPr="00077D10">
              <w:rPr>
                <w:rFonts w:asciiTheme="majorEastAsia" w:eastAsiaTheme="majorEastAsia" w:hAnsiTheme="majorEastAsia"/>
              </w:rPr>
              <w:t>Relationship</w:t>
            </w:r>
            <w:r w:rsidRPr="00077D10">
              <w:rPr>
                <w:rFonts w:asciiTheme="majorEastAsia" w:eastAsiaTheme="majorEastAsia" w:hAnsiTheme="majorEastAsia"/>
                <w:spacing w:val="-7"/>
              </w:rPr>
              <w:t xml:space="preserve"> </w:t>
            </w:r>
            <w:r w:rsidRPr="00077D10">
              <w:rPr>
                <w:rFonts w:asciiTheme="majorEastAsia" w:eastAsiaTheme="majorEastAsia" w:hAnsiTheme="majorEastAsia"/>
              </w:rPr>
              <w:t>Enhancement</w:t>
            </w:r>
            <w:r w:rsidRPr="00077D10">
              <w:rPr>
                <w:rFonts w:asciiTheme="majorEastAsia" w:eastAsiaTheme="majorEastAsia" w:hAnsiTheme="majorEastAsia"/>
                <w:spacing w:val="-9"/>
              </w:rPr>
              <w:t xml:space="preserve"> </w:t>
            </w:r>
            <w:r w:rsidRPr="00077D10">
              <w:rPr>
                <w:rFonts w:asciiTheme="majorEastAsia" w:eastAsiaTheme="majorEastAsia" w:hAnsiTheme="majorEastAsia"/>
              </w:rPr>
              <w:t>Program(</w:t>
            </w:r>
            <w:r w:rsidRPr="00077D10">
              <w:rPr>
                <w:rFonts w:asciiTheme="majorEastAsia" w:eastAsiaTheme="majorEastAsia" w:hAnsiTheme="majorEastAsia" w:hint="eastAsia"/>
              </w:rPr>
              <w:t>以下簡稱P</w:t>
            </w:r>
            <w:r w:rsidRPr="00077D10">
              <w:rPr>
                <w:rFonts w:asciiTheme="majorEastAsia" w:eastAsiaTheme="majorEastAsia" w:hAnsiTheme="majorEastAsia"/>
              </w:rPr>
              <w:t>REP)</w:t>
            </w:r>
            <w:r w:rsidRPr="00077D10">
              <w:rPr>
                <w:rFonts w:asciiTheme="majorEastAsia" w:eastAsiaTheme="majorEastAsia" w:hAnsiTheme="majorEastAsia" w:cs="SimSun"/>
              </w:rPr>
              <w:t>，是由</w:t>
            </w:r>
            <w:proofErr w:type="gramStart"/>
            <w:r w:rsidRPr="00077D10">
              <w:rPr>
                <w:rFonts w:asciiTheme="majorEastAsia" w:eastAsiaTheme="majorEastAsia" w:hAnsiTheme="majorEastAsia" w:cs="SimSun" w:hint="eastAsia"/>
              </w:rPr>
              <w:t>1</w:t>
            </w:r>
            <w:r w:rsidRPr="00077D10">
              <w:rPr>
                <w:rFonts w:asciiTheme="majorEastAsia" w:eastAsiaTheme="majorEastAsia" w:hAnsiTheme="majorEastAsia" w:cs="SimSun"/>
              </w:rPr>
              <w:t>990</w:t>
            </w:r>
            <w:proofErr w:type="gramEnd"/>
            <w:r w:rsidRPr="00077D10">
              <w:rPr>
                <w:rFonts w:asciiTheme="majorEastAsia" w:eastAsiaTheme="majorEastAsia" w:hAnsiTheme="majorEastAsia" w:cs="SimSun" w:hint="eastAsia"/>
              </w:rPr>
              <w:t>年代初期由</w:t>
            </w:r>
            <w:r w:rsidRPr="00077D10">
              <w:rPr>
                <w:rFonts w:asciiTheme="majorEastAsia" w:eastAsiaTheme="majorEastAsia" w:hAnsiTheme="majorEastAsia" w:cs="SimSun"/>
              </w:rPr>
              <w:t>美</w:t>
            </w:r>
            <w:r w:rsidRPr="00077D10">
              <w:rPr>
                <w:rFonts w:asciiTheme="majorEastAsia" w:eastAsiaTheme="majorEastAsia" w:hAnsiTheme="majorEastAsia" w:cs="SimSun"/>
                <w:spacing w:val="-4"/>
              </w:rPr>
              <w:t>國丹佛大學</w:t>
            </w:r>
            <w:r w:rsidRPr="00077D10">
              <w:rPr>
                <w:rFonts w:asciiTheme="majorEastAsia" w:eastAsiaTheme="majorEastAsia" w:hAnsiTheme="majorEastAsia" w:cs="SimSun"/>
              </w:rPr>
              <w:t xml:space="preserve"> </w:t>
            </w:r>
            <w:r w:rsidRPr="00077D10">
              <w:rPr>
                <w:rFonts w:asciiTheme="majorEastAsia" w:eastAsiaTheme="majorEastAsia" w:hAnsiTheme="majorEastAsia"/>
                <w:spacing w:val="-1"/>
              </w:rPr>
              <w:t>Howard</w:t>
            </w:r>
            <w:r w:rsidRPr="00077D10">
              <w:rPr>
                <w:rFonts w:asciiTheme="majorEastAsia" w:eastAsiaTheme="majorEastAsia" w:hAnsiTheme="majorEastAsia"/>
                <w:spacing w:val="2"/>
              </w:rPr>
              <w:t xml:space="preserve"> </w:t>
            </w:r>
            <w:r w:rsidRPr="00077D10">
              <w:rPr>
                <w:rFonts w:asciiTheme="majorEastAsia" w:eastAsiaTheme="majorEastAsia" w:hAnsiTheme="majorEastAsia"/>
                <w:spacing w:val="-2"/>
              </w:rPr>
              <w:t>Markman</w:t>
            </w:r>
            <w:r w:rsidRPr="00077D10">
              <w:rPr>
                <w:rFonts w:asciiTheme="majorEastAsia" w:eastAsiaTheme="majorEastAsia" w:hAnsiTheme="majorEastAsia"/>
              </w:rPr>
              <w:t xml:space="preserve"> </w:t>
            </w:r>
            <w:r w:rsidRPr="00077D10">
              <w:rPr>
                <w:rFonts w:asciiTheme="majorEastAsia" w:eastAsiaTheme="majorEastAsia" w:hAnsiTheme="majorEastAsia" w:cs="SimSun"/>
                <w:spacing w:val="-4"/>
              </w:rPr>
              <w:t>博士所帶領</w:t>
            </w:r>
            <w:r w:rsidRPr="00077D10">
              <w:rPr>
                <w:rFonts w:asciiTheme="majorEastAsia" w:eastAsiaTheme="majorEastAsia" w:hAnsiTheme="majorEastAsia" w:cs="SimSun" w:hint="eastAsia"/>
                <w:spacing w:val="-4"/>
              </w:rPr>
              <w:t>研究團隊，依實證</w:t>
            </w:r>
            <w:proofErr w:type="gramStart"/>
            <w:r w:rsidRPr="00077D10">
              <w:rPr>
                <w:rFonts w:asciiTheme="majorEastAsia" w:eastAsiaTheme="majorEastAsia" w:hAnsiTheme="majorEastAsia" w:cs="SimSun" w:hint="eastAsia"/>
                <w:spacing w:val="-4"/>
              </w:rPr>
              <w:t>研</w:t>
            </w:r>
            <w:proofErr w:type="gramEnd"/>
            <w:r w:rsidRPr="00077D10">
              <w:rPr>
                <w:rFonts w:asciiTheme="majorEastAsia" w:eastAsiaTheme="majorEastAsia" w:hAnsiTheme="majorEastAsia" w:cs="SimSun" w:hint="eastAsia"/>
                <w:spacing w:val="-4"/>
              </w:rPr>
              <w:t>結果所發展的</w:t>
            </w:r>
            <w:r w:rsidRPr="00077D10">
              <w:rPr>
                <w:rFonts w:asciiTheme="majorEastAsia" w:eastAsiaTheme="majorEastAsia" w:hAnsiTheme="majorEastAsia" w:cs="SimSun"/>
                <w:spacing w:val="-4"/>
              </w:rPr>
              <w:t>婚姻教育方案，</w:t>
            </w:r>
            <w:proofErr w:type="gramStart"/>
            <w:r w:rsidRPr="00077D10">
              <w:rPr>
                <w:rFonts w:asciiTheme="majorEastAsia" w:eastAsiaTheme="majorEastAsia" w:hAnsiTheme="majorEastAsia" w:cs="SimSun"/>
                <w:spacing w:val="-4"/>
              </w:rPr>
              <w:t>採</w:t>
            </w:r>
            <w:proofErr w:type="gramEnd"/>
            <w:r w:rsidRPr="00077D10">
              <w:rPr>
                <w:rFonts w:asciiTheme="majorEastAsia" w:eastAsiaTheme="majorEastAsia" w:hAnsiTheme="majorEastAsia" w:cs="SimSun"/>
                <w:spacing w:val="-4"/>
              </w:rPr>
              <w:t>認知</w:t>
            </w:r>
            <w:proofErr w:type="gramStart"/>
            <w:r w:rsidRPr="00077D10">
              <w:rPr>
                <w:rFonts w:asciiTheme="majorEastAsia" w:eastAsiaTheme="majorEastAsia" w:hAnsiTheme="majorEastAsia" w:cs="SimSun"/>
                <w:spacing w:val="-4"/>
              </w:rPr>
              <w:t>─</w:t>
            </w:r>
            <w:proofErr w:type="gramEnd"/>
            <w:r w:rsidRPr="00077D10">
              <w:rPr>
                <w:rFonts w:asciiTheme="majorEastAsia" w:eastAsiaTheme="majorEastAsia" w:hAnsiTheme="majorEastAsia" w:cs="SimSun"/>
                <w:spacing w:val="-4"/>
              </w:rPr>
              <w:t>行</w:t>
            </w:r>
            <w:r w:rsidRPr="00077D10">
              <w:rPr>
                <w:rFonts w:asciiTheme="majorEastAsia" w:eastAsiaTheme="majorEastAsia" w:hAnsiTheme="majorEastAsia" w:cs="SimSun"/>
              </w:rPr>
              <w:t>為策略，看重技巧訓練（</w:t>
            </w:r>
            <w:r w:rsidRPr="00077D10">
              <w:rPr>
                <w:rFonts w:asciiTheme="majorEastAsia" w:eastAsiaTheme="majorEastAsia" w:hAnsiTheme="majorEastAsia"/>
              </w:rPr>
              <w:t>Silliman &amp; Schumm,</w:t>
            </w:r>
            <w:r w:rsidRPr="00077D10">
              <w:rPr>
                <w:rFonts w:asciiTheme="majorEastAsia" w:eastAsiaTheme="majorEastAsia" w:hAnsiTheme="majorEastAsia"/>
                <w:spacing w:val="-19"/>
              </w:rPr>
              <w:t xml:space="preserve"> </w:t>
            </w:r>
            <w:r w:rsidRPr="00077D10">
              <w:rPr>
                <w:rFonts w:asciiTheme="majorEastAsia" w:eastAsiaTheme="majorEastAsia" w:hAnsiTheme="majorEastAsia"/>
              </w:rPr>
              <w:t>2000</w:t>
            </w:r>
            <w:r w:rsidRPr="00077D10">
              <w:rPr>
                <w:rFonts w:asciiTheme="majorEastAsia" w:eastAsiaTheme="majorEastAsia" w:hAnsiTheme="majorEastAsia" w:cs="SimSun"/>
              </w:rPr>
              <w:t>）</w:t>
            </w:r>
            <w:r w:rsidRPr="00077D10">
              <w:rPr>
                <w:rFonts w:asciiTheme="majorEastAsia" w:eastAsiaTheme="majorEastAsia" w:hAnsiTheme="majorEastAsia" w:cs="SimSun" w:hint="eastAsia"/>
              </w:rPr>
              <w:t>。透過</w:t>
            </w:r>
            <w:r w:rsidRPr="00077D10">
              <w:rPr>
                <w:rFonts w:asciiTheme="majorEastAsia" w:eastAsiaTheme="majorEastAsia" w:hAnsiTheme="majorEastAsia" w:cs="SimSun"/>
              </w:rPr>
              <w:t>降低關係中的</w:t>
            </w:r>
            <w:r w:rsidRPr="00077D10">
              <w:rPr>
                <w:rFonts w:asciiTheme="majorEastAsia" w:eastAsiaTheme="majorEastAsia" w:hAnsiTheme="majorEastAsia" w:cs="SimSun"/>
                <w:spacing w:val="-3"/>
              </w:rPr>
              <w:t>危險因</w:t>
            </w:r>
            <w:r w:rsidRPr="00077D10">
              <w:rPr>
                <w:rFonts w:asciiTheme="majorEastAsia" w:eastAsiaTheme="majorEastAsia" w:hAnsiTheme="majorEastAsia" w:cs="SimSun" w:hint="eastAsia"/>
                <w:spacing w:val="-3"/>
              </w:rPr>
              <w:t>子</w:t>
            </w:r>
            <w:proofErr w:type="gramStart"/>
            <w:r w:rsidRPr="00077D10">
              <w:rPr>
                <w:rFonts w:asciiTheme="majorEastAsia" w:eastAsiaTheme="majorEastAsia" w:hAnsiTheme="majorEastAsia" w:cs="SimSun"/>
                <w:spacing w:val="-1"/>
              </w:rPr>
              <w:t>（</w:t>
            </w:r>
            <w:proofErr w:type="gramEnd"/>
            <w:r w:rsidRPr="00077D10">
              <w:rPr>
                <w:rFonts w:asciiTheme="majorEastAsia" w:eastAsiaTheme="majorEastAsia" w:hAnsiTheme="majorEastAsia" w:cs="SimSun"/>
                <w:spacing w:val="-3"/>
              </w:rPr>
              <w:t>如：溝通不良、衝突</w:t>
            </w:r>
            <w:r w:rsidRPr="00077D10">
              <w:rPr>
                <w:rFonts w:asciiTheme="majorEastAsia" w:eastAsiaTheme="majorEastAsia" w:hAnsiTheme="majorEastAsia" w:cs="SimSun" w:hint="eastAsia"/>
                <w:spacing w:val="-3"/>
              </w:rPr>
              <w:t>處理</w:t>
            </w:r>
            <w:proofErr w:type="gramStart"/>
            <w:r w:rsidRPr="00077D10">
              <w:rPr>
                <w:rFonts w:asciiTheme="majorEastAsia" w:eastAsiaTheme="majorEastAsia" w:hAnsiTheme="majorEastAsia" w:cs="SimSun"/>
              </w:rPr>
              <w:t>）</w:t>
            </w:r>
            <w:proofErr w:type="gramEnd"/>
            <w:r w:rsidRPr="00077D10">
              <w:rPr>
                <w:rFonts w:asciiTheme="majorEastAsia" w:eastAsiaTheme="majorEastAsia" w:hAnsiTheme="majorEastAsia" w:cs="SimSun"/>
                <w:spacing w:val="-3"/>
              </w:rPr>
              <w:t>，</w:t>
            </w:r>
            <w:r w:rsidRPr="00077D10">
              <w:rPr>
                <w:rFonts w:asciiTheme="majorEastAsia" w:eastAsiaTheme="majorEastAsia" w:hAnsiTheme="majorEastAsia" w:cs="SimSun" w:hint="eastAsia"/>
                <w:spacing w:val="-3"/>
              </w:rPr>
              <w:t>及</w:t>
            </w:r>
            <w:r w:rsidRPr="00077D10">
              <w:rPr>
                <w:rFonts w:asciiTheme="majorEastAsia" w:eastAsiaTheme="majorEastAsia" w:hAnsiTheme="majorEastAsia" w:cs="SimSun"/>
                <w:spacing w:val="-3"/>
              </w:rPr>
              <w:t>提升保護因</w:t>
            </w:r>
            <w:r w:rsidRPr="00077D10">
              <w:rPr>
                <w:rFonts w:asciiTheme="majorEastAsia" w:eastAsiaTheme="majorEastAsia" w:hAnsiTheme="majorEastAsia" w:cs="SimSun" w:hint="eastAsia"/>
                <w:spacing w:val="-3"/>
              </w:rPr>
              <w:t>子(</w:t>
            </w:r>
            <w:r w:rsidRPr="00077D10">
              <w:rPr>
                <w:rFonts w:asciiTheme="majorEastAsia" w:eastAsiaTheme="majorEastAsia" w:hAnsiTheme="majorEastAsia" w:cs="SimSun"/>
                <w:spacing w:val="-3"/>
              </w:rPr>
              <w:t>如：承諾、友誼</w:t>
            </w:r>
            <w:r w:rsidRPr="00077D10">
              <w:rPr>
                <w:rFonts w:asciiTheme="majorEastAsia" w:eastAsiaTheme="majorEastAsia" w:hAnsiTheme="majorEastAsia" w:cs="SimSun"/>
                <w:spacing w:val="-2"/>
              </w:rPr>
              <w:t>、親</w:t>
            </w:r>
            <w:r w:rsidRPr="00077D10">
              <w:rPr>
                <w:rFonts w:asciiTheme="majorEastAsia" w:eastAsiaTheme="majorEastAsia" w:hAnsiTheme="majorEastAsia" w:cs="SimSun"/>
                <w:spacing w:val="-9"/>
              </w:rPr>
              <w:t>密等</w:t>
            </w:r>
            <w:proofErr w:type="gramStart"/>
            <w:r w:rsidRPr="00077D10">
              <w:rPr>
                <w:rFonts w:asciiTheme="majorEastAsia" w:eastAsiaTheme="majorEastAsia" w:hAnsiTheme="majorEastAsia" w:cs="SimSun"/>
                <w:spacing w:val="-8"/>
              </w:rPr>
              <w:t>）</w:t>
            </w:r>
            <w:proofErr w:type="gramEnd"/>
            <w:r w:rsidRPr="00077D10">
              <w:rPr>
                <w:rFonts w:asciiTheme="majorEastAsia" w:eastAsiaTheme="majorEastAsia" w:hAnsiTheme="majorEastAsia" w:cs="SimSun" w:hint="eastAsia"/>
                <w:spacing w:val="-8"/>
              </w:rPr>
              <w:t>來幫助夫妻建立快樂且健康的婚姻。</w:t>
            </w:r>
            <w:r w:rsidRPr="00077D10">
              <w:rPr>
                <w:rFonts w:asciiTheme="majorEastAsia" w:eastAsiaTheme="majorEastAsia" w:hAnsiTheme="majorEastAsia" w:cs="SimSun"/>
                <w:spacing w:val="-9"/>
              </w:rPr>
              <w:t>（</w:t>
            </w:r>
            <w:r w:rsidRPr="00077D10">
              <w:rPr>
                <w:rFonts w:asciiTheme="majorEastAsia" w:eastAsiaTheme="majorEastAsia" w:hAnsiTheme="majorEastAsia"/>
                <w:spacing w:val="-4"/>
              </w:rPr>
              <w:t>Stanley,</w:t>
            </w:r>
            <w:r w:rsidRPr="00077D10">
              <w:rPr>
                <w:rFonts w:asciiTheme="majorEastAsia" w:eastAsiaTheme="majorEastAsia" w:hAnsiTheme="majorEastAsia"/>
                <w:spacing w:val="-2"/>
              </w:rPr>
              <w:t xml:space="preserve"> </w:t>
            </w:r>
            <w:r w:rsidRPr="00077D10">
              <w:rPr>
                <w:rFonts w:asciiTheme="majorEastAsia" w:eastAsiaTheme="majorEastAsia" w:hAnsiTheme="majorEastAsia"/>
                <w:spacing w:val="-4"/>
              </w:rPr>
              <w:t>Blumberg,</w:t>
            </w:r>
            <w:r w:rsidRPr="00077D10">
              <w:rPr>
                <w:rFonts w:asciiTheme="majorEastAsia" w:eastAsiaTheme="majorEastAsia" w:hAnsiTheme="majorEastAsia"/>
                <w:spacing w:val="-3"/>
              </w:rPr>
              <w:t xml:space="preserve"> </w:t>
            </w:r>
            <w:r w:rsidRPr="00077D10">
              <w:rPr>
                <w:rFonts w:asciiTheme="majorEastAsia" w:eastAsiaTheme="majorEastAsia" w:hAnsiTheme="majorEastAsia"/>
                <w:spacing w:val="-4"/>
              </w:rPr>
              <w:t>&amp;</w:t>
            </w:r>
            <w:r w:rsidRPr="00077D10">
              <w:rPr>
                <w:rFonts w:asciiTheme="majorEastAsia" w:eastAsiaTheme="majorEastAsia" w:hAnsiTheme="majorEastAsia"/>
                <w:spacing w:val="-2"/>
              </w:rPr>
              <w:t xml:space="preserve"> </w:t>
            </w:r>
            <w:r w:rsidRPr="00077D10">
              <w:rPr>
                <w:rFonts w:asciiTheme="majorEastAsia" w:eastAsiaTheme="majorEastAsia" w:hAnsiTheme="majorEastAsia"/>
                <w:spacing w:val="-5"/>
              </w:rPr>
              <w:t>Markman,</w:t>
            </w:r>
            <w:r w:rsidRPr="00077D10">
              <w:rPr>
                <w:rFonts w:asciiTheme="majorEastAsia" w:eastAsiaTheme="majorEastAsia" w:hAnsiTheme="majorEastAsia"/>
                <w:spacing w:val="-4"/>
              </w:rPr>
              <w:t xml:space="preserve"> </w:t>
            </w:r>
            <w:r w:rsidRPr="00077D10">
              <w:rPr>
                <w:rFonts w:asciiTheme="majorEastAsia" w:eastAsiaTheme="majorEastAsia" w:hAnsiTheme="majorEastAsia"/>
                <w:spacing w:val="-3"/>
              </w:rPr>
              <w:t>1999</w:t>
            </w:r>
            <w:r w:rsidRPr="00077D10">
              <w:rPr>
                <w:rFonts w:asciiTheme="majorEastAsia" w:eastAsiaTheme="majorEastAsia" w:hAnsiTheme="majorEastAsia" w:cs="SimSun"/>
                <w:spacing w:val="-10"/>
              </w:rPr>
              <w:t>）</w:t>
            </w:r>
            <w:r w:rsidRPr="00077D10">
              <w:rPr>
                <w:rFonts w:asciiTheme="majorEastAsia" w:eastAsiaTheme="majorEastAsia" w:hAnsiTheme="majorEastAsia" w:cs="SimSun"/>
                <w:spacing w:val="-9"/>
              </w:rPr>
              <w:t>。</w:t>
            </w:r>
          </w:p>
          <w:p w:rsidR="00504A45" w:rsidRPr="00D614B3" w:rsidRDefault="00504A45" w:rsidP="00504A45"/>
        </w:tc>
      </w:tr>
      <w:tr w:rsidR="00504A45" w:rsidRPr="007F5325" w:rsidTr="002715B3">
        <w:tblPrEx>
          <w:tblCellMar>
            <w:left w:w="108" w:type="dxa"/>
            <w:right w:w="108" w:type="dxa"/>
          </w:tblCellMar>
          <w:tblLook w:val="01E0" w:firstRow="1" w:lastRow="1" w:firstColumn="1" w:lastColumn="1" w:noHBand="0" w:noVBand="0"/>
        </w:tblPrEx>
        <w:trPr>
          <w:trHeight w:val="406"/>
        </w:trPr>
        <w:tc>
          <w:tcPr>
            <w:tcW w:w="977" w:type="dxa"/>
            <w:vAlign w:val="center"/>
          </w:tcPr>
          <w:p w:rsidR="00504A45" w:rsidRPr="007F5325" w:rsidRDefault="00D17C7B" w:rsidP="009B263F">
            <w:pPr>
              <w:spacing w:beforeLines="25" w:before="90" w:afterLines="25" w:after="90"/>
              <w:jc w:val="center"/>
              <w:rPr>
                <w:rFonts w:ascii="Garamond" w:eastAsia="標楷體" w:hAnsi="Garamond"/>
              </w:rPr>
            </w:pPr>
            <w:r>
              <w:rPr>
                <w:rFonts w:ascii="Garamond" w:eastAsia="標楷體" w:hAnsi="Garamond" w:hint="eastAsia"/>
              </w:rPr>
              <w:lastRenderedPageBreak/>
              <w:t>O</w:t>
            </w:r>
          </w:p>
        </w:tc>
        <w:tc>
          <w:tcPr>
            <w:tcW w:w="540" w:type="dxa"/>
          </w:tcPr>
          <w:p w:rsidR="00504A45" w:rsidRPr="007F5325" w:rsidRDefault="002A6167" w:rsidP="009B263F">
            <w:pPr>
              <w:spacing w:beforeLines="25" w:before="90" w:afterLines="25" w:after="90"/>
              <w:ind w:left="360" w:hangingChars="150" w:hanging="360"/>
              <w:jc w:val="center"/>
              <w:rPr>
                <w:rFonts w:ascii="新細明體" w:hAnsi="新細明體"/>
                <w:b/>
              </w:rPr>
            </w:pPr>
            <w:r>
              <w:rPr>
                <w:rFonts w:ascii="新細明體" w:hAnsi="新細明體" w:hint="eastAsia"/>
                <w:b/>
              </w:rPr>
              <w:t>5</w:t>
            </w:r>
          </w:p>
        </w:tc>
        <w:tc>
          <w:tcPr>
            <w:tcW w:w="7555" w:type="dxa"/>
            <w:gridSpan w:val="5"/>
          </w:tcPr>
          <w:p w:rsidR="00504A45" w:rsidRPr="00560657" w:rsidRDefault="00D17C7B" w:rsidP="00132D4A">
            <w:pPr>
              <w:spacing w:line="480" w:lineRule="exact"/>
              <w:ind w:leftChars="31" w:left="74"/>
              <w:rPr>
                <w:rFonts w:ascii="標楷體" w:eastAsia="標楷體" w:hAnsi="標楷體"/>
                <w:b/>
              </w:rPr>
            </w:pPr>
            <w:r w:rsidRPr="00B54CE2">
              <w:rPr>
                <w:rFonts w:eastAsiaTheme="minorEastAsia" w:hint="eastAsia"/>
              </w:rPr>
              <w:t>個人主義只重視眼前利益，即使夫妻雙方擁有經營關係的技巧及知識，仍不足以維持一段穩定</w:t>
            </w:r>
            <w:proofErr w:type="gramStart"/>
            <w:r w:rsidRPr="00B54CE2">
              <w:rPr>
                <w:rFonts w:eastAsiaTheme="minorEastAsia" w:hint="eastAsia"/>
              </w:rPr>
              <w:t>滿意的</w:t>
            </w:r>
            <w:proofErr w:type="gramEnd"/>
            <w:r w:rsidRPr="00B54CE2">
              <w:rPr>
                <w:rFonts w:eastAsiaTheme="minorEastAsia" w:hint="eastAsia"/>
              </w:rPr>
              <w:t>婚姻。</w:t>
            </w:r>
            <w:r>
              <w:rPr>
                <w:rFonts w:eastAsiaTheme="minorEastAsia" w:hint="eastAsia"/>
              </w:rPr>
              <w:t>「</w:t>
            </w:r>
            <w:r w:rsidRPr="00B54CE2">
              <w:rPr>
                <w:rFonts w:eastAsiaTheme="minorEastAsia" w:hint="eastAsia"/>
              </w:rPr>
              <w:t>承諾</w:t>
            </w:r>
            <w:r>
              <w:rPr>
                <w:rFonts w:eastAsiaTheme="minorEastAsia" w:hint="eastAsia"/>
              </w:rPr>
              <w:t>」在婚姻教育中被視為是一個重要的動機，也</w:t>
            </w:r>
            <w:r w:rsidRPr="00B54CE2">
              <w:rPr>
                <w:rFonts w:eastAsiaTheme="minorEastAsia" w:hint="eastAsia"/>
              </w:rPr>
              <w:t>被</w:t>
            </w:r>
            <w:r>
              <w:rPr>
                <w:rFonts w:eastAsiaTheme="minorEastAsia" w:hint="eastAsia"/>
              </w:rPr>
              <w:t>認</w:t>
            </w:r>
            <w:r w:rsidRPr="00B54CE2">
              <w:rPr>
                <w:rFonts w:eastAsiaTheme="minorEastAsia" w:hint="eastAsia"/>
              </w:rPr>
              <w:t>為</w:t>
            </w:r>
            <w:r>
              <w:rPr>
                <w:rFonts w:eastAsiaTheme="minorEastAsia" w:hint="eastAsia"/>
              </w:rPr>
              <w:t>是</w:t>
            </w:r>
            <w:r w:rsidRPr="00B54CE2">
              <w:rPr>
                <w:rFonts w:eastAsiaTheme="minorEastAsia" w:hint="eastAsia"/>
              </w:rPr>
              <w:t>維持健康穩定關係</w:t>
            </w:r>
            <w:r>
              <w:rPr>
                <w:rFonts w:eastAsiaTheme="minorEastAsia" w:hint="eastAsia"/>
              </w:rPr>
              <w:t>至為重要的因子</w:t>
            </w:r>
          </w:p>
        </w:tc>
        <w:tc>
          <w:tcPr>
            <w:tcW w:w="5354" w:type="dxa"/>
            <w:gridSpan w:val="4"/>
          </w:tcPr>
          <w:p w:rsidR="00764B85" w:rsidRDefault="00764B85" w:rsidP="00764B85">
            <w:pPr>
              <w:rPr>
                <w:rFonts w:ascii="新細明體" w:hAnsi="新細明體" w:cs="新細明體"/>
              </w:rPr>
            </w:pPr>
            <w:r w:rsidRPr="002715B3">
              <w:rPr>
                <w:rFonts w:ascii="新細明體" w:hAnsi="新細明體" w:hint="eastAsia"/>
                <w:noProof/>
                <w:color w:val="000000"/>
              </w:rPr>
              <w:t>建議再閱讀</w:t>
            </w:r>
            <w:r>
              <w:rPr>
                <w:rFonts w:ascii="新細明體" w:hAnsi="新細明體" w:hint="eastAsia"/>
                <w:noProof/>
                <w:color w:val="000000"/>
              </w:rPr>
              <w:t xml:space="preserve">第4節 </w:t>
            </w:r>
            <w:r w:rsidRPr="0061650D">
              <w:rPr>
                <w:rFonts w:hint="eastAsia"/>
              </w:rPr>
              <w:t>婚姻教育</w:t>
            </w:r>
            <w:r>
              <w:rPr>
                <w:rFonts w:hint="eastAsia"/>
              </w:rPr>
              <w:t>推動的</w:t>
            </w:r>
            <w:r w:rsidRPr="0061650D">
              <w:rPr>
                <w:rFonts w:hint="eastAsia"/>
              </w:rPr>
              <w:t>實務</w:t>
            </w:r>
            <w:r>
              <w:rPr>
                <w:rFonts w:hint="eastAsia"/>
              </w:rPr>
              <w:t>中「</w:t>
            </w:r>
            <w:r w:rsidRPr="00173F5E">
              <w:rPr>
                <w:rFonts w:ascii="新細明體" w:hAnsi="新細明體" w:cs="新細明體" w:hint="eastAsia"/>
              </w:rPr>
              <w:t>動機及美德</w:t>
            </w:r>
            <w:r>
              <w:rPr>
                <w:rFonts w:ascii="新細明體" w:hAnsi="新細明體" w:cs="新細明體" w:hint="eastAsia"/>
              </w:rPr>
              <w:t>」</w:t>
            </w:r>
          </w:p>
          <w:p w:rsidR="00764B85" w:rsidRDefault="00764B85" w:rsidP="00764B85">
            <w:pPr>
              <w:rPr>
                <w:rFonts w:hint="eastAsia"/>
              </w:rPr>
            </w:pPr>
            <w:r w:rsidRPr="00B54CE2">
              <w:rPr>
                <w:rFonts w:eastAsiaTheme="minorEastAsia" w:hint="eastAsia"/>
              </w:rPr>
              <w:t>高度個人主義只重視眼前利益，即使夫妻雙方擁有經營關係的技巧及知識，仍不足以維持一段穩定</w:t>
            </w:r>
            <w:proofErr w:type="gramStart"/>
            <w:r w:rsidRPr="00B54CE2">
              <w:rPr>
                <w:rFonts w:eastAsiaTheme="minorEastAsia" w:hint="eastAsia"/>
              </w:rPr>
              <w:t>滿意的</w:t>
            </w:r>
            <w:proofErr w:type="gramEnd"/>
            <w:r w:rsidRPr="00B54CE2">
              <w:rPr>
                <w:rFonts w:eastAsiaTheme="minorEastAsia" w:hint="eastAsia"/>
              </w:rPr>
              <w:t>婚姻。</w:t>
            </w:r>
            <w:r>
              <w:rPr>
                <w:rFonts w:eastAsiaTheme="minorEastAsia" w:hint="eastAsia"/>
              </w:rPr>
              <w:t>「</w:t>
            </w:r>
            <w:r w:rsidRPr="00B54CE2">
              <w:rPr>
                <w:rFonts w:eastAsiaTheme="minorEastAsia" w:hint="eastAsia"/>
              </w:rPr>
              <w:t>承諾</w:t>
            </w:r>
            <w:r>
              <w:rPr>
                <w:rFonts w:eastAsiaTheme="minorEastAsia" w:hint="eastAsia"/>
              </w:rPr>
              <w:t>」在婚姻教育中被視為是一個重要的動機，也</w:t>
            </w:r>
            <w:r w:rsidRPr="00B54CE2">
              <w:rPr>
                <w:rFonts w:eastAsiaTheme="minorEastAsia" w:hint="eastAsia"/>
              </w:rPr>
              <w:t>被</w:t>
            </w:r>
            <w:r>
              <w:rPr>
                <w:rFonts w:eastAsiaTheme="minorEastAsia" w:hint="eastAsia"/>
              </w:rPr>
              <w:t>認</w:t>
            </w:r>
            <w:r w:rsidRPr="00B54CE2">
              <w:rPr>
                <w:rFonts w:eastAsiaTheme="minorEastAsia" w:hint="eastAsia"/>
              </w:rPr>
              <w:t>為</w:t>
            </w:r>
            <w:r>
              <w:rPr>
                <w:rFonts w:eastAsiaTheme="minorEastAsia" w:hint="eastAsia"/>
              </w:rPr>
              <w:t>是</w:t>
            </w:r>
            <w:r w:rsidRPr="00B54CE2">
              <w:rPr>
                <w:rFonts w:eastAsiaTheme="minorEastAsia" w:hint="eastAsia"/>
              </w:rPr>
              <w:t>維持健康穩定關係</w:t>
            </w:r>
            <w:r>
              <w:rPr>
                <w:rFonts w:eastAsiaTheme="minorEastAsia" w:hint="eastAsia"/>
              </w:rPr>
              <w:t>至為重要的因子</w:t>
            </w:r>
            <w:r>
              <w:rPr>
                <w:rFonts w:eastAsiaTheme="minorEastAsia" w:hint="eastAsia"/>
              </w:rPr>
              <w:t>。…</w:t>
            </w:r>
            <w:r>
              <w:rPr>
                <w:rFonts w:eastAsiaTheme="minorEastAsia" w:hint="eastAsia"/>
              </w:rPr>
              <w:t>要能真正信守承諾，便需要在各種生活的需求中，捍衛你所做的一切決定。</w:t>
            </w:r>
            <w:r w:rsidRPr="00B54CE2">
              <w:rPr>
                <w:rFonts w:eastAsiaTheme="minorEastAsia" w:hint="eastAsia"/>
              </w:rPr>
              <w:t>個人的人格特質及動機，其實</w:t>
            </w:r>
            <w:r>
              <w:rPr>
                <w:rFonts w:eastAsiaTheme="minorEastAsia" w:hint="eastAsia"/>
              </w:rPr>
              <w:t>都</w:t>
            </w:r>
            <w:r w:rsidRPr="00B54CE2">
              <w:rPr>
                <w:rFonts w:eastAsiaTheme="minorEastAsia" w:hint="eastAsia"/>
              </w:rPr>
              <w:t>關乎婚姻成敗。</w:t>
            </w:r>
          </w:p>
          <w:p w:rsidR="00504A45" w:rsidRPr="00764B85" w:rsidRDefault="00504A45" w:rsidP="005E5CDB"/>
        </w:tc>
      </w:tr>
      <w:tr w:rsidR="00A82731" w:rsidRPr="007F5325" w:rsidTr="002715B3">
        <w:tblPrEx>
          <w:tblCellMar>
            <w:left w:w="108" w:type="dxa"/>
            <w:right w:w="108" w:type="dxa"/>
          </w:tblCellMar>
          <w:tblLook w:val="01E0" w:firstRow="1" w:lastRow="1" w:firstColumn="1" w:lastColumn="1" w:noHBand="0" w:noVBand="0"/>
        </w:tblPrEx>
        <w:trPr>
          <w:trHeight w:val="406"/>
        </w:trPr>
        <w:tc>
          <w:tcPr>
            <w:tcW w:w="977" w:type="dxa"/>
            <w:vAlign w:val="center"/>
          </w:tcPr>
          <w:p w:rsidR="00A82731" w:rsidRPr="007F5325" w:rsidRDefault="00A82731" w:rsidP="009B263F">
            <w:pPr>
              <w:spacing w:beforeLines="25" w:before="90" w:afterLines="25" w:after="90"/>
              <w:jc w:val="center"/>
              <w:rPr>
                <w:rFonts w:ascii="Garamond" w:eastAsia="標楷體" w:hAnsi="Garamond"/>
              </w:rPr>
            </w:pPr>
          </w:p>
        </w:tc>
        <w:tc>
          <w:tcPr>
            <w:tcW w:w="540" w:type="dxa"/>
          </w:tcPr>
          <w:p w:rsidR="00A82731" w:rsidRPr="007F5325" w:rsidRDefault="00A82731" w:rsidP="009B263F">
            <w:pPr>
              <w:spacing w:beforeLines="25" w:before="90" w:afterLines="25" w:after="90"/>
              <w:ind w:left="360" w:hangingChars="150" w:hanging="360"/>
              <w:jc w:val="center"/>
              <w:rPr>
                <w:rFonts w:ascii="新細明體" w:hAnsi="新細明體"/>
                <w:b/>
              </w:rPr>
            </w:pPr>
          </w:p>
        </w:tc>
        <w:tc>
          <w:tcPr>
            <w:tcW w:w="7555" w:type="dxa"/>
            <w:gridSpan w:val="5"/>
          </w:tcPr>
          <w:p w:rsidR="00A82731" w:rsidRPr="007F5325" w:rsidRDefault="00A82731" w:rsidP="009B263F">
            <w:pPr>
              <w:spacing w:beforeLines="25" w:before="90" w:afterLines="25" w:after="90"/>
              <w:ind w:left="360" w:hangingChars="150" w:hanging="360"/>
              <w:rPr>
                <w:rFonts w:ascii="標楷體" w:eastAsia="標楷體" w:hAnsi="標楷體"/>
                <w:b/>
              </w:rPr>
            </w:pPr>
          </w:p>
        </w:tc>
        <w:tc>
          <w:tcPr>
            <w:tcW w:w="5354" w:type="dxa"/>
            <w:gridSpan w:val="4"/>
          </w:tcPr>
          <w:p w:rsidR="00A82731" w:rsidRPr="007F5325" w:rsidRDefault="00A82731" w:rsidP="000C51C9"/>
        </w:tc>
      </w:tr>
    </w:tbl>
    <w:p w:rsidR="00D2370B" w:rsidRDefault="00D2370B">
      <w:pPr>
        <w:widowControl/>
      </w:pPr>
    </w:p>
    <w:sectPr w:rsidR="00D2370B" w:rsidSect="009419B9">
      <w:pgSz w:w="16838" w:h="11906" w:orient="landscape" w:code="9"/>
      <w:pgMar w:top="180" w:right="1134" w:bottom="36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A45" w:rsidRDefault="00D65A45">
      <w:r>
        <w:separator/>
      </w:r>
    </w:p>
  </w:endnote>
  <w:endnote w:type="continuationSeparator" w:id="0">
    <w:p w:rsidR="00D65A45" w:rsidRDefault="00D6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aramond">
    <w:panose1 w:val="02020404030301010803"/>
    <w:charset w:val="00"/>
    <w:family w:val="roman"/>
    <w:pitch w:val="variable"/>
    <w:sig w:usb0="00000287" w:usb1="00000000" w:usb2="00000000" w:usb3="00000000" w:csb0="0000009F" w:csb1="00000000"/>
  </w:font>
  <w:font w:name="Droid Serif">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A45" w:rsidRDefault="00D65A45">
      <w:r>
        <w:separator/>
      </w:r>
    </w:p>
  </w:footnote>
  <w:footnote w:type="continuationSeparator" w:id="0">
    <w:p w:rsidR="00D65A45" w:rsidRDefault="00D6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2F5C"/>
    <w:multiLevelType w:val="hybridMultilevel"/>
    <w:tmpl w:val="18221CDC"/>
    <w:lvl w:ilvl="0" w:tplc="AD4487B8">
      <w:start w:val="1"/>
      <w:numFmt w:val="decimal"/>
      <w:lvlText w:val="%1."/>
      <w:lvlJc w:val="left"/>
      <w:pPr>
        <w:tabs>
          <w:tab w:val="num" w:pos="360"/>
        </w:tabs>
        <w:ind w:left="360" w:hanging="360"/>
      </w:pPr>
      <w:rPr>
        <w:rFonts w:ascii="新細明體" w:eastAsia="新細明體" w:hAnsi="新細明體"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BF25070"/>
    <w:multiLevelType w:val="singleLevel"/>
    <w:tmpl w:val="61FC88FC"/>
    <w:lvl w:ilvl="0">
      <w:start w:val="1"/>
      <w:numFmt w:val="decimal"/>
      <w:lvlText w:val="%1."/>
      <w:lvlJc w:val="left"/>
      <w:pPr>
        <w:tabs>
          <w:tab w:val="num" w:pos="397"/>
        </w:tabs>
        <w:ind w:left="397" w:hanging="397"/>
      </w:pPr>
      <w:rPr>
        <w:rFonts w:hint="eastAsia"/>
      </w:rPr>
    </w:lvl>
  </w:abstractNum>
  <w:abstractNum w:abstractNumId="2" w15:restartNumberingAfterBreak="0">
    <w:nsid w:val="1F355E43"/>
    <w:multiLevelType w:val="hybridMultilevel"/>
    <w:tmpl w:val="1FC08BB8"/>
    <w:lvl w:ilvl="0" w:tplc="E3C20616">
      <w:start w:val="1"/>
      <w:numFmt w:val="decimal"/>
      <w:lvlText w:val="%1."/>
      <w:lvlJc w:val="left"/>
      <w:pPr>
        <w:tabs>
          <w:tab w:val="num" w:pos="600"/>
        </w:tabs>
        <w:ind w:left="600" w:hanging="36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3" w15:restartNumberingAfterBreak="0">
    <w:nsid w:val="42713170"/>
    <w:multiLevelType w:val="hybridMultilevel"/>
    <w:tmpl w:val="321CBE14"/>
    <w:lvl w:ilvl="0" w:tplc="99DE53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C5002D"/>
    <w:multiLevelType w:val="hybridMultilevel"/>
    <w:tmpl w:val="BE9A9B10"/>
    <w:lvl w:ilvl="0" w:tplc="A85E979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4"/>
    <w:rsid w:val="00016138"/>
    <w:rsid w:val="00017A31"/>
    <w:rsid w:val="00022378"/>
    <w:rsid w:val="0003113C"/>
    <w:rsid w:val="000404D5"/>
    <w:rsid w:val="00047CA6"/>
    <w:rsid w:val="0005087D"/>
    <w:rsid w:val="00076BCE"/>
    <w:rsid w:val="0007723F"/>
    <w:rsid w:val="00081D97"/>
    <w:rsid w:val="000B3774"/>
    <w:rsid w:val="000B5972"/>
    <w:rsid w:val="000C645E"/>
    <w:rsid w:val="000D4E64"/>
    <w:rsid w:val="000E3045"/>
    <w:rsid w:val="000F11F2"/>
    <w:rsid w:val="00105094"/>
    <w:rsid w:val="00131629"/>
    <w:rsid w:val="00132D4A"/>
    <w:rsid w:val="00143819"/>
    <w:rsid w:val="00150AD6"/>
    <w:rsid w:val="00150E9C"/>
    <w:rsid w:val="00157314"/>
    <w:rsid w:val="00177124"/>
    <w:rsid w:val="00180D30"/>
    <w:rsid w:val="001836A4"/>
    <w:rsid w:val="00187271"/>
    <w:rsid w:val="00192D48"/>
    <w:rsid w:val="001B3E6C"/>
    <w:rsid w:val="001B6C18"/>
    <w:rsid w:val="001C68D8"/>
    <w:rsid w:val="001D03D9"/>
    <w:rsid w:val="001E6315"/>
    <w:rsid w:val="001E6CB7"/>
    <w:rsid w:val="001F5F5D"/>
    <w:rsid w:val="002073D2"/>
    <w:rsid w:val="002077EF"/>
    <w:rsid w:val="00210097"/>
    <w:rsid w:val="00210203"/>
    <w:rsid w:val="002305F5"/>
    <w:rsid w:val="00232769"/>
    <w:rsid w:val="002328DA"/>
    <w:rsid w:val="002403D3"/>
    <w:rsid w:val="00254292"/>
    <w:rsid w:val="00254439"/>
    <w:rsid w:val="00255A9F"/>
    <w:rsid w:val="00262807"/>
    <w:rsid w:val="002656B0"/>
    <w:rsid w:val="002715B3"/>
    <w:rsid w:val="00293824"/>
    <w:rsid w:val="00294020"/>
    <w:rsid w:val="002A1022"/>
    <w:rsid w:val="002A205D"/>
    <w:rsid w:val="002A543D"/>
    <w:rsid w:val="002A6167"/>
    <w:rsid w:val="002B7539"/>
    <w:rsid w:val="002C49E2"/>
    <w:rsid w:val="002C64F6"/>
    <w:rsid w:val="002F0D45"/>
    <w:rsid w:val="003037D6"/>
    <w:rsid w:val="00304CE3"/>
    <w:rsid w:val="003143DD"/>
    <w:rsid w:val="00321B5C"/>
    <w:rsid w:val="003244C5"/>
    <w:rsid w:val="0033325F"/>
    <w:rsid w:val="00341ECF"/>
    <w:rsid w:val="0035074A"/>
    <w:rsid w:val="00351934"/>
    <w:rsid w:val="00353061"/>
    <w:rsid w:val="003570F2"/>
    <w:rsid w:val="003618CA"/>
    <w:rsid w:val="003677E6"/>
    <w:rsid w:val="00387E7E"/>
    <w:rsid w:val="003900BE"/>
    <w:rsid w:val="003A2A91"/>
    <w:rsid w:val="003A5A5E"/>
    <w:rsid w:val="003A5ABA"/>
    <w:rsid w:val="003B7934"/>
    <w:rsid w:val="003C1E7E"/>
    <w:rsid w:val="003C25A5"/>
    <w:rsid w:val="003C3A8B"/>
    <w:rsid w:val="003D19CC"/>
    <w:rsid w:val="003E086F"/>
    <w:rsid w:val="003F0840"/>
    <w:rsid w:val="0040178A"/>
    <w:rsid w:val="004023D6"/>
    <w:rsid w:val="004044DB"/>
    <w:rsid w:val="00412757"/>
    <w:rsid w:val="0041317D"/>
    <w:rsid w:val="00417295"/>
    <w:rsid w:val="004215C4"/>
    <w:rsid w:val="00425244"/>
    <w:rsid w:val="00427843"/>
    <w:rsid w:val="0043121E"/>
    <w:rsid w:val="0043197C"/>
    <w:rsid w:val="0043256F"/>
    <w:rsid w:val="0044011A"/>
    <w:rsid w:val="00443566"/>
    <w:rsid w:val="00445D38"/>
    <w:rsid w:val="00451886"/>
    <w:rsid w:val="0047438C"/>
    <w:rsid w:val="0047447C"/>
    <w:rsid w:val="004747AF"/>
    <w:rsid w:val="0048022E"/>
    <w:rsid w:val="00492783"/>
    <w:rsid w:val="00495584"/>
    <w:rsid w:val="004974ED"/>
    <w:rsid w:val="004B3FAE"/>
    <w:rsid w:val="004B4194"/>
    <w:rsid w:val="004B4999"/>
    <w:rsid w:val="004C22D1"/>
    <w:rsid w:val="004C5F90"/>
    <w:rsid w:val="004D7339"/>
    <w:rsid w:val="004D76E2"/>
    <w:rsid w:val="00500A02"/>
    <w:rsid w:val="00504A45"/>
    <w:rsid w:val="00507991"/>
    <w:rsid w:val="00512929"/>
    <w:rsid w:val="00536AA0"/>
    <w:rsid w:val="00541BD0"/>
    <w:rsid w:val="0054543E"/>
    <w:rsid w:val="00557F9D"/>
    <w:rsid w:val="00560657"/>
    <w:rsid w:val="00561FE7"/>
    <w:rsid w:val="00582F59"/>
    <w:rsid w:val="00592713"/>
    <w:rsid w:val="005A25E9"/>
    <w:rsid w:val="005A3EF1"/>
    <w:rsid w:val="005B2779"/>
    <w:rsid w:val="005B607C"/>
    <w:rsid w:val="005C0522"/>
    <w:rsid w:val="005C08AE"/>
    <w:rsid w:val="005C48B2"/>
    <w:rsid w:val="005D4F34"/>
    <w:rsid w:val="005E52BC"/>
    <w:rsid w:val="005E5CDB"/>
    <w:rsid w:val="005F17CD"/>
    <w:rsid w:val="006039AC"/>
    <w:rsid w:val="00616196"/>
    <w:rsid w:val="00634C96"/>
    <w:rsid w:val="00641EE3"/>
    <w:rsid w:val="0064699F"/>
    <w:rsid w:val="0064758E"/>
    <w:rsid w:val="00657451"/>
    <w:rsid w:val="00660CBE"/>
    <w:rsid w:val="0066338A"/>
    <w:rsid w:val="00663A61"/>
    <w:rsid w:val="00664189"/>
    <w:rsid w:val="00666377"/>
    <w:rsid w:val="00667C3D"/>
    <w:rsid w:val="006712A9"/>
    <w:rsid w:val="00686EE4"/>
    <w:rsid w:val="00690D79"/>
    <w:rsid w:val="00691B35"/>
    <w:rsid w:val="006A1FE5"/>
    <w:rsid w:val="006A4451"/>
    <w:rsid w:val="006B09BD"/>
    <w:rsid w:val="006B2A80"/>
    <w:rsid w:val="006B63C0"/>
    <w:rsid w:val="006B65A9"/>
    <w:rsid w:val="006B6F15"/>
    <w:rsid w:val="006C2465"/>
    <w:rsid w:val="006C47D7"/>
    <w:rsid w:val="006E0D00"/>
    <w:rsid w:val="006F0412"/>
    <w:rsid w:val="00705D8D"/>
    <w:rsid w:val="007071A6"/>
    <w:rsid w:val="00715467"/>
    <w:rsid w:val="00717A88"/>
    <w:rsid w:val="007226D8"/>
    <w:rsid w:val="007228A5"/>
    <w:rsid w:val="00730FEA"/>
    <w:rsid w:val="00734C54"/>
    <w:rsid w:val="007373D2"/>
    <w:rsid w:val="00740C30"/>
    <w:rsid w:val="00741898"/>
    <w:rsid w:val="00746E3C"/>
    <w:rsid w:val="00750945"/>
    <w:rsid w:val="007541A5"/>
    <w:rsid w:val="00764B85"/>
    <w:rsid w:val="0077109C"/>
    <w:rsid w:val="00774E86"/>
    <w:rsid w:val="007752EF"/>
    <w:rsid w:val="00775C03"/>
    <w:rsid w:val="00777A74"/>
    <w:rsid w:val="00783E2F"/>
    <w:rsid w:val="00785E3F"/>
    <w:rsid w:val="00792618"/>
    <w:rsid w:val="0079533B"/>
    <w:rsid w:val="007A38AE"/>
    <w:rsid w:val="007B7D55"/>
    <w:rsid w:val="007C3B6F"/>
    <w:rsid w:val="007C626A"/>
    <w:rsid w:val="007C6296"/>
    <w:rsid w:val="007D690D"/>
    <w:rsid w:val="007E0289"/>
    <w:rsid w:val="007F3D5C"/>
    <w:rsid w:val="007F4F70"/>
    <w:rsid w:val="007F5325"/>
    <w:rsid w:val="007F6374"/>
    <w:rsid w:val="00806215"/>
    <w:rsid w:val="0081099E"/>
    <w:rsid w:val="00811AB2"/>
    <w:rsid w:val="00825484"/>
    <w:rsid w:val="0084063E"/>
    <w:rsid w:val="00846145"/>
    <w:rsid w:val="008625C6"/>
    <w:rsid w:val="00873252"/>
    <w:rsid w:val="0087625A"/>
    <w:rsid w:val="00876BB7"/>
    <w:rsid w:val="0088046A"/>
    <w:rsid w:val="00881DAA"/>
    <w:rsid w:val="00881F6E"/>
    <w:rsid w:val="00883808"/>
    <w:rsid w:val="00886063"/>
    <w:rsid w:val="00887ABA"/>
    <w:rsid w:val="008A0036"/>
    <w:rsid w:val="008B29B5"/>
    <w:rsid w:val="008B4EBD"/>
    <w:rsid w:val="008E0FD9"/>
    <w:rsid w:val="008E33BC"/>
    <w:rsid w:val="008E3458"/>
    <w:rsid w:val="008E55BB"/>
    <w:rsid w:val="00904D8B"/>
    <w:rsid w:val="009103BF"/>
    <w:rsid w:val="009126B8"/>
    <w:rsid w:val="00921569"/>
    <w:rsid w:val="00923266"/>
    <w:rsid w:val="00926A3E"/>
    <w:rsid w:val="00932655"/>
    <w:rsid w:val="009419B9"/>
    <w:rsid w:val="00941D84"/>
    <w:rsid w:val="00944945"/>
    <w:rsid w:val="00945039"/>
    <w:rsid w:val="009527BB"/>
    <w:rsid w:val="0095292B"/>
    <w:rsid w:val="00957DB6"/>
    <w:rsid w:val="00987B81"/>
    <w:rsid w:val="009B263F"/>
    <w:rsid w:val="009B53BD"/>
    <w:rsid w:val="009C610B"/>
    <w:rsid w:val="009D20C8"/>
    <w:rsid w:val="009D4EBC"/>
    <w:rsid w:val="009E4107"/>
    <w:rsid w:val="009E7D2D"/>
    <w:rsid w:val="00A00113"/>
    <w:rsid w:val="00A0765D"/>
    <w:rsid w:val="00A105F5"/>
    <w:rsid w:val="00A136E0"/>
    <w:rsid w:val="00A17D50"/>
    <w:rsid w:val="00A20FD0"/>
    <w:rsid w:val="00A21E7C"/>
    <w:rsid w:val="00A33EEB"/>
    <w:rsid w:val="00A35747"/>
    <w:rsid w:val="00A43D88"/>
    <w:rsid w:val="00A44822"/>
    <w:rsid w:val="00A66608"/>
    <w:rsid w:val="00A81C51"/>
    <w:rsid w:val="00A81FA1"/>
    <w:rsid w:val="00A82731"/>
    <w:rsid w:val="00A93133"/>
    <w:rsid w:val="00AA11ED"/>
    <w:rsid w:val="00AB036D"/>
    <w:rsid w:val="00AB3A53"/>
    <w:rsid w:val="00AB3DE2"/>
    <w:rsid w:val="00AB7A32"/>
    <w:rsid w:val="00AC4B2B"/>
    <w:rsid w:val="00AD5E6F"/>
    <w:rsid w:val="00AE3C68"/>
    <w:rsid w:val="00AF5C8C"/>
    <w:rsid w:val="00B013E7"/>
    <w:rsid w:val="00B05E30"/>
    <w:rsid w:val="00B067AA"/>
    <w:rsid w:val="00B12778"/>
    <w:rsid w:val="00B16BF2"/>
    <w:rsid w:val="00B2402C"/>
    <w:rsid w:val="00B304B0"/>
    <w:rsid w:val="00B338FB"/>
    <w:rsid w:val="00B36B07"/>
    <w:rsid w:val="00B40B3C"/>
    <w:rsid w:val="00B46580"/>
    <w:rsid w:val="00B57FDC"/>
    <w:rsid w:val="00B61E10"/>
    <w:rsid w:val="00B718C2"/>
    <w:rsid w:val="00B813A2"/>
    <w:rsid w:val="00B8537F"/>
    <w:rsid w:val="00B94571"/>
    <w:rsid w:val="00BA6154"/>
    <w:rsid w:val="00BB02C1"/>
    <w:rsid w:val="00BB0408"/>
    <w:rsid w:val="00BC3141"/>
    <w:rsid w:val="00BC4C2B"/>
    <w:rsid w:val="00BD0477"/>
    <w:rsid w:val="00BD3F80"/>
    <w:rsid w:val="00BD76CF"/>
    <w:rsid w:val="00BD7BB3"/>
    <w:rsid w:val="00BE2797"/>
    <w:rsid w:val="00BE697A"/>
    <w:rsid w:val="00BF234D"/>
    <w:rsid w:val="00BF3F8C"/>
    <w:rsid w:val="00BF6E80"/>
    <w:rsid w:val="00C00413"/>
    <w:rsid w:val="00C062A6"/>
    <w:rsid w:val="00C07E04"/>
    <w:rsid w:val="00C27358"/>
    <w:rsid w:val="00C344D2"/>
    <w:rsid w:val="00C426FA"/>
    <w:rsid w:val="00C44DE6"/>
    <w:rsid w:val="00C4561A"/>
    <w:rsid w:val="00C479F1"/>
    <w:rsid w:val="00C97FDB"/>
    <w:rsid w:val="00CA7516"/>
    <w:rsid w:val="00CA75CF"/>
    <w:rsid w:val="00CD2421"/>
    <w:rsid w:val="00CF4737"/>
    <w:rsid w:val="00CF49D7"/>
    <w:rsid w:val="00D009E3"/>
    <w:rsid w:val="00D014EB"/>
    <w:rsid w:val="00D06978"/>
    <w:rsid w:val="00D10F0E"/>
    <w:rsid w:val="00D12E31"/>
    <w:rsid w:val="00D17C7B"/>
    <w:rsid w:val="00D2370B"/>
    <w:rsid w:val="00D357AA"/>
    <w:rsid w:val="00D4689E"/>
    <w:rsid w:val="00D46AB3"/>
    <w:rsid w:val="00D472BF"/>
    <w:rsid w:val="00D614B3"/>
    <w:rsid w:val="00D62F37"/>
    <w:rsid w:val="00D65A45"/>
    <w:rsid w:val="00D70E5F"/>
    <w:rsid w:val="00D711F3"/>
    <w:rsid w:val="00D828E7"/>
    <w:rsid w:val="00D86044"/>
    <w:rsid w:val="00D951D1"/>
    <w:rsid w:val="00DB6352"/>
    <w:rsid w:val="00DC1BCA"/>
    <w:rsid w:val="00DC41FB"/>
    <w:rsid w:val="00DE412F"/>
    <w:rsid w:val="00DE73A0"/>
    <w:rsid w:val="00DF6310"/>
    <w:rsid w:val="00E0373A"/>
    <w:rsid w:val="00E04623"/>
    <w:rsid w:val="00E1219C"/>
    <w:rsid w:val="00E20A90"/>
    <w:rsid w:val="00E2438C"/>
    <w:rsid w:val="00E24B62"/>
    <w:rsid w:val="00E37918"/>
    <w:rsid w:val="00E404C5"/>
    <w:rsid w:val="00E646B2"/>
    <w:rsid w:val="00E93ED3"/>
    <w:rsid w:val="00E94358"/>
    <w:rsid w:val="00E95116"/>
    <w:rsid w:val="00EA005F"/>
    <w:rsid w:val="00EB06DA"/>
    <w:rsid w:val="00EB142B"/>
    <w:rsid w:val="00EB47BB"/>
    <w:rsid w:val="00EC2283"/>
    <w:rsid w:val="00EC3576"/>
    <w:rsid w:val="00EC358D"/>
    <w:rsid w:val="00EE6D5C"/>
    <w:rsid w:val="00F1054C"/>
    <w:rsid w:val="00F15D43"/>
    <w:rsid w:val="00F23980"/>
    <w:rsid w:val="00F53855"/>
    <w:rsid w:val="00F67860"/>
    <w:rsid w:val="00F704CF"/>
    <w:rsid w:val="00F8205E"/>
    <w:rsid w:val="00F853CD"/>
    <w:rsid w:val="00F90112"/>
    <w:rsid w:val="00F9312D"/>
    <w:rsid w:val="00F93314"/>
    <w:rsid w:val="00F950DD"/>
    <w:rsid w:val="00FB6620"/>
    <w:rsid w:val="00FC3E7C"/>
    <w:rsid w:val="00FC520E"/>
    <w:rsid w:val="00FC61E0"/>
    <w:rsid w:val="00FC6ABC"/>
    <w:rsid w:val="00FC7A9A"/>
    <w:rsid w:val="00FC7DDE"/>
    <w:rsid w:val="00FD2BF0"/>
    <w:rsid w:val="00FE3BDE"/>
    <w:rsid w:val="00FF07EC"/>
    <w:rsid w:val="00FF45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9BB1F4"/>
  <w15:docId w15:val="{D66B7F19-99E1-41E4-9CA0-0FFC7BDF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57314"/>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
    <w:name w:val="內文01"/>
    <w:basedOn w:val="a"/>
    <w:autoRedefine/>
    <w:rsid w:val="00157314"/>
    <w:pPr>
      <w:spacing w:line="240" w:lineRule="atLeast"/>
      <w:jc w:val="center"/>
    </w:pPr>
  </w:style>
  <w:style w:type="paragraph" w:customStyle="1" w:styleId="a3">
    <w:name w:val="圖"/>
    <w:basedOn w:val="a"/>
    <w:autoRedefine/>
    <w:rsid w:val="00157314"/>
    <w:pPr>
      <w:jc w:val="center"/>
    </w:pPr>
  </w:style>
  <w:style w:type="table" w:styleId="a4">
    <w:name w:val="Table Grid"/>
    <w:basedOn w:val="a1"/>
    <w:rsid w:val="0035306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616196"/>
    <w:pPr>
      <w:tabs>
        <w:tab w:val="center" w:pos="4153"/>
        <w:tab w:val="right" w:pos="8306"/>
      </w:tabs>
      <w:snapToGrid w:val="0"/>
    </w:pPr>
    <w:rPr>
      <w:sz w:val="20"/>
      <w:szCs w:val="20"/>
    </w:rPr>
  </w:style>
  <w:style w:type="paragraph" w:styleId="a6">
    <w:name w:val="footer"/>
    <w:basedOn w:val="a"/>
    <w:rsid w:val="00616196"/>
    <w:pPr>
      <w:tabs>
        <w:tab w:val="center" w:pos="4153"/>
        <w:tab w:val="right" w:pos="8306"/>
      </w:tabs>
      <w:snapToGrid w:val="0"/>
    </w:pPr>
    <w:rPr>
      <w:sz w:val="20"/>
      <w:szCs w:val="20"/>
    </w:rPr>
  </w:style>
  <w:style w:type="character" w:styleId="a7">
    <w:name w:val="page number"/>
    <w:basedOn w:val="a0"/>
    <w:rsid w:val="00616196"/>
  </w:style>
  <w:style w:type="character" w:styleId="a8">
    <w:name w:val="Hyperlink"/>
    <w:rsid w:val="00A44822"/>
    <w:rPr>
      <w:color w:val="0000FF"/>
      <w:u w:val="single"/>
    </w:rPr>
  </w:style>
  <w:style w:type="character" w:styleId="a9">
    <w:name w:val="FollowedHyperlink"/>
    <w:rsid w:val="00DC41FB"/>
    <w:rPr>
      <w:color w:val="800080"/>
      <w:u w:val="single"/>
    </w:rPr>
  </w:style>
  <w:style w:type="paragraph" w:styleId="aa">
    <w:name w:val="Balloon Text"/>
    <w:basedOn w:val="a"/>
    <w:semiHidden/>
    <w:rsid w:val="009419B9"/>
    <w:rPr>
      <w:rFonts w:ascii="Arial" w:hAnsi="Arial"/>
      <w:sz w:val="18"/>
      <w:szCs w:val="18"/>
    </w:rPr>
  </w:style>
  <w:style w:type="paragraph" w:styleId="ab">
    <w:name w:val="List Paragraph"/>
    <w:basedOn w:val="a"/>
    <w:uiPriority w:val="34"/>
    <w:qFormat/>
    <w:rsid w:val="002715B3"/>
    <w:pPr>
      <w:ind w:leftChars="200" w:left="480"/>
    </w:pPr>
  </w:style>
  <w:style w:type="paragraph" w:styleId="ac">
    <w:name w:val="Body Text"/>
    <w:basedOn w:val="a"/>
    <w:link w:val="ad"/>
    <w:uiPriority w:val="1"/>
    <w:qFormat/>
    <w:rsid w:val="00047CA6"/>
    <w:pPr>
      <w:autoSpaceDE w:val="0"/>
      <w:autoSpaceDN w:val="0"/>
    </w:pPr>
    <w:rPr>
      <w:rFonts w:eastAsia="Times New Roman"/>
      <w:kern w:val="0"/>
      <w:sz w:val="20"/>
      <w:szCs w:val="20"/>
      <w:lang w:eastAsia="en-US"/>
    </w:rPr>
  </w:style>
  <w:style w:type="character" w:customStyle="1" w:styleId="ad">
    <w:name w:val="本文 字元"/>
    <w:basedOn w:val="a0"/>
    <w:link w:val="ac"/>
    <w:uiPriority w:val="1"/>
    <w:rsid w:val="00047CA6"/>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2D06F-51A7-4955-B42A-F4F32322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277</Words>
  <Characters>1581</Characters>
  <Application>Microsoft Office Word</Application>
  <DocSecurity>0</DocSecurity>
  <Lines>13</Lines>
  <Paragraphs>3</Paragraphs>
  <ScaleCrop>false</ScaleCrop>
  <Company>MC SYSTEM</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國立空中大學線上數位學習網　課程教材（文字網頁）設計表</dc:title>
  <dc:creator>user</dc:creator>
  <cp:lastModifiedBy>潘榮吉</cp:lastModifiedBy>
  <cp:revision>3</cp:revision>
  <cp:lastPrinted>2011-08-11T01:09:00Z</cp:lastPrinted>
  <dcterms:created xsi:type="dcterms:W3CDTF">2020-08-20T14:47:00Z</dcterms:created>
  <dcterms:modified xsi:type="dcterms:W3CDTF">2020-08-20T14:52:00Z</dcterms:modified>
</cp:coreProperties>
</file>