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50" w:type="dxa"/>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95"/>
        <w:gridCol w:w="186"/>
        <w:gridCol w:w="12330"/>
        <w:gridCol w:w="139"/>
      </w:tblGrid>
      <w:tr w:rsidR="0016762B" w:rsidRPr="0016762B" w:rsidTr="0016762B">
        <w:trPr>
          <w:tblCellSpacing w:w="7" w:type="dxa"/>
        </w:trPr>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color w:val="000000"/>
                <w:kern w:val="0"/>
                <w:szCs w:val="24"/>
              </w:rPr>
            </w:pPr>
            <w:r w:rsidRPr="0016762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1.</w:t>
            </w:r>
          </w:p>
          <w:p w:rsidR="0016762B" w:rsidRPr="0016762B" w:rsidRDefault="0016762B" w:rsidP="0016762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下列何者不為會計恆等式？</w:t>
            </w:r>
          </w:p>
          <w:p w:rsidR="0016762B" w:rsidRPr="0016762B" w:rsidRDefault="0016762B" w:rsidP="0016762B">
            <w:pPr>
              <w:widowControl/>
              <w:numPr>
                <w:ilvl w:val="0"/>
                <w:numId w:val="15"/>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0.1pt;height:19.25pt" o:ole="">
                  <v:imagedata r:id="rId7" o:title=""/>
                </v:shape>
                <w:control r:id="rId8" w:name="DefaultOcxName" w:shapeid="_x0000_i1204"/>
              </w:object>
            </w:r>
            <w:r w:rsidRPr="0016762B">
              <w:rPr>
                <w:rFonts w:ascii="微軟正黑體" w:eastAsia="微軟正黑體" w:hAnsi="微軟正黑體" w:cs="新細明體" w:hint="eastAsia"/>
                <w:color w:val="000000"/>
                <w:kern w:val="0"/>
                <w:szCs w:val="24"/>
              </w:rPr>
              <w:t>資產 = 負債 + 所有者權益</w:t>
            </w:r>
          </w:p>
          <w:p w:rsidR="0016762B" w:rsidRPr="0016762B" w:rsidRDefault="0016762B" w:rsidP="0016762B">
            <w:pPr>
              <w:widowControl/>
              <w:numPr>
                <w:ilvl w:val="0"/>
                <w:numId w:val="15"/>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203" type="#_x0000_t75" style="width:20.1pt;height:19.25pt" o:ole="">
                  <v:imagedata r:id="rId7" o:title=""/>
                </v:shape>
                <w:control r:id="rId9" w:name="DefaultOcxName1" w:shapeid="_x0000_i1203"/>
              </w:object>
            </w:r>
            <w:r w:rsidRPr="0016762B">
              <w:rPr>
                <w:rFonts w:ascii="微軟正黑體" w:eastAsia="微軟正黑體" w:hAnsi="微軟正黑體" w:cs="新細明體" w:hint="eastAsia"/>
                <w:color w:val="000000"/>
                <w:kern w:val="0"/>
                <w:szCs w:val="24"/>
              </w:rPr>
              <w:t>資產 = 負債 + 淨值</w:t>
            </w:r>
          </w:p>
          <w:p w:rsidR="0016762B" w:rsidRPr="0016762B" w:rsidRDefault="0016762B" w:rsidP="0016762B">
            <w:pPr>
              <w:widowControl/>
              <w:numPr>
                <w:ilvl w:val="0"/>
                <w:numId w:val="15"/>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shd w:val="clear" w:color="auto" w:fill="008000"/>
              </w:rPr>
              <w:object w:dxaOrig="1440" w:dyaOrig="1440">
                <v:shape id="_x0000_i1202" type="#_x0000_t75" style="width:20.1pt;height:19.25pt" o:ole="">
                  <v:imagedata r:id="rId7" o:title=""/>
                </v:shape>
                <w:control r:id="rId10" w:name="DefaultOcxName2" w:shapeid="_x0000_i1202"/>
              </w:object>
            </w:r>
            <w:r w:rsidRPr="0016762B">
              <w:rPr>
                <w:rFonts w:ascii="微軟正黑體" w:eastAsia="微軟正黑體" w:hAnsi="微軟正黑體" w:cs="新細明體" w:hint="eastAsia"/>
                <w:color w:val="000000"/>
                <w:kern w:val="0"/>
                <w:szCs w:val="24"/>
              </w:rPr>
              <w:t xml:space="preserve">資產 + 收益 = 負債 + 所有者權 </w:t>
            </w:r>
            <w:proofErr w:type="gramStart"/>
            <w:r w:rsidRPr="0016762B">
              <w:rPr>
                <w:rFonts w:ascii="微軟正黑體" w:eastAsia="微軟正黑體" w:hAnsi="微軟正黑體" w:cs="新細明體" w:hint="eastAsia"/>
                <w:color w:val="000000"/>
                <w:kern w:val="0"/>
                <w:szCs w:val="24"/>
              </w:rPr>
              <w:t>–</w:t>
            </w:r>
            <w:proofErr w:type="gramEnd"/>
            <w:r w:rsidRPr="0016762B">
              <w:rPr>
                <w:rFonts w:ascii="微軟正黑體" w:eastAsia="微軟正黑體" w:hAnsi="微軟正黑體" w:cs="新細明體" w:hint="eastAsia"/>
                <w:color w:val="000000"/>
                <w:kern w:val="0"/>
                <w:szCs w:val="24"/>
              </w:rPr>
              <w:t xml:space="preserve"> 費損</w:t>
            </w:r>
          </w:p>
          <w:p w:rsidR="0016762B" w:rsidRPr="0016762B" w:rsidRDefault="0016762B" w:rsidP="0016762B">
            <w:pPr>
              <w:widowControl/>
              <w:numPr>
                <w:ilvl w:val="0"/>
                <w:numId w:val="15"/>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201" type="#_x0000_t75" style="width:20.1pt;height:19.25pt" o:ole="">
                  <v:imagedata r:id="rId7" o:title=""/>
                </v:shape>
                <w:control r:id="rId11" w:name="DefaultOcxName3" w:shapeid="_x0000_i1201"/>
              </w:object>
            </w:r>
            <w:r w:rsidRPr="0016762B">
              <w:rPr>
                <w:rFonts w:ascii="微軟正黑體" w:eastAsia="微軟正黑體" w:hAnsi="微軟正黑體" w:cs="新細明體" w:hint="eastAsia"/>
                <w:color w:val="000000"/>
                <w:kern w:val="0"/>
                <w:szCs w:val="24"/>
              </w:rPr>
              <w:t xml:space="preserve">資產 + </w:t>
            </w:r>
            <w:proofErr w:type="gramStart"/>
            <w:r w:rsidRPr="0016762B">
              <w:rPr>
                <w:rFonts w:ascii="微軟正黑體" w:eastAsia="微軟正黑體" w:hAnsi="微軟正黑體" w:cs="新細明體" w:hint="eastAsia"/>
                <w:color w:val="000000"/>
                <w:kern w:val="0"/>
                <w:szCs w:val="24"/>
              </w:rPr>
              <w:t>費損</w:t>
            </w:r>
            <w:proofErr w:type="gramEnd"/>
            <w:r w:rsidRPr="0016762B">
              <w:rPr>
                <w:rFonts w:ascii="微軟正黑體" w:eastAsia="微軟正黑體" w:hAnsi="微軟正黑體" w:cs="新細明體" w:hint="eastAsia"/>
                <w:color w:val="000000"/>
                <w:kern w:val="0"/>
                <w:szCs w:val="24"/>
              </w:rPr>
              <w:t xml:space="preserve"> = 負債 +所有者權益 + 收益</w:t>
            </w:r>
          </w:p>
        </w:tc>
        <w:tc>
          <w:tcPr>
            <w:tcW w:w="0" w:type="auto"/>
            <w:shd w:val="clear" w:color="auto" w:fill="FFFFFF"/>
            <w:vAlign w:val="center"/>
            <w:hideMark/>
          </w:tcPr>
          <w:p w:rsidR="0016762B" w:rsidRPr="0016762B" w:rsidRDefault="0016762B" w:rsidP="0016762B">
            <w:pPr>
              <w:widowControl/>
              <w:numPr>
                <w:ilvl w:val="0"/>
                <w:numId w:val="15"/>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16762B" w:rsidRPr="0016762B" w:rsidTr="0016762B">
        <w:trPr>
          <w:tblCellSpacing w:w="7" w:type="dxa"/>
        </w:trPr>
        <w:tc>
          <w:tcPr>
            <w:tcW w:w="0" w:type="auto"/>
            <w:shd w:val="clear" w:color="auto" w:fill="F9F9F9"/>
            <w:noWrap/>
            <w:hideMark/>
          </w:tcPr>
          <w:p w:rsidR="0016762B" w:rsidRPr="0016762B" w:rsidRDefault="0016762B" w:rsidP="0016762B">
            <w:pPr>
              <w:widowControl/>
              <w:spacing w:line="384" w:lineRule="atLeast"/>
              <w:rPr>
                <w:rFonts w:ascii="微軟正黑體" w:eastAsia="微軟正黑體" w:hAnsi="微軟正黑體" w:cs="新細明體"/>
                <w:color w:val="000000"/>
                <w:kern w:val="0"/>
                <w:szCs w:val="24"/>
              </w:rPr>
            </w:pPr>
            <w:r w:rsidRPr="0016762B">
              <w:rPr>
                <w:rFonts w:ascii="微軟正黑體" w:eastAsia="微軟正黑體" w:hAnsi="微軟正黑體" w:cs="新細明體" w:hint="eastAsia"/>
                <w:b/>
                <w:bCs/>
                <w:color w:val="000000"/>
                <w:kern w:val="0"/>
                <w:szCs w:val="24"/>
              </w:rPr>
              <w:t>配分：[0.00]</w:t>
            </w:r>
          </w:p>
        </w:tc>
        <w:tc>
          <w:tcPr>
            <w:tcW w:w="0" w:type="auto"/>
            <w:shd w:val="clear" w:color="auto" w:fill="F9F9F9"/>
            <w:noWrap/>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2.</w:t>
            </w:r>
          </w:p>
          <w:p w:rsidR="0016762B" w:rsidRPr="0016762B" w:rsidRDefault="0016762B" w:rsidP="0016762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下列關於借貸法則之敘述何者正確？</w:t>
            </w:r>
          </w:p>
          <w:p w:rsidR="0016762B" w:rsidRPr="0016762B" w:rsidRDefault="0016762B" w:rsidP="0016762B">
            <w:pPr>
              <w:widowControl/>
              <w:numPr>
                <w:ilvl w:val="0"/>
                <w:numId w:val="16"/>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200" type="#_x0000_t75" style="width:20.1pt;height:19.25pt" o:ole="">
                  <v:imagedata r:id="rId7" o:title=""/>
                </v:shape>
                <w:control r:id="rId12" w:name="DefaultOcxName4" w:shapeid="_x0000_i1200"/>
              </w:object>
            </w:r>
            <w:r w:rsidRPr="0016762B">
              <w:rPr>
                <w:rFonts w:ascii="微軟正黑體" w:eastAsia="微軟正黑體" w:hAnsi="微軟正黑體" w:cs="新細明體" w:hint="eastAsia"/>
                <w:color w:val="000000"/>
                <w:kern w:val="0"/>
                <w:szCs w:val="24"/>
              </w:rPr>
              <w:t>當收益增加時，其增加金額應列入收益帳戶的左方 (借方)</w:t>
            </w:r>
          </w:p>
          <w:p w:rsidR="0016762B" w:rsidRPr="0016762B" w:rsidRDefault="0016762B" w:rsidP="0016762B">
            <w:pPr>
              <w:widowControl/>
              <w:numPr>
                <w:ilvl w:val="0"/>
                <w:numId w:val="16"/>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shd w:val="clear" w:color="auto" w:fill="008000"/>
              </w:rPr>
              <w:lastRenderedPageBreak/>
              <w:object w:dxaOrig="1440" w:dyaOrig="1440">
                <v:shape id="_x0000_i1199" type="#_x0000_t75" style="width:20.1pt;height:19.25pt" o:ole="">
                  <v:imagedata r:id="rId7" o:title=""/>
                </v:shape>
                <w:control r:id="rId13" w:name="DefaultOcxName5" w:shapeid="_x0000_i1199"/>
              </w:object>
            </w:r>
            <w:proofErr w:type="gramStart"/>
            <w:r w:rsidRPr="0016762B">
              <w:rPr>
                <w:rFonts w:ascii="微軟正黑體" w:eastAsia="微軟正黑體" w:hAnsi="微軟正黑體" w:cs="新細明體" w:hint="eastAsia"/>
                <w:color w:val="000000"/>
                <w:kern w:val="0"/>
                <w:szCs w:val="24"/>
              </w:rPr>
              <w:t>當費損</w:t>
            </w:r>
            <w:proofErr w:type="gramEnd"/>
            <w:r w:rsidRPr="0016762B">
              <w:rPr>
                <w:rFonts w:ascii="微軟正黑體" w:eastAsia="微軟正黑體" w:hAnsi="微軟正黑體" w:cs="新細明體" w:hint="eastAsia"/>
                <w:color w:val="000000"/>
                <w:kern w:val="0"/>
                <w:szCs w:val="24"/>
              </w:rPr>
              <w:t>增加時，其增加金額應</w:t>
            </w:r>
            <w:proofErr w:type="gramStart"/>
            <w:r w:rsidRPr="0016762B">
              <w:rPr>
                <w:rFonts w:ascii="微軟正黑體" w:eastAsia="微軟正黑體" w:hAnsi="微軟正黑體" w:cs="新細明體" w:hint="eastAsia"/>
                <w:color w:val="000000"/>
                <w:kern w:val="0"/>
                <w:szCs w:val="24"/>
              </w:rPr>
              <w:t>列入費損帳戶</w:t>
            </w:r>
            <w:proofErr w:type="gramEnd"/>
            <w:r w:rsidRPr="0016762B">
              <w:rPr>
                <w:rFonts w:ascii="微軟正黑體" w:eastAsia="微軟正黑體" w:hAnsi="微軟正黑體" w:cs="新細明體" w:hint="eastAsia"/>
                <w:color w:val="000000"/>
                <w:kern w:val="0"/>
                <w:szCs w:val="24"/>
              </w:rPr>
              <w:t>的左方 (借方)</w:t>
            </w:r>
          </w:p>
          <w:p w:rsidR="0016762B" w:rsidRPr="0016762B" w:rsidRDefault="0016762B" w:rsidP="0016762B">
            <w:pPr>
              <w:widowControl/>
              <w:numPr>
                <w:ilvl w:val="0"/>
                <w:numId w:val="16"/>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8" type="#_x0000_t75" style="width:20.1pt;height:19.25pt" o:ole="">
                  <v:imagedata r:id="rId7" o:title=""/>
                </v:shape>
                <w:control r:id="rId14" w:name="DefaultOcxName6" w:shapeid="_x0000_i1198"/>
              </w:object>
            </w:r>
            <w:r w:rsidRPr="0016762B">
              <w:rPr>
                <w:rFonts w:ascii="微軟正黑體" w:eastAsia="微軟正黑體" w:hAnsi="微軟正黑體" w:cs="新細明體" w:hint="eastAsia"/>
                <w:color w:val="000000"/>
                <w:kern w:val="0"/>
                <w:szCs w:val="24"/>
              </w:rPr>
              <w:t>當資產減少時，其減少金額應列入資產帳戶的左方 (借方)</w:t>
            </w:r>
          </w:p>
          <w:p w:rsidR="0016762B" w:rsidRPr="0016762B" w:rsidRDefault="0016762B" w:rsidP="0016762B">
            <w:pPr>
              <w:widowControl/>
              <w:numPr>
                <w:ilvl w:val="0"/>
                <w:numId w:val="16"/>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7" type="#_x0000_t75" style="width:20.1pt;height:19.25pt" o:ole="">
                  <v:imagedata r:id="rId7" o:title=""/>
                </v:shape>
                <w:control r:id="rId15" w:name="DefaultOcxName7" w:shapeid="_x0000_i1197"/>
              </w:object>
            </w:r>
            <w:r w:rsidRPr="0016762B">
              <w:rPr>
                <w:rFonts w:ascii="微軟正黑體" w:eastAsia="微軟正黑體" w:hAnsi="微軟正黑體" w:cs="新細明體" w:hint="eastAsia"/>
                <w:color w:val="000000"/>
                <w:kern w:val="0"/>
                <w:szCs w:val="24"/>
              </w:rPr>
              <w:t>當負債增加時，其增加金額應列入負債帳戶的左方 (借方)</w:t>
            </w:r>
          </w:p>
        </w:tc>
        <w:tc>
          <w:tcPr>
            <w:tcW w:w="0" w:type="auto"/>
            <w:shd w:val="clear" w:color="auto" w:fill="F9F9F9"/>
            <w:vAlign w:val="center"/>
            <w:hideMark/>
          </w:tcPr>
          <w:p w:rsidR="0016762B" w:rsidRPr="0016762B" w:rsidRDefault="0016762B" w:rsidP="0016762B">
            <w:pPr>
              <w:widowControl/>
              <w:numPr>
                <w:ilvl w:val="0"/>
                <w:numId w:val="16"/>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16762B" w:rsidRPr="0016762B" w:rsidTr="0016762B">
        <w:trPr>
          <w:tblCellSpacing w:w="7" w:type="dxa"/>
        </w:trPr>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color w:val="000000"/>
                <w:kern w:val="0"/>
                <w:szCs w:val="24"/>
              </w:rPr>
            </w:pPr>
            <w:r w:rsidRPr="0016762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3.</w:t>
            </w:r>
          </w:p>
          <w:p w:rsidR="0016762B" w:rsidRPr="0016762B" w:rsidRDefault="0016762B" w:rsidP="0016762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以下何種財務比率可用來衡量個人或家庭是否具有償債能力？</w:t>
            </w:r>
          </w:p>
          <w:p w:rsidR="0016762B" w:rsidRPr="0016762B" w:rsidRDefault="0016762B" w:rsidP="0016762B">
            <w:pPr>
              <w:widowControl/>
              <w:numPr>
                <w:ilvl w:val="0"/>
                <w:numId w:val="17"/>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6" type="#_x0000_t75" style="width:20.1pt;height:19.25pt" o:ole="">
                  <v:imagedata r:id="rId7" o:title=""/>
                </v:shape>
                <w:control r:id="rId16" w:name="DefaultOcxName8" w:shapeid="_x0000_i1196"/>
              </w:object>
            </w:r>
            <w:r w:rsidRPr="0016762B">
              <w:rPr>
                <w:rFonts w:ascii="微軟正黑體" w:eastAsia="微軟正黑體" w:hAnsi="微軟正黑體" w:cs="新細明體" w:hint="eastAsia"/>
                <w:color w:val="000000"/>
                <w:kern w:val="0"/>
                <w:szCs w:val="24"/>
              </w:rPr>
              <w:t>淨值投資比率</w:t>
            </w:r>
          </w:p>
          <w:p w:rsidR="0016762B" w:rsidRPr="0016762B" w:rsidRDefault="0016762B" w:rsidP="0016762B">
            <w:pPr>
              <w:widowControl/>
              <w:numPr>
                <w:ilvl w:val="0"/>
                <w:numId w:val="17"/>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5" type="#_x0000_t75" style="width:20.1pt;height:19.25pt" o:ole="">
                  <v:imagedata r:id="rId7" o:title=""/>
                </v:shape>
                <w:control r:id="rId17" w:name="DefaultOcxName9" w:shapeid="_x0000_i1195"/>
              </w:object>
            </w:r>
            <w:r w:rsidRPr="0016762B">
              <w:rPr>
                <w:rFonts w:ascii="微軟正黑體" w:eastAsia="微軟正黑體" w:hAnsi="微軟正黑體" w:cs="新細明體" w:hint="eastAsia"/>
                <w:color w:val="000000"/>
                <w:kern w:val="0"/>
                <w:szCs w:val="24"/>
              </w:rPr>
              <w:t>負債比率</w:t>
            </w:r>
          </w:p>
          <w:p w:rsidR="0016762B" w:rsidRPr="0016762B" w:rsidRDefault="0016762B" w:rsidP="0016762B">
            <w:pPr>
              <w:widowControl/>
              <w:numPr>
                <w:ilvl w:val="0"/>
                <w:numId w:val="17"/>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4" type="#_x0000_t75" style="width:20.1pt;height:19.25pt" o:ole="">
                  <v:imagedata r:id="rId7" o:title=""/>
                </v:shape>
                <w:control r:id="rId18" w:name="DefaultOcxName10" w:shapeid="_x0000_i1194"/>
              </w:object>
            </w:r>
            <w:r w:rsidRPr="0016762B">
              <w:rPr>
                <w:rFonts w:ascii="微軟正黑體" w:eastAsia="微軟正黑體" w:hAnsi="微軟正黑體" w:cs="新細明體" w:hint="eastAsia"/>
                <w:color w:val="000000"/>
                <w:kern w:val="0"/>
                <w:szCs w:val="24"/>
              </w:rPr>
              <w:t>邊際消費率</w:t>
            </w:r>
          </w:p>
          <w:p w:rsidR="0016762B" w:rsidRPr="0016762B" w:rsidRDefault="0016762B" w:rsidP="0016762B">
            <w:pPr>
              <w:widowControl/>
              <w:numPr>
                <w:ilvl w:val="0"/>
                <w:numId w:val="17"/>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shd w:val="clear" w:color="auto" w:fill="008000"/>
              </w:rPr>
              <w:object w:dxaOrig="1440" w:dyaOrig="1440">
                <v:shape id="_x0000_i1193" type="#_x0000_t75" style="width:20.1pt;height:19.25pt" o:ole="">
                  <v:imagedata r:id="rId7" o:title=""/>
                </v:shape>
                <w:control r:id="rId19" w:name="DefaultOcxName11" w:shapeid="_x0000_i1193"/>
              </w:object>
            </w:r>
            <w:r w:rsidRPr="0016762B">
              <w:rPr>
                <w:rFonts w:ascii="微軟正黑體" w:eastAsia="微軟正黑體" w:hAnsi="微軟正黑體" w:cs="新細明體" w:hint="eastAsia"/>
                <w:color w:val="000000"/>
                <w:kern w:val="0"/>
                <w:szCs w:val="24"/>
              </w:rPr>
              <w:t>淨值償付比率</w:t>
            </w:r>
          </w:p>
        </w:tc>
        <w:tc>
          <w:tcPr>
            <w:tcW w:w="0" w:type="auto"/>
            <w:shd w:val="clear" w:color="auto" w:fill="FFFFFF"/>
            <w:vAlign w:val="center"/>
            <w:hideMark/>
          </w:tcPr>
          <w:p w:rsidR="0016762B" w:rsidRPr="0016762B" w:rsidRDefault="0016762B" w:rsidP="0016762B">
            <w:pPr>
              <w:widowControl/>
              <w:numPr>
                <w:ilvl w:val="0"/>
                <w:numId w:val="17"/>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16762B" w:rsidRPr="0016762B" w:rsidTr="0016762B">
        <w:trPr>
          <w:tblCellSpacing w:w="7" w:type="dxa"/>
        </w:trPr>
        <w:tc>
          <w:tcPr>
            <w:tcW w:w="0" w:type="auto"/>
            <w:shd w:val="clear" w:color="auto" w:fill="F9F9F9"/>
            <w:noWrap/>
            <w:hideMark/>
          </w:tcPr>
          <w:p w:rsidR="0016762B" w:rsidRPr="0016762B" w:rsidRDefault="0016762B" w:rsidP="0016762B">
            <w:pPr>
              <w:widowControl/>
              <w:spacing w:line="384" w:lineRule="atLeast"/>
              <w:rPr>
                <w:rFonts w:ascii="微軟正黑體" w:eastAsia="微軟正黑體" w:hAnsi="微軟正黑體" w:cs="新細明體"/>
                <w:color w:val="000000"/>
                <w:kern w:val="0"/>
                <w:szCs w:val="24"/>
              </w:rPr>
            </w:pPr>
            <w:r w:rsidRPr="0016762B">
              <w:rPr>
                <w:rFonts w:ascii="微軟正黑體" w:eastAsia="微軟正黑體" w:hAnsi="微軟正黑體" w:cs="新細明體" w:hint="eastAsia"/>
                <w:b/>
                <w:bCs/>
                <w:color w:val="000000"/>
                <w:kern w:val="0"/>
                <w:szCs w:val="24"/>
              </w:rPr>
              <w:lastRenderedPageBreak/>
              <w:t>配分：[0.00]</w:t>
            </w:r>
          </w:p>
        </w:tc>
        <w:tc>
          <w:tcPr>
            <w:tcW w:w="0" w:type="auto"/>
            <w:shd w:val="clear" w:color="auto" w:fill="F9F9F9"/>
            <w:noWrap/>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 </w:t>
            </w:r>
          </w:p>
        </w:tc>
        <w:tc>
          <w:tcPr>
            <w:tcW w:w="0" w:type="auto"/>
            <w:shd w:val="clear" w:color="auto" w:fill="F9F9F9"/>
            <w:vAlign w:val="center"/>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4.</w:t>
            </w:r>
          </w:p>
          <w:p w:rsidR="0016762B" w:rsidRPr="0016762B" w:rsidRDefault="0016762B" w:rsidP="0016762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下列哪</w:t>
            </w:r>
            <w:proofErr w:type="gramStart"/>
            <w:r w:rsidRPr="0016762B">
              <w:rPr>
                <w:rFonts w:ascii="微軟正黑體" w:eastAsia="微軟正黑體" w:hAnsi="微軟正黑體" w:cs="新細明體" w:hint="eastAsia"/>
                <w:color w:val="000000"/>
                <w:kern w:val="0"/>
                <w:szCs w:val="24"/>
              </w:rPr>
              <w:t>個</w:t>
            </w:r>
            <w:proofErr w:type="gramEnd"/>
            <w:r w:rsidRPr="0016762B">
              <w:rPr>
                <w:rFonts w:ascii="微軟正黑體" w:eastAsia="微軟正黑體" w:hAnsi="微軟正黑體" w:cs="新細明體" w:hint="eastAsia"/>
                <w:color w:val="000000"/>
                <w:kern w:val="0"/>
                <w:szCs w:val="24"/>
              </w:rPr>
              <w:t>財務比率不是同時利用個人或家庭的資產負債表及收支儲蓄表之會計資訊所計算求得？</w:t>
            </w:r>
          </w:p>
          <w:p w:rsidR="0016762B" w:rsidRPr="0016762B" w:rsidRDefault="0016762B" w:rsidP="0016762B">
            <w:pPr>
              <w:widowControl/>
              <w:numPr>
                <w:ilvl w:val="0"/>
                <w:numId w:val="18"/>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shd w:val="clear" w:color="auto" w:fill="008000"/>
              </w:rPr>
              <w:object w:dxaOrig="1440" w:dyaOrig="1440">
                <v:shape id="_x0000_i1192" type="#_x0000_t75" style="width:20.1pt;height:19.25pt" o:ole="">
                  <v:imagedata r:id="rId7" o:title=""/>
                </v:shape>
                <w:control r:id="rId20" w:name="DefaultOcxName12" w:shapeid="_x0000_i1192"/>
              </w:object>
            </w:r>
            <w:r w:rsidRPr="0016762B">
              <w:rPr>
                <w:rFonts w:ascii="微軟正黑體" w:eastAsia="微軟正黑體" w:hAnsi="微軟正黑體" w:cs="新細明體" w:hint="eastAsia"/>
                <w:color w:val="000000"/>
                <w:kern w:val="0"/>
                <w:szCs w:val="24"/>
              </w:rPr>
              <w:t>淨值投資比率</w:t>
            </w:r>
          </w:p>
          <w:p w:rsidR="0016762B" w:rsidRPr="0016762B" w:rsidRDefault="0016762B" w:rsidP="0016762B">
            <w:pPr>
              <w:widowControl/>
              <w:numPr>
                <w:ilvl w:val="0"/>
                <w:numId w:val="18"/>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1" type="#_x0000_t75" style="width:20.1pt;height:19.25pt" o:ole="">
                  <v:imagedata r:id="rId7" o:title=""/>
                </v:shape>
                <w:control r:id="rId21" w:name="DefaultOcxName13" w:shapeid="_x0000_i1191"/>
              </w:object>
            </w:r>
            <w:r w:rsidRPr="0016762B">
              <w:rPr>
                <w:rFonts w:ascii="微軟正黑體" w:eastAsia="微軟正黑體" w:hAnsi="微軟正黑體" w:cs="新細明體" w:hint="eastAsia"/>
                <w:color w:val="000000"/>
                <w:kern w:val="0"/>
                <w:szCs w:val="24"/>
              </w:rPr>
              <w:t>負債收入比率</w:t>
            </w:r>
          </w:p>
          <w:p w:rsidR="0016762B" w:rsidRPr="0016762B" w:rsidRDefault="0016762B" w:rsidP="0016762B">
            <w:pPr>
              <w:widowControl/>
              <w:numPr>
                <w:ilvl w:val="0"/>
                <w:numId w:val="18"/>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90" type="#_x0000_t75" style="width:20.1pt;height:19.25pt" o:ole="">
                  <v:imagedata r:id="rId7" o:title=""/>
                </v:shape>
                <w:control r:id="rId22" w:name="DefaultOcxName14" w:shapeid="_x0000_i1190"/>
              </w:object>
            </w:r>
            <w:r w:rsidRPr="0016762B">
              <w:rPr>
                <w:rFonts w:ascii="微軟正黑體" w:eastAsia="微軟正黑體" w:hAnsi="微軟正黑體" w:cs="新細明體" w:hint="eastAsia"/>
                <w:color w:val="000000"/>
                <w:kern w:val="0"/>
                <w:szCs w:val="24"/>
              </w:rPr>
              <w:t>即付比率</w:t>
            </w:r>
          </w:p>
          <w:p w:rsidR="0016762B" w:rsidRPr="0016762B" w:rsidRDefault="0016762B" w:rsidP="0016762B">
            <w:pPr>
              <w:widowControl/>
              <w:numPr>
                <w:ilvl w:val="0"/>
                <w:numId w:val="18"/>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89" type="#_x0000_t75" style="width:20.1pt;height:19.25pt" o:ole="">
                  <v:imagedata r:id="rId7" o:title=""/>
                </v:shape>
                <w:control r:id="rId23" w:name="DefaultOcxName15" w:shapeid="_x0000_i1189"/>
              </w:object>
            </w:r>
            <w:r w:rsidRPr="0016762B">
              <w:rPr>
                <w:rFonts w:ascii="微軟正黑體" w:eastAsia="微軟正黑體" w:hAnsi="微軟正黑體" w:cs="新細明體" w:hint="eastAsia"/>
                <w:color w:val="000000"/>
                <w:kern w:val="0"/>
                <w:szCs w:val="24"/>
              </w:rPr>
              <w:t>資產成長率</w:t>
            </w:r>
          </w:p>
        </w:tc>
        <w:tc>
          <w:tcPr>
            <w:tcW w:w="0" w:type="auto"/>
            <w:shd w:val="clear" w:color="auto" w:fill="F9F9F9"/>
            <w:vAlign w:val="center"/>
            <w:hideMark/>
          </w:tcPr>
          <w:p w:rsidR="0016762B" w:rsidRPr="0016762B" w:rsidRDefault="0016762B" w:rsidP="0016762B">
            <w:pPr>
              <w:widowControl/>
              <w:numPr>
                <w:ilvl w:val="0"/>
                <w:numId w:val="18"/>
              </w:numPr>
              <w:spacing w:before="100" w:beforeAutospacing="1" w:after="100" w:afterAutospacing="1" w:line="384" w:lineRule="atLeast"/>
              <w:rPr>
                <w:rFonts w:ascii="微軟正黑體" w:eastAsia="微軟正黑體" w:hAnsi="微軟正黑體" w:cs="新細明體" w:hint="eastAsia"/>
                <w:color w:val="000000"/>
                <w:kern w:val="0"/>
                <w:szCs w:val="24"/>
              </w:rPr>
            </w:pPr>
          </w:p>
        </w:tc>
      </w:tr>
      <w:tr w:rsidR="0016762B" w:rsidRPr="0016762B" w:rsidTr="0016762B">
        <w:trPr>
          <w:tblCellSpacing w:w="7" w:type="dxa"/>
        </w:trPr>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color w:val="000000"/>
                <w:kern w:val="0"/>
                <w:szCs w:val="24"/>
              </w:rPr>
            </w:pPr>
            <w:r w:rsidRPr="0016762B">
              <w:rPr>
                <w:rFonts w:ascii="微軟正黑體" w:eastAsia="微軟正黑體" w:hAnsi="微軟正黑體" w:cs="新細明體" w:hint="eastAsia"/>
                <w:b/>
                <w:bCs/>
                <w:color w:val="000000"/>
                <w:kern w:val="0"/>
                <w:szCs w:val="24"/>
              </w:rPr>
              <w:t>配分：[0.00]</w:t>
            </w:r>
          </w:p>
        </w:tc>
        <w:tc>
          <w:tcPr>
            <w:tcW w:w="0" w:type="auto"/>
            <w:shd w:val="clear" w:color="auto" w:fill="FFFFFF"/>
            <w:noWrap/>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 </w:t>
            </w:r>
          </w:p>
        </w:tc>
        <w:tc>
          <w:tcPr>
            <w:tcW w:w="0" w:type="auto"/>
            <w:shd w:val="clear" w:color="auto" w:fill="FFFFFF"/>
            <w:vAlign w:val="center"/>
            <w:hideMark/>
          </w:tcPr>
          <w:p w:rsidR="0016762B" w:rsidRPr="0016762B" w:rsidRDefault="0016762B" w:rsidP="0016762B">
            <w:pPr>
              <w:widowControl/>
              <w:spacing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5.</w:t>
            </w:r>
          </w:p>
          <w:p w:rsidR="0016762B" w:rsidRPr="0016762B" w:rsidRDefault="0016762B" w:rsidP="0016762B">
            <w:pPr>
              <w:widowControl/>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hint="eastAsia"/>
                <w:color w:val="000000"/>
                <w:kern w:val="0"/>
                <w:szCs w:val="24"/>
              </w:rPr>
              <w:t>根據淨值成長率的公式，我們可以推知個人或家庭若想要提升財富累積的速度，可透過以下何種方式來進行？</w:t>
            </w:r>
          </w:p>
          <w:p w:rsidR="0016762B" w:rsidRPr="0016762B" w:rsidRDefault="0016762B" w:rsidP="0016762B">
            <w:pPr>
              <w:widowControl/>
              <w:numPr>
                <w:ilvl w:val="0"/>
                <w:numId w:val="19"/>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shd w:val="clear" w:color="auto" w:fill="008000"/>
              </w:rPr>
              <w:object w:dxaOrig="1440" w:dyaOrig="1440">
                <v:shape id="_x0000_i1188" type="#_x0000_t75" style="width:20.1pt;height:19.25pt" o:ole="">
                  <v:imagedata r:id="rId7" o:title=""/>
                </v:shape>
                <w:control r:id="rId24" w:name="DefaultOcxName16" w:shapeid="_x0000_i1188"/>
              </w:object>
            </w:r>
            <w:r w:rsidRPr="0016762B">
              <w:rPr>
                <w:rFonts w:ascii="微軟正黑體" w:eastAsia="微軟正黑體" w:hAnsi="微軟正黑體" w:cs="新細明體" w:hint="eastAsia"/>
                <w:color w:val="000000"/>
                <w:kern w:val="0"/>
                <w:szCs w:val="24"/>
              </w:rPr>
              <w:t>提升儲蓄率</w:t>
            </w:r>
          </w:p>
          <w:p w:rsidR="0016762B" w:rsidRPr="0016762B" w:rsidRDefault="0016762B" w:rsidP="0016762B">
            <w:pPr>
              <w:widowControl/>
              <w:numPr>
                <w:ilvl w:val="0"/>
                <w:numId w:val="19"/>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lastRenderedPageBreak/>
              <w:object w:dxaOrig="1440" w:dyaOrig="1440">
                <v:shape id="_x0000_i1187" type="#_x0000_t75" style="width:20.1pt;height:19.25pt" o:ole="">
                  <v:imagedata r:id="rId7" o:title=""/>
                </v:shape>
                <w:control r:id="rId25" w:name="DefaultOcxName17" w:shapeid="_x0000_i1187"/>
              </w:object>
            </w:r>
            <w:r w:rsidRPr="0016762B">
              <w:rPr>
                <w:rFonts w:ascii="微軟正黑體" w:eastAsia="微軟正黑體" w:hAnsi="微軟正黑體" w:cs="新細明體" w:hint="eastAsia"/>
                <w:color w:val="000000"/>
                <w:kern w:val="0"/>
                <w:szCs w:val="24"/>
              </w:rPr>
              <w:t>降低生息資產權數</w:t>
            </w:r>
          </w:p>
          <w:p w:rsidR="0016762B" w:rsidRPr="0016762B" w:rsidRDefault="0016762B" w:rsidP="0016762B">
            <w:pPr>
              <w:widowControl/>
              <w:numPr>
                <w:ilvl w:val="0"/>
                <w:numId w:val="19"/>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86" type="#_x0000_t75" style="width:20.1pt;height:19.25pt" o:ole="">
                  <v:imagedata r:id="rId7" o:title=""/>
                </v:shape>
                <w:control r:id="rId26" w:name="DefaultOcxName18" w:shapeid="_x0000_i1186"/>
              </w:object>
            </w:r>
            <w:r w:rsidRPr="0016762B">
              <w:rPr>
                <w:rFonts w:ascii="微軟正黑體" w:eastAsia="微軟正黑體" w:hAnsi="微軟正黑體" w:cs="新細明體" w:hint="eastAsia"/>
                <w:color w:val="000000"/>
                <w:kern w:val="0"/>
                <w:szCs w:val="24"/>
              </w:rPr>
              <w:t>提高淨值償付比率</w:t>
            </w:r>
          </w:p>
          <w:p w:rsidR="0016762B" w:rsidRPr="0016762B" w:rsidRDefault="0016762B" w:rsidP="0016762B">
            <w:pPr>
              <w:widowControl/>
              <w:numPr>
                <w:ilvl w:val="0"/>
                <w:numId w:val="19"/>
              </w:numPr>
              <w:spacing w:before="100" w:beforeAutospacing="1" w:after="100" w:afterAutospacing="1" w:line="384" w:lineRule="atLeast"/>
              <w:rPr>
                <w:rFonts w:ascii="微軟正黑體" w:eastAsia="微軟正黑體" w:hAnsi="微軟正黑體" w:cs="新細明體" w:hint="eastAsia"/>
                <w:color w:val="000000"/>
                <w:kern w:val="0"/>
                <w:szCs w:val="24"/>
              </w:rPr>
            </w:pPr>
            <w:r w:rsidRPr="0016762B">
              <w:rPr>
                <w:rFonts w:ascii="微軟正黑體" w:eastAsia="微軟正黑體" w:hAnsi="微軟正黑體" w:cs="新細明體"/>
                <w:color w:val="000000"/>
                <w:kern w:val="0"/>
                <w:szCs w:val="24"/>
              </w:rPr>
              <w:object w:dxaOrig="1440" w:dyaOrig="1440">
                <v:shape id="_x0000_i1185" type="#_x0000_t75" style="width:20.1pt;height:19.25pt" o:ole="">
                  <v:imagedata r:id="rId7" o:title=""/>
                </v:shape>
                <w:control r:id="rId27" w:name="DefaultOcxName19" w:shapeid="_x0000_i1185"/>
              </w:object>
            </w:r>
            <w:r w:rsidRPr="0016762B">
              <w:rPr>
                <w:rFonts w:ascii="微軟正黑體" w:eastAsia="微軟正黑體" w:hAnsi="微軟正黑體" w:cs="新細明體" w:hint="eastAsia"/>
                <w:color w:val="000000"/>
                <w:kern w:val="0"/>
                <w:szCs w:val="24"/>
              </w:rPr>
              <w:t>拉長投資期限</w:t>
            </w:r>
          </w:p>
        </w:tc>
        <w:tc>
          <w:tcPr>
            <w:tcW w:w="0" w:type="auto"/>
            <w:shd w:val="clear" w:color="auto" w:fill="FFFFFF"/>
            <w:vAlign w:val="center"/>
            <w:hideMark/>
          </w:tcPr>
          <w:p w:rsidR="0016762B" w:rsidRPr="0016762B" w:rsidRDefault="0016762B" w:rsidP="0016762B">
            <w:pPr>
              <w:widowControl/>
              <w:rPr>
                <w:rFonts w:ascii="Times New Roman" w:eastAsia="Times New Roman" w:hAnsi="Times New Roman" w:cs="Times New Roman"/>
                <w:kern w:val="0"/>
                <w:sz w:val="20"/>
                <w:szCs w:val="20"/>
              </w:rPr>
            </w:pPr>
          </w:p>
        </w:tc>
      </w:tr>
    </w:tbl>
    <w:p w:rsidR="00FD64E7" w:rsidRPr="0016762B" w:rsidRDefault="00FD64E7" w:rsidP="0016762B">
      <w:bookmarkStart w:id="0" w:name="_GoBack"/>
      <w:bookmarkEnd w:id="0"/>
    </w:p>
    <w:sectPr w:rsidR="00FD64E7" w:rsidRPr="0016762B" w:rsidSect="00243653">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762B" w:rsidRDefault="0016762B" w:rsidP="0016762B">
      <w:r>
        <w:separator/>
      </w:r>
    </w:p>
  </w:endnote>
  <w:endnote w:type="continuationSeparator" w:id="0">
    <w:p w:rsidR="0016762B" w:rsidRDefault="0016762B" w:rsidP="0016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762B" w:rsidRDefault="0016762B" w:rsidP="0016762B">
      <w:r>
        <w:separator/>
      </w:r>
    </w:p>
  </w:footnote>
  <w:footnote w:type="continuationSeparator" w:id="0">
    <w:p w:rsidR="0016762B" w:rsidRDefault="0016762B" w:rsidP="001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9C4"/>
    <w:multiLevelType w:val="multilevel"/>
    <w:tmpl w:val="643CAB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F085000"/>
    <w:multiLevelType w:val="multilevel"/>
    <w:tmpl w:val="9B4C52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0A81E2B"/>
    <w:multiLevelType w:val="multilevel"/>
    <w:tmpl w:val="09D6D5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B6E0B85"/>
    <w:multiLevelType w:val="multilevel"/>
    <w:tmpl w:val="444A5C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AC16309"/>
    <w:multiLevelType w:val="multilevel"/>
    <w:tmpl w:val="26E43B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5E55F4D"/>
    <w:multiLevelType w:val="multilevel"/>
    <w:tmpl w:val="927E8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B295CFF"/>
    <w:multiLevelType w:val="multilevel"/>
    <w:tmpl w:val="FE7800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F2B28B8"/>
    <w:multiLevelType w:val="multilevel"/>
    <w:tmpl w:val="A43887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FE32141"/>
    <w:multiLevelType w:val="multilevel"/>
    <w:tmpl w:val="C47C4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0791CF5"/>
    <w:multiLevelType w:val="multilevel"/>
    <w:tmpl w:val="0DE0C7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C187DB7"/>
    <w:multiLevelType w:val="multilevel"/>
    <w:tmpl w:val="4B44D1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E182429"/>
    <w:multiLevelType w:val="multilevel"/>
    <w:tmpl w:val="D5CC9C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1992503"/>
    <w:multiLevelType w:val="multilevel"/>
    <w:tmpl w:val="3F7852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2D6206"/>
    <w:multiLevelType w:val="multilevel"/>
    <w:tmpl w:val="8C5286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1053EAA"/>
    <w:multiLevelType w:val="multilevel"/>
    <w:tmpl w:val="81BEB7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9B045E1"/>
    <w:multiLevelType w:val="multilevel"/>
    <w:tmpl w:val="38F2E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3B35AAE"/>
    <w:multiLevelType w:val="multilevel"/>
    <w:tmpl w:val="099C12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86D43C9"/>
    <w:multiLevelType w:val="multilevel"/>
    <w:tmpl w:val="78E207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FB35129"/>
    <w:multiLevelType w:val="multilevel"/>
    <w:tmpl w:val="C9A67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5"/>
  </w:num>
  <w:num w:numId="2">
    <w:abstractNumId w:val="3"/>
  </w:num>
  <w:num w:numId="3">
    <w:abstractNumId w:val="2"/>
  </w:num>
  <w:num w:numId="4">
    <w:abstractNumId w:val="11"/>
  </w:num>
  <w:num w:numId="5">
    <w:abstractNumId w:val="6"/>
  </w:num>
  <w:num w:numId="6">
    <w:abstractNumId w:val="16"/>
  </w:num>
  <w:num w:numId="7">
    <w:abstractNumId w:val="13"/>
  </w:num>
  <w:num w:numId="8">
    <w:abstractNumId w:val="18"/>
  </w:num>
  <w:num w:numId="9">
    <w:abstractNumId w:val="17"/>
  </w:num>
  <w:num w:numId="10">
    <w:abstractNumId w:val="12"/>
  </w:num>
  <w:num w:numId="11">
    <w:abstractNumId w:val="5"/>
  </w:num>
  <w:num w:numId="12">
    <w:abstractNumId w:val="14"/>
  </w:num>
  <w:num w:numId="13">
    <w:abstractNumId w:val="8"/>
  </w:num>
  <w:num w:numId="14">
    <w:abstractNumId w:val="7"/>
  </w:num>
  <w:num w:numId="15">
    <w:abstractNumId w:val="4"/>
  </w:num>
  <w:num w:numId="16">
    <w:abstractNumId w:val="1"/>
  </w:num>
  <w:num w:numId="17">
    <w:abstractNumId w:val="9"/>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53"/>
    <w:rsid w:val="0016762B"/>
    <w:rsid w:val="00243653"/>
    <w:rsid w:val="0086726F"/>
    <w:rsid w:val="00FB02D8"/>
    <w:rsid w:val="00FD64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F1F22-D392-469C-95EF-91E05E8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43653"/>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16762B"/>
    <w:pPr>
      <w:tabs>
        <w:tab w:val="center" w:pos="4153"/>
        <w:tab w:val="right" w:pos="8306"/>
      </w:tabs>
      <w:snapToGrid w:val="0"/>
    </w:pPr>
    <w:rPr>
      <w:sz w:val="20"/>
      <w:szCs w:val="20"/>
    </w:rPr>
  </w:style>
  <w:style w:type="character" w:customStyle="1" w:styleId="a4">
    <w:name w:val="頁首 字元"/>
    <w:basedOn w:val="a0"/>
    <w:link w:val="a3"/>
    <w:uiPriority w:val="99"/>
    <w:rsid w:val="0016762B"/>
    <w:rPr>
      <w:sz w:val="20"/>
      <w:szCs w:val="20"/>
    </w:rPr>
  </w:style>
  <w:style w:type="paragraph" w:styleId="a5">
    <w:name w:val="footer"/>
    <w:basedOn w:val="a"/>
    <w:link w:val="a6"/>
    <w:uiPriority w:val="99"/>
    <w:unhideWhenUsed/>
    <w:rsid w:val="0016762B"/>
    <w:pPr>
      <w:tabs>
        <w:tab w:val="center" w:pos="4153"/>
        <w:tab w:val="right" w:pos="8306"/>
      </w:tabs>
      <w:snapToGrid w:val="0"/>
    </w:pPr>
    <w:rPr>
      <w:sz w:val="20"/>
      <w:szCs w:val="20"/>
    </w:rPr>
  </w:style>
  <w:style w:type="character" w:customStyle="1" w:styleId="a6">
    <w:name w:val="頁尾 字元"/>
    <w:basedOn w:val="a0"/>
    <w:link w:val="a5"/>
    <w:uiPriority w:val="99"/>
    <w:rsid w:val="0016762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524858">
      <w:bodyDiv w:val="1"/>
      <w:marLeft w:val="0"/>
      <w:marRight w:val="0"/>
      <w:marTop w:val="0"/>
      <w:marBottom w:val="0"/>
      <w:divBdr>
        <w:top w:val="none" w:sz="0" w:space="0" w:color="auto"/>
        <w:left w:val="none" w:sz="0" w:space="0" w:color="auto"/>
        <w:bottom w:val="none" w:sz="0" w:space="0" w:color="auto"/>
        <w:right w:val="none" w:sz="0" w:space="0" w:color="auto"/>
      </w:divBdr>
    </w:div>
    <w:div w:id="1834252862">
      <w:bodyDiv w:val="1"/>
      <w:marLeft w:val="0"/>
      <w:marRight w:val="0"/>
      <w:marTop w:val="0"/>
      <w:marBottom w:val="0"/>
      <w:divBdr>
        <w:top w:val="none" w:sz="0" w:space="0" w:color="auto"/>
        <w:left w:val="none" w:sz="0" w:space="0" w:color="auto"/>
        <w:bottom w:val="none" w:sz="0" w:space="0" w:color="auto"/>
        <w:right w:val="none" w:sz="0" w:space="0" w:color="auto"/>
      </w:divBdr>
    </w:div>
    <w:div w:id="1846556061">
      <w:bodyDiv w:val="1"/>
      <w:marLeft w:val="0"/>
      <w:marRight w:val="0"/>
      <w:marTop w:val="0"/>
      <w:marBottom w:val="0"/>
      <w:divBdr>
        <w:top w:val="none" w:sz="0" w:space="0" w:color="auto"/>
        <w:left w:val="none" w:sz="0" w:space="0" w:color="auto"/>
        <w:bottom w:val="none" w:sz="0" w:space="0" w:color="auto"/>
        <w:right w:val="none" w:sz="0" w:space="0" w:color="auto"/>
      </w:divBdr>
    </w:div>
    <w:div w:id="21006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Media-5291</dc:creator>
  <cp:keywords/>
  <dc:description/>
  <cp:lastModifiedBy>Media-5291</cp:lastModifiedBy>
  <cp:revision>2</cp:revision>
  <dcterms:created xsi:type="dcterms:W3CDTF">2020-08-31T07:19:00Z</dcterms:created>
  <dcterms:modified xsi:type="dcterms:W3CDTF">2020-08-31T07:19:00Z</dcterms:modified>
</cp:coreProperties>
</file>