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50" w:type="dxa"/>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505"/>
        <w:gridCol w:w="176"/>
        <w:gridCol w:w="12437"/>
        <w:gridCol w:w="132"/>
      </w:tblGrid>
      <w:tr w:rsidR="00C2229B" w:rsidRPr="00C2229B" w:rsidTr="00C2229B">
        <w:trPr>
          <w:tblCellSpacing w:w="7" w:type="dxa"/>
        </w:trPr>
        <w:tc>
          <w:tcPr>
            <w:tcW w:w="0" w:type="auto"/>
            <w:shd w:val="clear" w:color="auto" w:fill="FFFFFF"/>
            <w:noWrap/>
            <w:hideMark/>
          </w:tcPr>
          <w:p w:rsidR="00C2229B" w:rsidRPr="00C2229B" w:rsidRDefault="00C2229B" w:rsidP="00C2229B">
            <w:pPr>
              <w:widowControl/>
              <w:spacing w:line="384" w:lineRule="atLeast"/>
              <w:rPr>
                <w:rFonts w:ascii="微軟正黑體" w:eastAsia="微軟正黑體" w:hAnsi="微軟正黑體" w:cs="新細明體"/>
                <w:color w:val="000000"/>
                <w:kern w:val="0"/>
                <w:szCs w:val="24"/>
              </w:rPr>
            </w:pPr>
            <w:r w:rsidRPr="00C2229B">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1.</w:t>
            </w:r>
          </w:p>
          <w:p w:rsidR="00C2229B" w:rsidRPr="00C2229B" w:rsidRDefault="00C2229B" w:rsidP="00C2229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以下敘述何者正確？</w:t>
            </w:r>
          </w:p>
          <w:p w:rsidR="00C2229B" w:rsidRPr="00C2229B" w:rsidRDefault="00C2229B" w:rsidP="00C2229B">
            <w:pPr>
              <w:widowControl/>
              <w:numPr>
                <w:ilvl w:val="0"/>
                <w:numId w:val="40"/>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shd w:val="clear" w:color="auto" w:fill="008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20.1pt;height:19.25pt" o:ole="">
                  <v:imagedata r:id="rId7" o:title=""/>
                </v:shape>
                <w:control r:id="rId8" w:name="DefaultOcxName" w:shapeid="_x0000_i1287"/>
              </w:object>
            </w:r>
            <w:r w:rsidRPr="00C2229B">
              <w:rPr>
                <w:rFonts w:ascii="微軟正黑體" w:eastAsia="微軟正黑體" w:hAnsi="微軟正黑體" w:cs="新細明體" w:hint="eastAsia"/>
                <w:color w:val="000000"/>
                <w:kern w:val="0"/>
                <w:szCs w:val="24"/>
              </w:rPr>
              <w:t>有效利率能夠真實反映貸款成本的年費用率</w:t>
            </w:r>
          </w:p>
          <w:p w:rsidR="00C2229B" w:rsidRPr="00C2229B" w:rsidRDefault="00C2229B" w:rsidP="00C2229B">
            <w:pPr>
              <w:widowControl/>
              <w:numPr>
                <w:ilvl w:val="0"/>
                <w:numId w:val="40"/>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86" type="#_x0000_t75" style="width:20.1pt;height:19.25pt" o:ole="">
                  <v:imagedata r:id="rId7" o:title=""/>
                </v:shape>
                <w:control r:id="rId9" w:name="DefaultOcxName1" w:shapeid="_x0000_i1286"/>
              </w:object>
            </w:r>
            <w:r w:rsidRPr="00C2229B">
              <w:rPr>
                <w:rFonts w:ascii="微軟正黑體" w:eastAsia="微軟正黑體" w:hAnsi="微軟正黑體" w:cs="新細明體" w:hint="eastAsia"/>
                <w:color w:val="000000"/>
                <w:kern w:val="0"/>
                <w:szCs w:val="24"/>
              </w:rPr>
              <w:t>銀行的牌告利率就是一種有效利率</w:t>
            </w:r>
          </w:p>
          <w:p w:rsidR="00C2229B" w:rsidRPr="00C2229B" w:rsidRDefault="00C2229B" w:rsidP="00C2229B">
            <w:pPr>
              <w:widowControl/>
              <w:numPr>
                <w:ilvl w:val="0"/>
                <w:numId w:val="40"/>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85" type="#_x0000_t75" style="width:20.1pt;height:19.25pt" o:ole="">
                  <v:imagedata r:id="rId7" o:title=""/>
                </v:shape>
                <w:control r:id="rId10" w:name="DefaultOcxName2" w:shapeid="_x0000_i1285"/>
              </w:object>
            </w:r>
            <w:r w:rsidRPr="00C2229B">
              <w:rPr>
                <w:rFonts w:ascii="微軟正黑體" w:eastAsia="微軟正黑體" w:hAnsi="微軟正黑體" w:cs="新細明體" w:hint="eastAsia"/>
                <w:color w:val="000000"/>
                <w:kern w:val="0"/>
                <w:szCs w:val="24"/>
              </w:rPr>
              <w:t>若複利次數愈多，則有效利率將愈小</w:t>
            </w:r>
          </w:p>
          <w:p w:rsidR="00C2229B" w:rsidRPr="00C2229B" w:rsidRDefault="00C2229B" w:rsidP="00C2229B">
            <w:pPr>
              <w:widowControl/>
              <w:numPr>
                <w:ilvl w:val="0"/>
                <w:numId w:val="40"/>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84" type="#_x0000_t75" style="width:20.1pt;height:19.25pt" o:ole="">
                  <v:imagedata r:id="rId7" o:title=""/>
                </v:shape>
                <w:control r:id="rId11" w:name="DefaultOcxName3" w:shapeid="_x0000_i1284"/>
              </w:object>
            </w:r>
            <w:r w:rsidRPr="00C2229B">
              <w:rPr>
                <w:rFonts w:ascii="微軟正黑體" w:eastAsia="微軟正黑體" w:hAnsi="微軟正黑體" w:cs="新細明體" w:hint="eastAsia"/>
                <w:color w:val="000000"/>
                <w:kern w:val="0"/>
                <w:szCs w:val="24"/>
              </w:rPr>
              <w:t>以上皆正確</w:t>
            </w:r>
          </w:p>
        </w:tc>
        <w:tc>
          <w:tcPr>
            <w:tcW w:w="0" w:type="auto"/>
            <w:shd w:val="clear" w:color="auto" w:fill="FFFFFF"/>
            <w:vAlign w:val="center"/>
            <w:hideMark/>
          </w:tcPr>
          <w:p w:rsidR="00C2229B" w:rsidRPr="00C2229B" w:rsidRDefault="00C2229B" w:rsidP="00C2229B">
            <w:pPr>
              <w:widowControl/>
              <w:numPr>
                <w:ilvl w:val="0"/>
                <w:numId w:val="40"/>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C2229B" w:rsidRPr="00C2229B" w:rsidTr="00C2229B">
        <w:trPr>
          <w:tblCellSpacing w:w="7" w:type="dxa"/>
        </w:trPr>
        <w:tc>
          <w:tcPr>
            <w:tcW w:w="0" w:type="auto"/>
            <w:shd w:val="clear" w:color="auto" w:fill="F9F9F9"/>
            <w:noWrap/>
            <w:hideMark/>
          </w:tcPr>
          <w:p w:rsidR="00C2229B" w:rsidRPr="00C2229B" w:rsidRDefault="00C2229B" w:rsidP="00C2229B">
            <w:pPr>
              <w:widowControl/>
              <w:spacing w:line="384" w:lineRule="atLeast"/>
              <w:rPr>
                <w:rFonts w:ascii="微軟正黑體" w:eastAsia="微軟正黑體" w:hAnsi="微軟正黑體" w:cs="新細明體"/>
                <w:color w:val="000000"/>
                <w:kern w:val="0"/>
                <w:szCs w:val="24"/>
              </w:rPr>
            </w:pPr>
            <w:r w:rsidRPr="00C2229B">
              <w:rPr>
                <w:rFonts w:ascii="微軟正黑體" w:eastAsia="微軟正黑體" w:hAnsi="微軟正黑體" w:cs="新細明體" w:hint="eastAsia"/>
                <w:b/>
                <w:bCs/>
                <w:color w:val="000000"/>
                <w:kern w:val="0"/>
                <w:szCs w:val="24"/>
              </w:rPr>
              <w:t>配分：[0.00]</w:t>
            </w:r>
          </w:p>
        </w:tc>
        <w:tc>
          <w:tcPr>
            <w:tcW w:w="0" w:type="auto"/>
            <w:shd w:val="clear" w:color="auto" w:fill="F9F9F9"/>
            <w:noWrap/>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2.</w:t>
            </w:r>
          </w:p>
          <w:p w:rsidR="00C2229B" w:rsidRPr="00C2229B" w:rsidRDefault="00C2229B" w:rsidP="00C2229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以下敘述何者有誤？</w:t>
            </w:r>
          </w:p>
          <w:p w:rsidR="00C2229B" w:rsidRPr="00C2229B" w:rsidRDefault="00C2229B" w:rsidP="00C2229B">
            <w:pPr>
              <w:widowControl/>
              <w:numPr>
                <w:ilvl w:val="0"/>
                <w:numId w:val="41"/>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83" type="#_x0000_t75" style="width:20.1pt;height:19.25pt" o:ole="">
                  <v:imagedata r:id="rId7" o:title=""/>
                </v:shape>
                <w:control r:id="rId12" w:name="DefaultOcxName4" w:shapeid="_x0000_i1283"/>
              </w:object>
            </w:r>
            <w:r w:rsidRPr="00C2229B">
              <w:rPr>
                <w:rFonts w:ascii="微軟正黑體" w:eastAsia="微軟正黑體" w:hAnsi="微軟正黑體" w:cs="新細明體" w:hint="eastAsia"/>
                <w:color w:val="000000"/>
                <w:kern w:val="0"/>
                <w:szCs w:val="24"/>
              </w:rPr>
              <w:t>假</w:t>
            </w:r>
            <w:proofErr w:type="gramStart"/>
            <w:r w:rsidRPr="00C2229B">
              <w:rPr>
                <w:rFonts w:ascii="微軟正黑體" w:eastAsia="微軟正黑體" w:hAnsi="微軟正黑體" w:cs="新細明體" w:hint="eastAsia"/>
                <w:color w:val="000000"/>
                <w:kern w:val="0"/>
                <w:szCs w:val="24"/>
              </w:rPr>
              <w:t>設計息期</w:t>
            </w:r>
            <w:proofErr w:type="gramEnd"/>
            <w:r w:rsidRPr="00C2229B">
              <w:rPr>
                <w:rFonts w:ascii="微軟正黑體" w:eastAsia="微軟正黑體" w:hAnsi="微軟正黑體" w:cs="新細明體" w:hint="eastAsia"/>
                <w:color w:val="000000"/>
                <w:kern w:val="0"/>
                <w:szCs w:val="24"/>
              </w:rPr>
              <w:t>數不變的情況下，當利率上升時，</w:t>
            </w:r>
            <w:proofErr w:type="gramStart"/>
            <w:r w:rsidRPr="00C2229B">
              <w:rPr>
                <w:rFonts w:ascii="微軟正黑體" w:eastAsia="微軟正黑體" w:hAnsi="微軟正黑體" w:cs="新細明體" w:hint="eastAsia"/>
                <w:color w:val="000000"/>
                <w:kern w:val="0"/>
                <w:szCs w:val="24"/>
              </w:rPr>
              <w:t>則終值</w:t>
            </w:r>
            <w:proofErr w:type="gramEnd"/>
            <w:r w:rsidRPr="00C2229B">
              <w:rPr>
                <w:rFonts w:ascii="微軟正黑體" w:eastAsia="微軟正黑體" w:hAnsi="微軟正黑體" w:cs="新細明體" w:hint="eastAsia"/>
                <w:color w:val="000000"/>
                <w:kern w:val="0"/>
                <w:szCs w:val="24"/>
              </w:rPr>
              <w:t>會愈高</w:t>
            </w:r>
          </w:p>
          <w:p w:rsidR="00C2229B" w:rsidRPr="00C2229B" w:rsidRDefault="00C2229B" w:rsidP="00C2229B">
            <w:pPr>
              <w:widowControl/>
              <w:numPr>
                <w:ilvl w:val="0"/>
                <w:numId w:val="41"/>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lastRenderedPageBreak/>
              <w:object w:dxaOrig="1440" w:dyaOrig="1440">
                <v:shape id="_x0000_i1282" type="#_x0000_t75" style="width:20.1pt;height:19.25pt" o:ole="">
                  <v:imagedata r:id="rId7" o:title=""/>
                </v:shape>
                <w:control r:id="rId13" w:name="DefaultOcxName5" w:shapeid="_x0000_i1282"/>
              </w:object>
            </w:r>
            <w:r w:rsidRPr="00C2229B">
              <w:rPr>
                <w:rFonts w:ascii="微軟正黑體" w:eastAsia="微軟正黑體" w:hAnsi="微軟正黑體" w:cs="新細明體" w:hint="eastAsia"/>
                <w:color w:val="000000"/>
                <w:kern w:val="0"/>
                <w:szCs w:val="24"/>
              </w:rPr>
              <w:t>假設利率不變的情況下，當</w:t>
            </w:r>
            <w:proofErr w:type="gramStart"/>
            <w:r w:rsidRPr="00C2229B">
              <w:rPr>
                <w:rFonts w:ascii="微軟正黑體" w:eastAsia="微軟正黑體" w:hAnsi="微軟正黑體" w:cs="新細明體" w:hint="eastAsia"/>
                <w:color w:val="000000"/>
                <w:kern w:val="0"/>
                <w:szCs w:val="24"/>
              </w:rPr>
              <w:t>計息期數</w:t>
            </w:r>
            <w:proofErr w:type="gramEnd"/>
            <w:r w:rsidRPr="00C2229B">
              <w:rPr>
                <w:rFonts w:ascii="微軟正黑體" w:eastAsia="微軟正黑體" w:hAnsi="微軟正黑體" w:cs="新細明體" w:hint="eastAsia"/>
                <w:color w:val="000000"/>
                <w:kern w:val="0"/>
                <w:szCs w:val="24"/>
              </w:rPr>
              <w:t>愈</w:t>
            </w:r>
            <w:proofErr w:type="gramStart"/>
            <w:r w:rsidRPr="00C2229B">
              <w:rPr>
                <w:rFonts w:ascii="微軟正黑體" w:eastAsia="微軟正黑體" w:hAnsi="微軟正黑體" w:cs="新細明體" w:hint="eastAsia"/>
                <w:color w:val="000000"/>
                <w:kern w:val="0"/>
                <w:szCs w:val="24"/>
              </w:rPr>
              <w:t>多時，</w:t>
            </w:r>
            <w:proofErr w:type="gramEnd"/>
            <w:r w:rsidRPr="00C2229B">
              <w:rPr>
                <w:rFonts w:ascii="微軟正黑體" w:eastAsia="微軟正黑體" w:hAnsi="微軟正黑體" w:cs="新細明體" w:hint="eastAsia"/>
                <w:color w:val="000000"/>
                <w:kern w:val="0"/>
                <w:szCs w:val="24"/>
              </w:rPr>
              <w:t>則現值會愈低</w:t>
            </w:r>
          </w:p>
          <w:p w:rsidR="00C2229B" w:rsidRPr="00C2229B" w:rsidRDefault="00C2229B" w:rsidP="00C2229B">
            <w:pPr>
              <w:widowControl/>
              <w:numPr>
                <w:ilvl w:val="0"/>
                <w:numId w:val="41"/>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81" type="#_x0000_t75" style="width:20.1pt;height:19.25pt" o:ole="">
                  <v:imagedata r:id="rId7" o:title=""/>
                </v:shape>
                <w:control r:id="rId14" w:name="DefaultOcxName6" w:shapeid="_x0000_i1281"/>
              </w:object>
            </w:r>
            <w:r w:rsidRPr="00C2229B">
              <w:rPr>
                <w:rFonts w:ascii="微軟正黑體" w:eastAsia="微軟正黑體" w:hAnsi="微軟正黑體" w:cs="新細明體" w:hint="eastAsia"/>
                <w:color w:val="000000"/>
                <w:kern w:val="0"/>
                <w:szCs w:val="24"/>
              </w:rPr>
              <w:t>假</w:t>
            </w:r>
            <w:proofErr w:type="gramStart"/>
            <w:r w:rsidRPr="00C2229B">
              <w:rPr>
                <w:rFonts w:ascii="微軟正黑體" w:eastAsia="微軟正黑體" w:hAnsi="微軟正黑體" w:cs="新細明體" w:hint="eastAsia"/>
                <w:color w:val="000000"/>
                <w:kern w:val="0"/>
                <w:szCs w:val="24"/>
              </w:rPr>
              <w:t>設計息期</w:t>
            </w:r>
            <w:proofErr w:type="gramEnd"/>
            <w:r w:rsidRPr="00C2229B">
              <w:rPr>
                <w:rFonts w:ascii="微軟正黑體" w:eastAsia="微軟正黑體" w:hAnsi="微軟正黑體" w:cs="新細明體" w:hint="eastAsia"/>
                <w:color w:val="000000"/>
                <w:kern w:val="0"/>
                <w:szCs w:val="24"/>
              </w:rPr>
              <w:t>數不變的情況下，當利率上升時，則現值會變低</w:t>
            </w:r>
          </w:p>
          <w:p w:rsidR="00C2229B" w:rsidRPr="00C2229B" w:rsidRDefault="00C2229B" w:rsidP="00C2229B">
            <w:pPr>
              <w:widowControl/>
              <w:numPr>
                <w:ilvl w:val="0"/>
                <w:numId w:val="41"/>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shd w:val="clear" w:color="auto" w:fill="008000"/>
              </w:rPr>
              <w:object w:dxaOrig="1440" w:dyaOrig="1440">
                <v:shape id="_x0000_i1280" type="#_x0000_t75" style="width:20.1pt;height:19.25pt" o:ole="">
                  <v:imagedata r:id="rId7" o:title=""/>
                </v:shape>
                <w:control r:id="rId15" w:name="DefaultOcxName7" w:shapeid="_x0000_i1280"/>
              </w:object>
            </w:r>
            <w:r w:rsidRPr="00C2229B">
              <w:rPr>
                <w:rFonts w:ascii="微軟正黑體" w:eastAsia="微軟正黑體" w:hAnsi="微軟正黑體" w:cs="新細明體" w:hint="eastAsia"/>
                <w:color w:val="000000"/>
                <w:kern w:val="0"/>
                <w:szCs w:val="24"/>
              </w:rPr>
              <w:t>假設利率不變的情況下，當</w:t>
            </w:r>
            <w:proofErr w:type="gramStart"/>
            <w:r w:rsidRPr="00C2229B">
              <w:rPr>
                <w:rFonts w:ascii="微軟正黑體" w:eastAsia="微軟正黑體" w:hAnsi="微軟正黑體" w:cs="新細明體" w:hint="eastAsia"/>
                <w:color w:val="000000"/>
                <w:kern w:val="0"/>
                <w:szCs w:val="24"/>
              </w:rPr>
              <w:t>計息期數</w:t>
            </w:r>
            <w:proofErr w:type="gramEnd"/>
            <w:r w:rsidRPr="00C2229B">
              <w:rPr>
                <w:rFonts w:ascii="微軟正黑體" w:eastAsia="微軟正黑體" w:hAnsi="微軟正黑體" w:cs="新細明體" w:hint="eastAsia"/>
                <w:color w:val="000000"/>
                <w:kern w:val="0"/>
                <w:szCs w:val="24"/>
              </w:rPr>
              <w:t>愈</w:t>
            </w:r>
            <w:proofErr w:type="gramStart"/>
            <w:r w:rsidRPr="00C2229B">
              <w:rPr>
                <w:rFonts w:ascii="微軟正黑體" w:eastAsia="微軟正黑體" w:hAnsi="微軟正黑體" w:cs="新細明體" w:hint="eastAsia"/>
                <w:color w:val="000000"/>
                <w:kern w:val="0"/>
                <w:szCs w:val="24"/>
              </w:rPr>
              <w:t>多時，則終</w:t>
            </w:r>
            <w:proofErr w:type="gramEnd"/>
            <w:r w:rsidRPr="00C2229B">
              <w:rPr>
                <w:rFonts w:ascii="微軟正黑體" w:eastAsia="微軟正黑體" w:hAnsi="微軟正黑體" w:cs="新細明體" w:hint="eastAsia"/>
                <w:color w:val="000000"/>
                <w:kern w:val="0"/>
                <w:szCs w:val="24"/>
              </w:rPr>
              <w:t>值會愈低</w:t>
            </w:r>
          </w:p>
        </w:tc>
        <w:tc>
          <w:tcPr>
            <w:tcW w:w="0" w:type="auto"/>
            <w:shd w:val="clear" w:color="auto" w:fill="F9F9F9"/>
            <w:vAlign w:val="center"/>
            <w:hideMark/>
          </w:tcPr>
          <w:p w:rsidR="00C2229B" w:rsidRPr="00C2229B" w:rsidRDefault="00C2229B" w:rsidP="00C2229B">
            <w:pPr>
              <w:widowControl/>
              <w:numPr>
                <w:ilvl w:val="0"/>
                <w:numId w:val="41"/>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C2229B" w:rsidRPr="00C2229B" w:rsidTr="00C2229B">
        <w:trPr>
          <w:tblCellSpacing w:w="7" w:type="dxa"/>
        </w:trPr>
        <w:tc>
          <w:tcPr>
            <w:tcW w:w="0" w:type="auto"/>
            <w:shd w:val="clear" w:color="auto" w:fill="FFFFFF"/>
            <w:noWrap/>
            <w:hideMark/>
          </w:tcPr>
          <w:p w:rsidR="00C2229B" w:rsidRPr="00C2229B" w:rsidRDefault="00C2229B" w:rsidP="00C2229B">
            <w:pPr>
              <w:widowControl/>
              <w:spacing w:line="384" w:lineRule="atLeast"/>
              <w:rPr>
                <w:rFonts w:ascii="微軟正黑體" w:eastAsia="微軟正黑體" w:hAnsi="微軟正黑體" w:cs="新細明體"/>
                <w:color w:val="000000"/>
                <w:kern w:val="0"/>
                <w:szCs w:val="24"/>
              </w:rPr>
            </w:pPr>
            <w:r w:rsidRPr="00C2229B">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3.</w:t>
            </w:r>
          </w:p>
          <w:p w:rsidR="00C2229B" w:rsidRPr="00C2229B" w:rsidRDefault="00C2229B" w:rsidP="00C2229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以下關於年金的敘述何者有誤？</w:t>
            </w:r>
          </w:p>
          <w:p w:rsidR="00C2229B" w:rsidRPr="00C2229B" w:rsidRDefault="00C2229B" w:rsidP="00C2229B">
            <w:pPr>
              <w:widowControl/>
              <w:numPr>
                <w:ilvl w:val="0"/>
                <w:numId w:val="42"/>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79" type="#_x0000_t75" style="width:20.1pt;height:19.25pt" o:ole="">
                  <v:imagedata r:id="rId7" o:title=""/>
                </v:shape>
                <w:control r:id="rId16" w:name="DefaultOcxName8" w:shapeid="_x0000_i1279"/>
              </w:object>
            </w:r>
            <w:r w:rsidRPr="00C2229B">
              <w:rPr>
                <w:rFonts w:ascii="微軟正黑體" w:eastAsia="微軟正黑體" w:hAnsi="微軟正黑體" w:cs="新細明體" w:hint="eastAsia"/>
                <w:color w:val="000000"/>
                <w:kern w:val="0"/>
                <w:szCs w:val="24"/>
              </w:rPr>
              <w:t>普通年金係指每期期末皆有定額的收入或支出的年金</w:t>
            </w:r>
          </w:p>
          <w:p w:rsidR="00C2229B" w:rsidRPr="00C2229B" w:rsidRDefault="00C2229B" w:rsidP="00C2229B">
            <w:pPr>
              <w:widowControl/>
              <w:numPr>
                <w:ilvl w:val="0"/>
                <w:numId w:val="42"/>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78" type="#_x0000_t75" style="width:20.1pt;height:19.25pt" o:ole="">
                  <v:imagedata r:id="rId7" o:title=""/>
                </v:shape>
                <w:control r:id="rId17" w:name="DefaultOcxName9" w:shapeid="_x0000_i1278"/>
              </w:object>
            </w:r>
            <w:r w:rsidRPr="00C2229B">
              <w:rPr>
                <w:rFonts w:ascii="微軟正黑體" w:eastAsia="微軟正黑體" w:hAnsi="微軟正黑體" w:cs="新細明體" w:hint="eastAsia"/>
                <w:color w:val="000000"/>
                <w:kern w:val="0"/>
                <w:szCs w:val="24"/>
              </w:rPr>
              <w:t>期初年金係指每期</w:t>
            </w:r>
            <w:proofErr w:type="gramStart"/>
            <w:r w:rsidRPr="00C2229B">
              <w:rPr>
                <w:rFonts w:ascii="微軟正黑體" w:eastAsia="微軟正黑體" w:hAnsi="微軟正黑體" w:cs="新細明體" w:hint="eastAsia"/>
                <w:color w:val="000000"/>
                <w:kern w:val="0"/>
                <w:szCs w:val="24"/>
              </w:rPr>
              <w:t>期初皆</w:t>
            </w:r>
            <w:proofErr w:type="gramEnd"/>
            <w:r w:rsidRPr="00C2229B">
              <w:rPr>
                <w:rFonts w:ascii="微軟正黑體" w:eastAsia="微軟正黑體" w:hAnsi="微軟正黑體" w:cs="新細明體" w:hint="eastAsia"/>
                <w:color w:val="000000"/>
                <w:kern w:val="0"/>
                <w:szCs w:val="24"/>
              </w:rPr>
              <w:t>有定額的收入或支出的年金</w:t>
            </w:r>
          </w:p>
          <w:p w:rsidR="00C2229B" w:rsidRPr="00C2229B" w:rsidRDefault="00C2229B" w:rsidP="00C2229B">
            <w:pPr>
              <w:widowControl/>
              <w:numPr>
                <w:ilvl w:val="0"/>
                <w:numId w:val="42"/>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77" type="#_x0000_t75" style="width:20.1pt;height:19.25pt" o:ole="">
                  <v:imagedata r:id="rId7" o:title=""/>
                </v:shape>
                <w:control r:id="rId18" w:name="DefaultOcxName10" w:shapeid="_x0000_i1277"/>
              </w:object>
            </w:r>
            <w:r w:rsidRPr="00C2229B">
              <w:rPr>
                <w:rFonts w:ascii="微軟正黑體" w:eastAsia="微軟正黑體" w:hAnsi="微軟正黑體" w:cs="新細明體" w:hint="eastAsia"/>
                <w:color w:val="000000"/>
                <w:kern w:val="0"/>
                <w:szCs w:val="24"/>
              </w:rPr>
              <w:t>普通年金和</w:t>
            </w:r>
            <w:proofErr w:type="gramStart"/>
            <w:r w:rsidRPr="00C2229B">
              <w:rPr>
                <w:rFonts w:ascii="微軟正黑體" w:eastAsia="微軟正黑體" w:hAnsi="微軟正黑體" w:cs="新細明體" w:hint="eastAsia"/>
                <w:color w:val="000000"/>
                <w:kern w:val="0"/>
                <w:szCs w:val="24"/>
              </w:rPr>
              <w:t>期初</w:t>
            </w:r>
            <w:proofErr w:type="gramEnd"/>
            <w:r w:rsidRPr="00C2229B">
              <w:rPr>
                <w:rFonts w:ascii="微軟正黑體" w:eastAsia="微軟正黑體" w:hAnsi="微軟正黑體" w:cs="新細明體" w:hint="eastAsia"/>
                <w:color w:val="000000"/>
                <w:kern w:val="0"/>
                <w:szCs w:val="24"/>
              </w:rPr>
              <w:t>年金將相差一期時間價值</w:t>
            </w:r>
          </w:p>
          <w:p w:rsidR="00C2229B" w:rsidRPr="00C2229B" w:rsidRDefault="00C2229B" w:rsidP="00C2229B">
            <w:pPr>
              <w:widowControl/>
              <w:numPr>
                <w:ilvl w:val="0"/>
                <w:numId w:val="42"/>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shd w:val="clear" w:color="auto" w:fill="008000"/>
              </w:rPr>
              <w:object w:dxaOrig="1440" w:dyaOrig="1440">
                <v:shape id="_x0000_i1276" type="#_x0000_t75" style="width:20.1pt;height:19.25pt" o:ole="">
                  <v:imagedata r:id="rId7" o:title=""/>
                </v:shape>
                <w:control r:id="rId19" w:name="DefaultOcxName11" w:shapeid="_x0000_i1276"/>
              </w:object>
            </w:r>
            <w:r w:rsidRPr="00C2229B">
              <w:rPr>
                <w:rFonts w:ascii="微軟正黑體" w:eastAsia="微軟正黑體" w:hAnsi="微軟正黑體" w:cs="新細明體" w:hint="eastAsia"/>
                <w:color w:val="000000"/>
                <w:kern w:val="0"/>
                <w:szCs w:val="24"/>
              </w:rPr>
              <w:t>房租或保險費即是普通年金</w:t>
            </w:r>
            <w:proofErr w:type="gramStart"/>
            <w:r w:rsidRPr="00C2229B">
              <w:rPr>
                <w:rFonts w:ascii="微軟正黑體" w:eastAsia="微軟正黑體" w:hAnsi="微軟正黑體" w:cs="新細明體" w:hint="eastAsia"/>
                <w:color w:val="000000"/>
                <w:kern w:val="0"/>
                <w:szCs w:val="24"/>
              </w:rPr>
              <w:t>之適例</w:t>
            </w:r>
            <w:proofErr w:type="gramEnd"/>
          </w:p>
        </w:tc>
        <w:tc>
          <w:tcPr>
            <w:tcW w:w="0" w:type="auto"/>
            <w:shd w:val="clear" w:color="auto" w:fill="FFFFFF"/>
            <w:vAlign w:val="center"/>
            <w:hideMark/>
          </w:tcPr>
          <w:p w:rsidR="00C2229B" w:rsidRPr="00C2229B" w:rsidRDefault="00C2229B" w:rsidP="00C2229B">
            <w:pPr>
              <w:widowControl/>
              <w:numPr>
                <w:ilvl w:val="0"/>
                <w:numId w:val="42"/>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C2229B" w:rsidRPr="00C2229B" w:rsidTr="00C2229B">
        <w:trPr>
          <w:tblCellSpacing w:w="7" w:type="dxa"/>
        </w:trPr>
        <w:tc>
          <w:tcPr>
            <w:tcW w:w="0" w:type="auto"/>
            <w:shd w:val="clear" w:color="auto" w:fill="F9F9F9"/>
            <w:noWrap/>
            <w:hideMark/>
          </w:tcPr>
          <w:p w:rsidR="00C2229B" w:rsidRPr="00C2229B" w:rsidRDefault="00C2229B" w:rsidP="00C2229B">
            <w:pPr>
              <w:widowControl/>
              <w:spacing w:line="384" w:lineRule="atLeast"/>
              <w:rPr>
                <w:rFonts w:ascii="微軟正黑體" w:eastAsia="微軟正黑體" w:hAnsi="微軟正黑體" w:cs="新細明體"/>
                <w:color w:val="000000"/>
                <w:kern w:val="0"/>
                <w:szCs w:val="24"/>
              </w:rPr>
            </w:pPr>
            <w:r w:rsidRPr="00C2229B">
              <w:rPr>
                <w:rFonts w:ascii="微軟正黑體" w:eastAsia="微軟正黑體" w:hAnsi="微軟正黑體" w:cs="新細明體" w:hint="eastAsia"/>
                <w:b/>
                <w:bCs/>
                <w:color w:val="000000"/>
                <w:kern w:val="0"/>
                <w:szCs w:val="24"/>
              </w:rPr>
              <w:lastRenderedPageBreak/>
              <w:t>配分：[0.00]</w:t>
            </w:r>
          </w:p>
        </w:tc>
        <w:tc>
          <w:tcPr>
            <w:tcW w:w="0" w:type="auto"/>
            <w:shd w:val="clear" w:color="auto" w:fill="F9F9F9"/>
            <w:noWrap/>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4.</w:t>
            </w:r>
          </w:p>
          <w:p w:rsidR="00C2229B" w:rsidRPr="00C2229B" w:rsidRDefault="00C2229B" w:rsidP="00C2229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以下關於報酬率之敘述何者正確？</w:t>
            </w:r>
          </w:p>
          <w:p w:rsidR="00C2229B" w:rsidRPr="00C2229B" w:rsidRDefault="00C2229B" w:rsidP="00C2229B">
            <w:pPr>
              <w:widowControl/>
              <w:numPr>
                <w:ilvl w:val="0"/>
                <w:numId w:val="43"/>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75" type="#_x0000_t75" style="width:20.1pt;height:19.25pt" o:ole="">
                  <v:imagedata r:id="rId7" o:title=""/>
                </v:shape>
                <w:control r:id="rId20" w:name="DefaultOcxName12" w:shapeid="_x0000_i1275"/>
              </w:object>
            </w:r>
            <w:r w:rsidRPr="00C2229B">
              <w:rPr>
                <w:rFonts w:ascii="微軟正黑體" w:eastAsia="微軟正黑體" w:hAnsi="微軟正黑體" w:cs="新細明體" w:hint="eastAsia"/>
                <w:color w:val="000000"/>
                <w:kern w:val="0"/>
                <w:szCs w:val="24"/>
              </w:rPr>
              <w:t>期望報酬率是一種事後的報酬率，可用以評估投資之可行性</w:t>
            </w:r>
          </w:p>
          <w:p w:rsidR="00C2229B" w:rsidRPr="00C2229B" w:rsidRDefault="00C2229B" w:rsidP="00C2229B">
            <w:pPr>
              <w:widowControl/>
              <w:numPr>
                <w:ilvl w:val="0"/>
                <w:numId w:val="43"/>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74" type="#_x0000_t75" style="width:20.1pt;height:19.25pt" o:ole="">
                  <v:imagedata r:id="rId7" o:title=""/>
                </v:shape>
                <w:control r:id="rId21" w:name="DefaultOcxName13" w:shapeid="_x0000_i1274"/>
              </w:object>
            </w:r>
            <w:r w:rsidRPr="00C2229B">
              <w:rPr>
                <w:rFonts w:ascii="微軟正黑體" w:eastAsia="微軟正黑體" w:hAnsi="微軟正黑體" w:cs="新細明體" w:hint="eastAsia"/>
                <w:color w:val="000000"/>
                <w:kern w:val="0"/>
                <w:szCs w:val="24"/>
              </w:rPr>
              <w:t>實際報酬率是一種事前的報酬率，可作為理財規劃者修正理財規劃的依據</w:t>
            </w:r>
          </w:p>
          <w:p w:rsidR="00C2229B" w:rsidRPr="00C2229B" w:rsidRDefault="00C2229B" w:rsidP="00C2229B">
            <w:pPr>
              <w:widowControl/>
              <w:numPr>
                <w:ilvl w:val="0"/>
                <w:numId w:val="43"/>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shd w:val="clear" w:color="auto" w:fill="008000"/>
              </w:rPr>
              <w:object w:dxaOrig="1440" w:dyaOrig="1440">
                <v:shape id="_x0000_i1273" type="#_x0000_t75" style="width:20.1pt;height:19.25pt" o:ole="">
                  <v:imagedata r:id="rId7" o:title=""/>
                </v:shape>
                <w:control r:id="rId22" w:name="DefaultOcxName14" w:shapeid="_x0000_i1273"/>
              </w:object>
            </w:r>
            <w:r w:rsidRPr="00C2229B">
              <w:rPr>
                <w:rFonts w:ascii="微軟正黑體" w:eastAsia="微軟正黑體" w:hAnsi="微軟正黑體" w:cs="新細明體" w:hint="eastAsia"/>
                <w:color w:val="000000"/>
                <w:kern w:val="0"/>
                <w:szCs w:val="24"/>
              </w:rPr>
              <w:t>當持有期間報酬率隨著期間改變而不同時，則幾何平均法所計算出來的平均報酬率會低於算術平均法所計算出來的平均報酬率</w:t>
            </w:r>
          </w:p>
          <w:p w:rsidR="00C2229B" w:rsidRPr="00C2229B" w:rsidRDefault="00C2229B" w:rsidP="00C2229B">
            <w:pPr>
              <w:widowControl/>
              <w:numPr>
                <w:ilvl w:val="0"/>
                <w:numId w:val="43"/>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72" type="#_x0000_t75" style="width:20.1pt;height:19.25pt" o:ole="">
                  <v:imagedata r:id="rId7" o:title=""/>
                </v:shape>
                <w:control r:id="rId23" w:name="DefaultOcxName15" w:shapeid="_x0000_i1272"/>
              </w:object>
            </w:r>
            <w:r w:rsidRPr="00C2229B">
              <w:rPr>
                <w:rFonts w:ascii="微軟正黑體" w:eastAsia="微軟正黑體" w:hAnsi="微軟正黑體" w:cs="新細明體" w:hint="eastAsia"/>
                <w:color w:val="000000"/>
                <w:kern w:val="0"/>
                <w:szCs w:val="24"/>
              </w:rPr>
              <w:t>當持有期間報酬率的波動幅度愈大時，則算術平均法和幾何平均法所計算出來的平均報酬率之間的差距會愈小</w:t>
            </w:r>
          </w:p>
        </w:tc>
        <w:tc>
          <w:tcPr>
            <w:tcW w:w="0" w:type="auto"/>
            <w:shd w:val="clear" w:color="auto" w:fill="F9F9F9"/>
            <w:vAlign w:val="center"/>
            <w:hideMark/>
          </w:tcPr>
          <w:p w:rsidR="00C2229B" w:rsidRPr="00C2229B" w:rsidRDefault="00C2229B" w:rsidP="00C2229B">
            <w:pPr>
              <w:widowControl/>
              <w:numPr>
                <w:ilvl w:val="0"/>
                <w:numId w:val="43"/>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C2229B" w:rsidRPr="00C2229B" w:rsidTr="00C2229B">
        <w:trPr>
          <w:tblCellSpacing w:w="7" w:type="dxa"/>
        </w:trPr>
        <w:tc>
          <w:tcPr>
            <w:tcW w:w="0" w:type="auto"/>
            <w:shd w:val="clear" w:color="auto" w:fill="FFFFFF"/>
            <w:noWrap/>
            <w:hideMark/>
          </w:tcPr>
          <w:p w:rsidR="00C2229B" w:rsidRPr="00C2229B" w:rsidRDefault="00C2229B" w:rsidP="00C2229B">
            <w:pPr>
              <w:widowControl/>
              <w:spacing w:line="384" w:lineRule="atLeast"/>
              <w:rPr>
                <w:rFonts w:ascii="微軟正黑體" w:eastAsia="微軟正黑體" w:hAnsi="微軟正黑體" w:cs="新細明體"/>
                <w:color w:val="000000"/>
                <w:kern w:val="0"/>
                <w:szCs w:val="24"/>
              </w:rPr>
            </w:pPr>
            <w:r w:rsidRPr="00C2229B">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C2229B" w:rsidRPr="00C2229B" w:rsidRDefault="00C2229B" w:rsidP="00C2229B">
            <w:pPr>
              <w:widowControl/>
              <w:spacing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t>5.</w:t>
            </w:r>
          </w:p>
          <w:p w:rsidR="00C2229B" w:rsidRPr="00C2229B" w:rsidRDefault="00C2229B" w:rsidP="00C2229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hint="eastAsia"/>
                <w:color w:val="000000"/>
                <w:kern w:val="0"/>
                <w:szCs w:val="24"/>
              </w:rPr>
              <w:lastRenderedPageBreak/>
              <w:t>利率風險係指</w:t>
            </w:r>
          </w:p>
          <w:p w:rsidR="00C2229B" w:rsidRPr="00C2229B" w:rsidRDefault="00C2229B" w:rsidP="00C2229B">
            <w:pPr>
              <w:widowControl/>
              <w:numPr>
                <w:ilvl w:val="0"/>
                <w:numId w:val="44"/>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71" type="#_x0000_t75" style="width:20.1pt;height:19.25pt" o:ole="">
                  <v:imagedata r:id="rId7" o:title=""/>
                </v:shape>
                <w:control r:id="rId24" w:name="DefaultOcxName16" w:shapeid="_x0000_i1271"/>
              </w:object>
            </w:r>
            <w:r w:rsidRPr="00C2229B">
              <w:rPr>
                <w:rFonts w:ascii="微軟正黑體" w:eastAsia="微軟正黑體" w:hAnsi="微軟正黑體" w:cs="新細明體" w:hint="eastAsia"/>
                <w:color w:val="000000"/>
                <w:kern w:val="0"/>
                <w:szCs w:val="24"/>
              </w:rPr>
              <w:t>因匯率變動而使以外幣計價的資產價值隨之發生變動的風險</w:t>
            </w:r>
          </w:p>
          <w:p w:rsidR="00C2229B" w:rsidRPr="00C2229B" w:rsidRDefault="00C2229B" w:rsidP="00C2229B">
            <w:pPr>
              <w:widowControl/>
              <w:numPr>
                <w:ilvl w:val="0"/>
                <w:numId w:val="44"/>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shd w:val="clear" w:color="auto" w:fill="008000"/>
              </w:rPr>
              <w:object w:dxaOrig="1440" w:dyaOrig="1440">
                <v:shape id="_x0000_i1270" type="#_x0000_t75" style="width:20.1pt;height:19.25pt" o:ole="">
                  <v:imagedata r:id="rId7" o:title=""/>
                </v:shape>
                <w:control r:id="rId25" w:name="DefaultOcxName17" w:shapeid="_x0000_i1270"/>
              </w:object>
            </w:r>
            <w:r w:rsidRPr="00C2229B">
              <w:rPr>
                <w:rFonts w:ascii="微軟正黑體" w:eastAsia="微軟正黑體" w:hAnsi="微軟正黑體" w:cs="新細明體" w:hint="eastAsia"/>
                <w:color w:val="000000"/>
                <w:kern w:val="0"/>
                <w:szCs w:val="24"/>
              </w:rPr>
              <w:t>由於利率的變動而使資產價格因此發生波動的風險</w:t>
            </w:r>
          </w:p>
          <w:p w:rsidR="00C2229B" w:rsidRPr="00C2229B" w:rsidRDefault="00C2229B" w:rsidP="00C2229B">
            <w:pPr>
              <w:widowControl/>
              <w:numPr>
                <w:ilvl w:val="0"/>
                <w:numId w:val="44"/>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69" type="#_x0000_t75" style="width:20.1pt;height:19.25pt" o:ole="">
                  <v:imagedata r:id="rId7" o:title=""/>
                </v:shape>
                <w:control r:id="rId26" w:name="DefaultOcxName18" w:shapeid="_x0000_i1269"/>
              </w:object>
            </w:r>
            <w:r w:rsidRPr="00C2229B">
              <w:rPr>
                <w:rFonts w:ascii="微軟正黑體" w:eastAsia="微軟正黑體" w:hAnsi="微軟正黑體" w:cs="新細明體" w:hint="eastAsia"/>
                <w:color w:val="000000"/>
                <w:kern w:val="0"/>
                <w:szCs w:val="24"/>
              </w:rPr>
              <w:t>當金融資產因為市場成交量不足或缺乏願意交易的對手而導致想賣但賣不掉，或是僅能以極差的價格成交之風險</w:t>
            </w:r>
          </w:p>
          <w:p w:rsidR="00C2229B" w:rsidRPr="00C2229B" w:rsidRDefault="00C2229B" w:rsidP="00C2229B">
            <w:pPr>
              <w:widowControl/>
              <w:numPr>
                <w:ilvl w:val="0"/>
                <w:numId w:val="44"/>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C2229B">
              <w:rPr>
                <w:rFonts w:ascii="微軟正黑體" w:eastAsia="微軟正黑體" w:hAnsi="微軟正黑體" w:cs="新細明體"/>
                <w:color w:val="000000"/>
                <w:kern w:val="0"/>
                <w:szCs w:val="24"/>
              </w:rPr>
              <w:object w:dxaOrig="1440" w:dyaOrig="1440">
                <v:shape id="_x0000_i1268" type="#_x0000_t75" style="width:20.1pt;height:19.25pt" o:ole="">
                  <v:imagedata r:id="rId7" o:title=""/>
                </v:shape>
                <w:control r:id="rId27" w:name="DefaultOcxName19" w:shapeid="_x0000_i1268"/>
              </w:object>
            </w:r>
            <w:r w:rsidRPr="00C2229B">
              <w:rPr>
                <w:rFonts w:ascii="微軟正黑體" w:eastAsia="微軟正黑體" w:hAnsi="微軟正黑體" w:cs="新細明體" w:hint="eastAsia"/>
                <w:color w:val="000000"/>
                <w:kern w:val="0"/>
                <w:szCs w:val="24"/>
              </w:rPr>
              <w:t>借款者無法定期支付利息，到期償付本金而產生違約損失的風險</w:t>
            </w:r>
          </w:p>
        </w:tc>
        <w:tc>
          <w:tcPr>
            <w:tcW w:w="0" w:type="auto"/>
            <w:shd w:val="clear" w:color="auto" w:fill="FFFFFF"/>
            <w:vAlign w:val="center"/>
            <w:hideMark/>
          </w:tcPr>
          <w:p w:rsidR="00C2229B" w:rsidRPr="00C2229B" w:rsidRDefault="00C2229B" w:rsidP="00C2229B">
            <w:pPr>
              <w:widowControl/>
              <w:rPr>
                <w:rFonts w:ascii="Times New Roman" w:eastAsia="Times New Roman" w:hAnsi="Times New Roman" w:cs="Times New Roman"/>
                <w:kern w:val="0"/>
                <w:sz w:val="20"/>
                <w:szCs w:val="20"/>
              </w:rPr>
            </w:pPr>
          </w:p>
        </w:tc>
        <w:bookmarkStart w:id="0" w:name="_GoBack"/>
        <w:bookmarkEnd w:id="0"/>
      </w:tr>
    </w:tbl>
    <w:p w:rsidR="00FD64E7" w:rsidRPr="00C2229B" w:rsidRDefault="00FD64E7" w:rsidP="00C2229B"/>
    <w:sectPr w:rsidR="00FD64E7" w:rsidRPr="00C2229B" w:rsidSect="00243653">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62B" w:rsidRDefault="0016762B" w:rsidP="0016762B">
      <w:r>
        <w:separator/>
      </w:r>
    </w:p>
  </w:endnote>
  <w:endnote w:type="continuationSeparator" w:id="0">
    <w:p w:rsidR="0016762B" w:rsidRDefault="0016762B" w:rsidP="0016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62B" w:rsidRDefault="0016762B" w:rsidP="0016762B">
      <w:r>
        <w:separator/>
      </w:r>
    </w:p>
  </w:footnote>
  <w:footnote w:type="continuationSeparator" w:id="0">
    <w:p w:rsidR="0016762B" w:rsidRDefault="0016762B" w:rsidP="00167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9C4"/>
    <w:multiLevelType w:val="multilevel"/>
    <w:tmpl w:val="643CAB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CF22C8"/>
    <w:multiLevelType w:val="multilevel"/>
    <w:tmpl w:val="33827E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FC055E"/>
    <w:multiLevelType w:val="multilevel"/>
    <w:tmpl w:val="2F066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085000"/>
    <w:multiLevelType w:val="multilevel"/>
    <w:tmpl w:val="9B4C52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0A81E2B"/>
    <w:multiLevelType w:val="multilevel"/>
    <w:tmpl w:val="09D6D5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935A5D"/>
    <w:multiLevelType w:val="multilevel"/>
    <w:tmpl w:val="F3D864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89C474D"/>
    <w:multiLevelType w:val="multilevel"/>
    <w:tmpl w:val="184464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B6E0B85"/>
    <w:multiLevelType w:val="multilevel"/>
    <w:tmpl w:val="444A5C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734801"/>
    <w:multiLevelType w:val="multilevel"/>
    <w:tmpl w:val="20CCA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C2577CF"/>
    <w:multiLevelType w:val="multilevel"/>
    <w:tmpl w:val="079413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D993123"/>
    <w:multiLevelType w:val="multilevel"/>
    <w:tmpl w:val="8B70A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DED3886"/>
    <w:multiLevelType w:val="multilevel"/>
    <w:tmpl w:val="5108FD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BD1907"/>
    <w:multiLevelType w:val="multilevel"/>
    <w:tmpl w:val="95B6CA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6A71F84"/>
    <w:multiLevelType w:val="multilevel"/>
    <w:tmpl w:val="8F4238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AC16309"/>
    <w:multiLevelType w:val="multilevel"/>
    <w:tmpl w:val="26E43B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C6C5701"/>
    <w:multiLevelType w:val="multilevel"/>
    <w:tmpl w:val="280E18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E45FDD"/>
    <w:multiLevelType w:val="multilevel"/>
    <w:tmpl w:val="F11668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5E55F4D"/>
    <w:multiLevelType w:val="multilevel"/>
    <w:tmpl w:val="927E8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B295CFF"/>
    <w:multiLevelType w:val="multilevel"/>
    <w:tmpl w:val="FE7800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FB6DA4"/>
    <w:multiLevelType w:val="multilevel"/>
    <w:tmpl w:val="18E432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F2B28B8"/>
    <w:multiLevelType w:val="multilevel"/>
    <w:tmpl w:val="A43887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FE32141"/>
    <w:multiLevelType w:val="multilevel"/>
    <w:tmpl w:val="C47C4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FFA2290"/>
    <w:multiLevelType w:val="multilevel"/>
    <w:tmpl w:val="5DFCEE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0791CF5"/>
    <w:multiLevelType w:val="multilevel"/>
    <w:tmpl w:val="0DE0C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5D24D10"/>
    <w:multiLevelType w:val="multilevel"/>
    <w:tmpl w:val="6024D5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C187DB7"/>
    <w:multiLevelType w:val="multilevel"/>
    <w:tmpl w:val="4B44D1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DC25DDA"/>
    <w:multiLevelType w:val="multilevel"/>
    <w:tmpl w:val="84147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E182429"/>
    <w:multiLevelType w:val="multilevel"/>
    <w:tmpl w:val="D5CC9C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F87407F"/>
    <w:multiLevelType w:val="multilevel"/>
    <w:tmpl w:val="F438B4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1992503"/>
    <w:multiLevelType w:val="multilevel"/>
    <w:tmpl w:val="3F785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77F7080"/>
    <w:multiLevelType w:val="multilevel"/>
    <w:tmpl w:val="42A410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92D6206"/>
    <w:multiLevelType w:val="multilevel"/>
    <w:tmpl w:val="8C5286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F0B6A43"/>
    <w:multiLevelType w:val="multilevel"/>
    <w:tmpl w:val="9F6EA5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1053EAA"/>
    <w:multiLevelType w:val="multilevel"/>
    <w:tmpl w:val="81BEB7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4270224"/>
    <w:multiLevelType w:val="multilevel"/>
    <w:tmpl w:val="88E401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5746E42"/>
    <w:multiLevelType w:val="multilevel"/>
    <w:tmpl w:val="4D529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5F369CC"/>
    <w:multiLevelType w:val="multilevel"/>
    <w:tmpl w:val="1172A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9B045E1"/>
    <w:multiLevelType w:val="multilevel"/>
    <w:tmpl w:val="38F2E7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FAA1BCE"/>
    <w:multiLevelType w:val="multilevel"/>
    <w:tmpl w:val="B2B2EE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3B35AAE"/>
    <w:multiLevelType w:val="multilevel"/>
    <w:tmpl w:val="099C1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43C7F24"/>
    <w:multiLevelType w:val="multilevel"/>
    <w:tmpl w:val="9918D7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7166549"/>
    <w:multiLevelType w:val="multilevel"/>
    <w:tmpl w:val="CB1A5F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86D43C9"/>
    <w:multiLevelType w:val="multilevel"/>
    <w:tmpl w:val="78E207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FB35129"/>
    <w:multiLevelType w:val="multilevel"/>
    <w:tmpl w:val="C9A67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7"/>
  </w:num>
  <w:num w:numId="2">
    <w:abstractNumId w:val="7"/>
  </w:num>
  <w:num w:numId="3">
    <w:abstractNumId w:val="4"/>
  </w:num>
  <w:num w:numId="4">
    <w:abstractNumId w:val="27"/>
  </w:num>
  <w:num w:numId="5">
    <w:abstractNumId w:val="18"/>
  </w:num>
  <w:num w:numId="6">
    <w:abstractNumId w:val="39"/>
  </w:num>
  <w:num w:numId="7">
    <w:abstractNumId w:val="31"/>
  </w:num>
  <w:num w:numId="8">
    <w:abstractNumId w:val="43"/>
  </w:num>
  <w:num w:numId="9">
    <w:abstractNumId w:val="42"/>
  </w:num>
  <w:num w:numId="10">
    <w:abstractNumId w:val="29"/>
  </w:num>
  <w:num w:numId="11">
    <w:abstractNumId w:val="17"/>
  </w:num>
  <w:num w:numId="12">
    <w:abstractNumId w:val="33"/>
  </w:num>
  <w:num w:numId="13">
    <w:abstractNumId w:val="21"/>
  </w:num>
  <w:num w:numId="14">
    <w:abstractNumId w:val="20"/>
  </w:num>
  <w:num w:numId="15">
    <w:abstractNumId w:val="14"/>
  </w:num>
  <w:num w:numId="16">
    <w:abstractNumId w:val="3"/>
  </w:num>
  <w:num w:numId="17">
    <w:abstractNumId w:val="23"/>
  </w:num>
  <w:num w:numId="18">
    <w:abstractNumId w:val="0"/>
  </w:num>
  <w:num w:numId="19">
    <w:abstractNumId w:val="25"/>
  </w:num>
  <w:num w:numId="20">
    <w:abstractNumId w:val="12"/>
  </w:num>
  <w:num w:numId="21">
    <w:abstractNumId w:val="1"/>
  </w:num>
  <w:num w:numId="22">
    <w:abstractNumId w:val="28"/>
  </w:num>
  <w:num w:numId="23">
    <w:abstractNumId w:val="5"/>
  </w:num>
  <w:num w:numId="24">
    <w:abstractNumId w:val="38"/>
  </w:num>
  <w:num w:numId="25">
    <w:abstractNumId w:val="40"/>
  </w:num>
  <w:num w:numId="26">
    <w:abstractNumId w:val="10"/>
  </w:num>
  <w:num w:numId="27">
    <w:abstractNumId w:val="30"/>
  </w:num>
  <w:num w:numId="28">
    <w:abstractNumId w:val="32"/>
  </w:num>
  <w:num w:numId="29">
    <w:abstractNumId w:val="13"/>
  </w:num>
  <w:num w:numId="30">
    <w:abstractNumId w:val="9"/>
  </w:num>
  <w:num w:numId="31">
    <w:abstractNumId w:val="34"/>
  </w:num>
  <w:num w:numId="32">
    <w:abstractNumId w:val="36"/>
  </w:num>
  <w:num w:numId="33">
    <w:abstractNumId w:val="16"/>
  </w:num>
  <w:num w:numId="34">
    <w:abstractNumId w:val="2"/>
  </w:num>
  <w:num w:numId="35">
    <w:abstractNumId w:val="22"/>
  </w:num>
  <w:num w:numId="36">
    <w:abstractNumId w:val="35"/>
  </w:num>
  <w:num w:numId="37">
    <w:abstractNumId w:val="6"/>
  </w:num>
  <w:num w:numId="38">
    <w:abstractNumId w:val="8"/>
  </w:num>
  <w:num w:numId="39">
    <w:abstractNumId w:val="41"/>
  </w:num>
  <w:num w:numId="40">
    <w:abstractNumId w:val="19"/>
  </w:num>
  <w:num w:numId="41">
    <w:abstractNumId w:val="11"/>
  </w:num>
  <w:num w:numId="42">
    <w:abstractNumId w:val="15"/>
  </w:num>
  <w:num w:numId="43">
    <w:abstractNumId w:val="2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53"/>
    <w:rsid w:val="0016762B"/>
    <w:rsid w:val="001A63D8"/>
    <w:rsid w:val="00243653"/>
    <w:rsid w:val="00523AA7"/>
    <w:rsid w:val="0086726F"/>
    <w:rsid w:val="00BD61F2"/>
    <w:rsid w:val="00C2229B"/>
    <w:rsid w:val="00FB02D8"/>
    <w:rsid w:val="00FD6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61F1F22-D392-469C-95EF-91E05E84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43653"/>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16762B"/>
    <w:pPr>
      <w:tabs>
        <w:tab w:val="center" w:pos="4153"/>
        <w:tab w:val="right" w:pos="8306"/>
      </w:tabs>
      <w:snapToGrid w:val="0"/>
    </w:pPr>
    <w:rPr>
      <w:sz w:val="20"/>
      <w:szCs w:val="20"/>
    </w:rPr>
  </w:style>
  <w:style w:type="character" w:customStyle="1" w:styleId="a4">
    <w:name w:val="頁首 字元"/>
    <w:basedOn w:val="a0"/>
    <w:link w:val="a3"/>
    <w:uiPriority w:val="99"/>
    <w:rsid w:val="0016762B"/>
    <w:rPr>
      <w:sz w:val="20"/>
      <w:szCs w:val="20"/>
    </w:rPr>
  </w:style>
  <w:style w:type="paragraph" w:styleId="a5">
    <w:name w:val="footer"/>
    <w:basedOn w:val="a"/>
    <w:link w:val="a6"/>
    <w:uiPriority w:val="99"/>
    <w:unhideWhenUsed/>
    <w:rsid w:val="0016762B"/>
    <w:pPr>
      <w:tabs>
        <w:tab w:val="center" w:pos="4153"/>
        <w:tab w:val="right" w:pos="8306"/>
      </w:tabs>
      <w:snapToGrid w:val="0"/>
    </w:pPr>
    <w:rPr>
      <w:sz w:val="20"/>
      <w:szCs w:val="20"/>
    </w:rPr>
  </w:style>
  <w:style w:type="character" w:customStyle="1" w:styleId="a6">
    <w:name w:val="頁尾 字元"/>
    <w:basedOn w:val="a0"/>
    <w:link w:val="a5"/>
    <w:uiPriority w:val="99"/>
    <w:rsid w:val="0016762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885874">
      <w:bodyDiv w:val="1"/>
      <w:marLeft w:val="0"/>
      <w:marRight w:val="0"/>
      <w:marTop w:val="0"/>
      <w:marBottom w:val="0"/>
      <w:divBdr>
        <w:top w:val="none" w:sz="0" w:space="0" w:color="auto"/>
        <w:left w:val="none" w:sz="0" w:space="0" w:color="auto"/>
        <w:bottom w:val="none" w:sz="0" w:space="0" w:color="auto"/>
        <w:right w:val="none" w:sz="0" w:space="0" w:color="auto"/>
      </w:divBdr>
    </w:div>
    <w:div w:id="1285619729">
      <w:bodyDiv w:val="1"/>
      <w:marLeft w:val="0"/>
      <w:marRight w:val="0"/>
      <w:marTop w:val="0"/>
      <w:marBottom w:val="0"/>
      <w:divBdr>
        <w:top w:val="none" w:sz="0" w:space="0" w:color="auto"/>
        <w:left w:val="none" w:sz="0" w:space="0" w:color="auto"/>
        <w:bottom w:val="none" w:sz="0" w:space="0" w:color="auto"/>
        <w:right w:val="none" w:sz="0" w:space="0" w:color="auto"/>
      </w:divBdr>
    </w:div>
    <w:div w:id="1437748939">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822505745">
      <w:bodyDiv w:val="1"/>
      <w:marLeft w:val="0"/>
      <w:marRight w:val="0"/>
      <w:marTop w:val="0"/>
      <w:marBottom w:val="0"/>
      <w:divBdr>
        <w:top w:val="none" w:sz="0" w:space="0" w:color="auto"/>
        <w:left w:val="none" w:sz="0" w:space="0" w:color="auto"/>
        <w:bottom w:val="none" w:sz="0" w:space="0" w:color="auto"/>
        <w:right w:val="none" w:sz="0" w:space="0" w:color="auto"/>
      </w:divBdr>
    </w:div>
    <w:div w:id="1833524858">
      <w:bodyDiv w:val="1"/>
      <w:marLeft w:val="0"/>
      <w:marRight w:val="0"/>
      <w:marTop w:val="0"/>
      <w:marBottom w:val="0"/>
      <w:divBdr>
        <w:top w:val="none" w:sz="0" w:space="0" w:color="auto"/>
        <w:left w:val="none" w:sz="0" w:space="0" w:color="auto"/>
        <w:bottom w:val="none" w:sz="0" w:space="0" w:color="auto"/>
        <w:right w:val="none" w:sz="0" w:space="0" w:color="auto"/>
      </w:divBdr>
    </w:div>
    <w:div w:id="1834252862">
      <w:bodyDiv w:val="1"/>
      <w:marLeft w:val="0"/>
      <w:marRight w:val="0"/>
      <w:marTop w:val="0"/>
      <w:marBottom w:val="0"/>
      <w:divBdr>
        <w:top w:val="none" w:sz="0" w:space="0" w:color="auto"/>
        <w:left w:val="none" w:sz="0" w:space="0" w:color="auto"/>
        <w:bottom w:val="none" w:sz="0" w:space="0" w:color="auto"/>
        <w:right w:val="none" w:sz="0" w:space="0" w:color="auto"/>
      </w:divBdr>
    </w:div>
    <w:div w:id="1846556061">
      <w:bodyDiv w:val="1"/>
      <w:marLeft w:val="0"/>
      <w:marRight w:val="0"/>
      <w:marTop w:val="0"/>
      <w:marBottom w:val="0"/>
      <w:divBdr>
        <w:top w:val="none" w:sz="0" w:space="0" w:color="auto"/>
        <w:left w:val="none" w:sz="0" w:space="0" w:color="auto"/>
        <w:bottom w:val="none" w:sz="0" w:space="0" w:color="auto"/>
        <w:right w:val="none" w:sz="0" w:space="0" w:color="auto"/>
      </w:divBdr>
    </w:div>
    <w:div w:id="21006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Media-5291</dc:creator>
  <cp:keywords/>
  <dc:description/>
  <cp:lastModifiedBy>Media-5291</cp:lastModifiedBy>
  <cp:revision>4</cp:revision>
  <dcterms:created xsi:type="dcterms:W3CDTF">2020-08-31T07:20:00Z</dcterms:created>
  <dcterms:modified xsi:type="dcterms:W3CDTF">2020-08-31T07:22:00Z</dcterms:modified>
</cp:coreProperties>
</file>