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250" w:type="dxa"/>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709"/>
        <w:gridCol w:w="198"/>
        <w:gridCol w:w="12196"/>
        <w:gridCol w:w="147"/>
      </w:tblGrid>
      <w:tr w:rsidR="00030DD1" w:rsidRPr="00030DD1" w:rsidTr="00030DD1">
        <w:trPr>
          <w:tblCellSpacing w:w="7" w:type="dxa"/>
        </w:trPr>
        <w:tc>
          <w:tcPr>
            <w:tcW w:w="0" w:type="auto"/>
            <w:shd w:val="clear" w:color="auto" w:fill="FFFFFF"/>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color w:val="000000"/>
                <w:kern w:val="0"/>
                <w:szCs w:val="24"/>
              </w:rPr>
              <w:t>1.</w:t>
            </w:r>
          </w:p>
          <w:p w:rsidR="00030DD1" w:rsidRPr="00030DD1" w:rsidRDefault="00030DD1" w:rsidP="00030DD1">
            <w:pPr>
              <w:widowControl/>
              <w:spacing w:before="100" w:beforeAutospacing="1" w:after="100" w:afterAutospacing="1"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color w:val="000000"/>
                <w:kern w:val="0"/>
                <w:szCs w:val="24"/>
              </w:rPr>
              <w:t>何謂國庫券?</w:t>
            </w:r>
          </w:p>
          <w:p w:rsidR="00030DD1" w:rsidRPr="00030DD1" w:rsidRDefault="00030DD1" w:rsidP="00030DD1">
            <w:pPr>
              <w:widowControl/>
              <w:numPr>
                <w:ilvl w:val="0"/>
                <w:numId w:val="1"/>
              </w:numPr>
              <w:spacing w:before="100" w:beforeAutospacing="1" w:after="100" w:afterAutospacing="1"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color w:val="000000"/>
                <w:kern w:val="0"/>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9.5pt" o:ole="">
                  <v:imagedata r:id="rId7" o:title=""/>
                </v:shape>
                <w:control r:id="rId8" w:name="DefaultOcxName" w:shapeid="_x0000_i1042"/>
              </w:object>
            </w:r>
            <w:r w:rsidRPr="00030DD1">
              <w:rPr>
                <w:rFonts w:ascii="微軟正黑體" w:eastAsia="微軟正黑體" w:hAnsi="微軟正黑體" w:cs="新細明體" w:hint="eastAsia"/>
                <w:color w:val="000000"/>
                <w:kern w:val="0"/>
                <w:szCs w:val="24"/>
              </w:rPr>
              <w:t>是指通過銀行或信用社以及儲蓄和貸款機構在指定的時間段存款，通常至少3或6個月。</w:t>
            </w:r>
          </w:p>
          <w:p w:rsidR="00030DD1" w:rsidRPr="00030DD1" w:rsidRDefault="00030DD1" w:rsidP="00030DD1">
            <w:pPr>
              <w:widowControl/>
              <w:numPr>
                <w:ilvl w:val="0"/>
                <w:numId w:val="1"/>
              </w:numPr>
              <w:spacing w:before="100" w:beforeAutospacing="1" w:after="100" w:afterAutospacing="1"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color w:val="000000"/>
                <w:kern w:val="0"/>
                <w:szCs w:val="24"/>
                <w:shd w:val="clear" w:color="auto" w:fill="008000"/>
              </w:rPr>
              <w:object w:dxaOrig="225" w:dyaOrig="225">
                <v:shape id="_x0000_i1045" type="#_x0000_t75" style="width:20.25pt;height:19.5pt" o:ole="">
                  <v:imagedata r:id="rId7" o:title=""/>
                </v:shape>
                <w:control r:id="rId9" w:name="DefaultOcxName1" w:shapeid="_x0000_i1045"/>
              </w:object>
            </w:r>
            <w:r w:rsidRPr="00030DD1">
              <w:rPr>
                <w:rFonts w:ascii="微軟正黑體" w:eastAsia="微軟正黑體" w:hAnsi="微軟正黑體" w:cs="新細明體" w:hint="eastAsia"/>
                <w:color w:val="000000"/>
                <w:kern w:val="0"/>
                <w:szCs w:val="24"/>
              </w:rPr>
              <w:t>以折價出售</w:t>
            </w:r>
            <w:r w:rsidR="00D3402E">
              <w:rPr>
                <w:rFonts w:ascii="微軟正黑體" w:eastAsia="微軟正黑體" w:hAnsi="微軟正黑體" w:cs="新細明體" w:hint="eastAsia"/>
                <w:color w:val="000000"/>
                <w:kern w:val="0"/>
                <w:szCs w:val="24"/>
              </w:rPr>
              <w:t>，</w:t>
            </w:r>
            <w:r w:rsidRPr="00030DD1">
              <w:rPr>
                <w:rFonts w:ascii="微軟正黑體" w:eastAsia="微軟正黑體" w:hAnsi="微軟正黑體" w:cs="新細明體" w:hint="eastAsia"/>
                <w:color w:val="000000"/>
                <w:kern w:val="0"/>
                <w:szCs w:val="24"/>
              </w:rPr>
              <w:t>有3個月，6個月或12個月的期限。折價與到期日的差額被視為利息收入。</w:t>
            </w:r>
          </w:p>
          <w:p w:rsidR="00030DD1" w:rsidRPr="00030DD1" w:rsidRDefault="00030DD1" w:rsidP="00030DD1">
            <w:pPr>
              <w:widowControl/>
              <w:numPr>
                <w:ilvl w:val="0"/>
                <w:numId w:val="1"/>
              </w:numPr>
              <w:spacing w:before="100" w:beforeAutospacing="1" w:after="100" w:afterAutospacing="1"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color w:val="000000"/>
                <w:kern w:val="0"/>
                <w:szCs w:val="24"/>
              </w:rPr>
              <w:object w:dxaOrig="225" w:dyaOrig="225">
                <v:shape id="_x0000_i1048" type="#_x0000_t75" style="width:20.25pt;height:19.5pt" o:ole="">
                  <v:imagedata r:id="rId7" o:title=""/>
                </v:shape>
                <w:control r:id="rId10" w:name="DefaultOcxName2" w:shapeid="_x0000_i1048"/>
              </w:object>
            </w:r>
            <w:r w:rsidRPr="00030DD1">
              <w:rPr>
                <w:rFonts w:ascii="微軟正黑體" w:eastAsia="微軟正黑體" w:hAnsi="微軟正黑體" w:cs="新細明體" w:hint="eastAsia"/>
                <w:color w:val="000000"/>
                <w:kern w:val="0"/>
                <w:szCs w:val="24"/>
              </w:rPr>
              <w:t>是由大公司發行的高檔無擔保票據。期限從30天到270天。</w:t>
            </w:r>
          </w:p>
          <w:p w:rsidR="00030DD1" w:rsidRDefault="00030DD1" w:rsidP="00030DD1">
            <w:pPr>
              <w:widowControl/>
              <w:numPr>
                <w:ilvl w:val="0"/>
                <w:numId w:val="1"/>
              </w:numPr>
              <w:spacing w:before="100" w:beforeAutospacing="1" w:after="100" w:afterAutospacing="1"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color w:val="000000"/>
                <w:kern w:val="0"/>
                <w:szCs w:val="24"/>
              </w:rPr>
              <w:object w:dxaOrig="225" w:dyaOrig="225">
                <v:shape id="_x0000_i1051" type="#_x0000_t75" style="width:20.25pt;height:19.5pt" o:ole="">
                  <v:imagedata r:id="rId7" o:title=""/>
                </v:shape>
                <w:control r:id="rId11" w:name="DefaultOcxName3" w:shapeid="_x0000_i1051"/>
              </w:object>
            </w:r>
            <w:r w:rsidRPr="00030DD1">
              <w:rPr>
                <w:rFonts w:ascii="微軟正黑體" w:eastAsia="微軟正黑體" w:hAnsi="微軟正黑體" w:cs="新細明體" w:hint="eastAsia"/>
                <w:color w:val="000000"/>
                <w:kern w:val="0"/>
                <w:szCs w:val="24"/>
              </w:rPr>
              <w:t>以上皆不是。</w:t>
            </w:r>
          </w:p>
          <w:p w:rsidR="00484CDF" w:rsidRPr="00030DD1" w:rsidRDefault="00484CDF" w:rsidP="00484CDF">
            <w:pPr>
              <w:widowControl/>
              <w:spacing w:before="100" w:beforeAutospacing="1" w:after="100" w:afterAutospacing="1" w:line="384" w:lineRule="atLeast"/>
              <w:ind w:left="720"/>
              <w:rPr>
                <w:rFonts w:ascii="微軟正黑體" w:eastAsia="微軟正黑體" w:hAnsi="微軟正黑體" w:cs="新細明體"/>
                <w:color w:val="000000"/>
                <w:kern w:val="0"/>
                <w:szCs w:val="24"/>
              </w:rPr>
            </w:pPr>
            <w:r>
              <w:rPr>
                <w:rFonts w:ascii="微軟正黑體" w:eastAsia="微軟正黑體" w:hAnsi="微軟正黑體" w:cs="新細明體" w:hint="eastAsia"/>
                <w:color w:val="000000"/>
                <w:kern w:val="0"/>
                <w:szCs w:val="24"/>
              </w:rPr>
              <w:t>(</w:t>
            </w:r>
            <w:r>
              <w:rPr>
                <w:rFonts w:ascii="微軟正黑體" w:eastAsia="微軟正黑體" w:hAnsi="微軟正黑體" w:cs="新細明體"/>
                <w:color w:val="000000"/>
                <w:kern w:val="0"/>
                <w:szCs w:val="24"/>
              </w:rPr>
              <w:t>P.327)</w:t>
            </w:r>
          </w:p>
        </w:tc>
        <w:tc>
          <w:tcPr>
            <w:tcW w:w="0" w:type="auto"/>
            <w:shd w:val="clear" w:color="auto" w:fill="FFFFFF"/>
            <w:vAlign w:val="center"/>
            <w:hideMark/>
          </w:tcPr>
          <w:p w:rsidR="00030DD1" w:rsidRPr="00030DD1" w:rsidRDefault="00030DD1" w:rsidP="00030DD1">
            <w:pPr>
              <w:widowControl/>
              <w:numPr>
                <w:ilvl w:val="0"/>
                <w:numId w:val="1"/>
              </w:numPr>
              <w:spacing w:before="100" w:beforeAutospacing="1" w:after="100" w:afterAutospacing="1" w:line="384" w:lineRule="atLeast"/>
              <w:rPr>
                <w:rFonts w:ascii="微軟正黑體" w:eastAsia="微軟正黑體" w:hAnsi="微軟正黑體" w:cs="新細明體"/>
                <w:color w:val="000000"/>
                <w:kern w:val="0"/>
                <w:szCs w:val="24"/>
              </w:rPr>
            </w:pPr>
          </w:p>
        </w:tc>
      </w:tr>
      <w:tr w:rsidR="00030DD1" w:rsidRPr="00030DD1" w:rsidTr="00030DD1">
        <w:trPr>
          <w:tblCellSpacing w:w="7" w:type="dxa"/>
        </w:trPr>
        <w:tc>
          <w:tcPr>
            <w:tcW w:w="0" w:type="auto"/>
            <w:shd w:val="clear" w:color="auto" w:fill="F9F9F9"/>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b/>
                <w:bCs/>
                <w:color w:val="000000"/>
                <w:kern w:val="0"/>
                <w:szCs w:val="24"/>
              </w:rPr>
              <w:t>配分：[0.00]</w:t>
            </w:r>
          </w:p>
        </w:tc>
        <w:tc>
          <w:tcPr>
            <w:tcW w:w="0" w:type="auto"/>
            <w:shd w:val="clear" w:color="auto" w:fill="F9F9F9"/>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color w:val="000000"/>
                <w:kern w:val="0"/>
                <w:szCs w:val="24"/>
              </w:rPr>
              <w:t> </w:t>
            </w:r>
          </w:p>
        </w:tc>
        <w:tc>
          <w:tcPr>
            <w:tcW w:w="0" w:type="auto"/>
            <w:shd w:val="clear" w:color="auto" w:fill="F9F9F9"/>
            <w:vAlign w:val="center"/>
            <w:hideMark/>
          </w:tcPr>
          <w:p w:rsidR="00030DD1" w:rsidRPr="0052553C" w:rsidRDefault="00030DD1" w:rsidP="008767AF">
            <w:pPr>
              <w:widowControl/>
              <w:spacing w:before="100" w:beforeAutospacing="1" w:after="100" w:afterAutospacing="1" w:line="384" w:lineRule="atLeast"/>
              <w:rPr>
                <w:rFonts w:ascii="微軟正黑體" w:eastAsia="微軟正黑體" w:hAnsi="微軟正黑體" w:cs="新細明體"/>
                <w:color w:val="FF0000"/>
                <w:kern w:val="0"/>
                <w:szCs w:val="24"/>
                <w:highlight w:val="yellow"/>
              </w:rPr>
            </w:pPr>
          </w:p>
        </w:tc>
        <w:tc>
          <w:tcPr>
            <w:tcW w:w="0" w:type="auto"/>
            <w:shd w:val="clear" w:color="auto" w:fill="F9F9F9"/>
            <w:vAlign w:val="center"/>
            <w:hideMark/>
          </w:tcPr>
          <w:p w:rsidR="00030DD1" w:rsidRPr="00030DD1" w:rsidRDefault="00030DD1" w:rsidP="00030DD1">
            <w:pPr>
              <w:widowControl/>
              <w:numPr>
                <w:ilvl w:val="0"/>
                <w:numId w:val="2"/>
              </w:numPr>
              <w:spacing w:before="100" w:beforeAutospacing="1" w:after="100" w:afterAutospacing="1" w:line="384" w:lineRule="atLeast"/>
              <w:rPr>
                <w:rFonts w:ascii="微軟正黑體" w:eastAsia="微軟正黑體" w:hAnsi="微軟正黑體" w:cs="新細明體"/>
                <w:color w:val="000000"/>
                <w:kern w:val="0"/>
                <w:szCs w:val="24"/>
              </w:rPr>
            </w:pPr>
          </w:p>
        </w:tc>
      </w:tr>
      <w:tr w:rsidR="00030DD1" w:rsidRPr="00030DD1" w:rsidTr="00030DD1">
        <w:trPr>
          <w:tblCellSpacing w:w="7" w:type="dxa"/>
        </w:trPr>
        <w:tc>
          <w:tcPr>
            <w:tcW w:w="0" w:type="auto"/>
            <w:shd w:val="clear" w:color="auto" w:fill="FFFFFF"/>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030DD1" w:rsidRPr="00030DD1" w:rsidRDefault="00030DD1" w:rsidP="008767AF">
            <w:pPr>
              <w:widowControl/>
              <w:spacing w:before="100" w:beforeAutospacing="1" w:after="100" w:afterAutospacing="1" w:line="384" w:lineRule="atLeast"/>
              <w:rPr>
                <w:rFonts w:ascii="微軟正黑體" w:eastAsia="微軟正黑體" w:hAnsi="微軟正黑體" w:cs="新細明體"/>
                <w:color w:val="000000"/>
                <w:kern w:val="0"/>
                <w:szCs w:val="24"/>
              </w:rPr>
            </w:pPr>
          </w:p>
        </w:tc>
        <w:tc>
          <w:tcPr>
            <w:tcW w:w="0" w:type="auto"/>
            <w:shd w:val="clear" w:color="auto" w:fill="FFFFFF"/>
            <w:vAlign w:val="center"/>
            <w:hideMark/>
          </w:tcPr>
          <w:p w:rsidR="00030DD1" w:rsidRPr="00030DD1" w:rsidRDefault="00030DD1" w:rsidP="00030DD1">
            <w:pPr>
              <w:widowControl/>
              <w:numPr>
                <w:ilvl w:val="0"/>
                <w:numId w:val="3"/>
              </w:numPr>
              <w:spacing w:before="100" w:beforeAutospacing="1" w:after="100" w:afterAutospacing="1" w:line="384" w:lineRule="atLeast"/>
              <w:rPr>
                <w:rFonts w:ascii="微軟正黑體" w:eastAsia="微軟正黑體" w:hAnsi="微軟正黑體" w:cs="新細明體"/>
                <w:color w:val="000000"/>
                <w:kern w:val="0"/>
                <w:szCs w:val="24"/>
              </w:rPr>
            </w:pPr>
          </w:p>
        </w:tc>
      </w:tr>
      <w:tr w:rsidR="00030DD1" w:rsidRPr="00030DD1" w:rsidTr="00030DD1">
        <w:trPr>
          <w:tblCellSpacing w:w="7" w:type="dxa"/>
        </w:trPr>
        <w:tc>
          <w:tcPr>
            <w:tcW w:w="0" w:type="auto"/>
            <w:shd w:val="clear" w:color="auto" w:fill="F9F9F9"/>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b/>
                <w:bCs/>
                <w:color w:val="000000"/>
                <w:kern w:val="0"/>
                <w:szCs w:val="24"/>
              </w:rPr>
              <w:lastRenderedPageBreak/>
              <w:t>配分：[0.00]</w:t>
            </w:r>
          </w:p>
        </w:tc>
        <w:tc>
          <w:tcPr>
            <w:tcW w:w="0" w:type="auto"/>
            <w:shd w:val="clear" w:color="auto" w:fill="F9F9F9"/>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color w:val="000000"/>
                <w:kern w:val="0"/>
                <w:szCs w:val="24"/>
              </w:rPr>
              <w:t> </w:t>
            </w:r>
          </w:p>
        </w:tc>
        <w:tc>
          <w:tcPr>
            <w:tcW w:w="0" w:type="auto"/>
            <w:shd w:val="clear" w:color="auto" w:fill="F9F9F9"/>
            <w:vAlign w:val="center"/>
            <w:hideMark/>
          </w:tcPr>
          <w:p w:rsidR="003C5E19" w:rsidRPr="00030DD1" w:rsidRDefault="003C5E19" w:rsidP="003C5E19">
            <w:pPr>
              <w:widowControl/>
              <w:spacing w:line="384" w:lineRule="atLeast"/>
              <w:rPr>
                <w:rFonts w:ascii="微軟正黑體" w:eastAsia="微軟正黑體" w:hAnsi="微軟正黑體" w:cs="新細明體"/>
                <w:color w:val="000000"/>
                <w:kern w:val="0"/>
                <w:szCs w:val="24"/>
              </w:rPr>
            </w:pPr>
          </w:p>
          <w:p w:rsidR="000B7C59" w:rsidRPr="00030DD1" w:rsidRDefault="000B7C59" w:rsidP="000B7C59">
            <w:pPr>
              <w:widowControl/>
              <w:spacing w:before="100" w:beforeAutospacing="1" w:after="100" w:afterAutospacing="1" w:line="384" w:lineRule="atLeast"/>
              <w:ind w:left="720"/>
              <w:rPr>
                <w:rFonts w:ascii="微軟正黑體" w:eastAsia="微軟正黑體" w:hAnsi="微軟正黑體" w:cs="新細明體"/>
                <w:color w:val="000000"/>
                <w:kern w:val="0"/>
                <w:szCs w:val="24"/>
              </w:rPr>
            </w:pPr>
          </w:p>
        </w:tc>
        <w:tc>
          <w:tcPr>
            <w:tcW w:w="0" w:type="auto"/>
            <w:shd w:val="clear" w:color="auto" w:fill="F9F9F9"/>
            <w:vAlign w:val="center"/>
            <w:hideMark/>
          </w:tcPr>
          <w:p w:rsidR="00030DD1" w:rsidRPr="00030DD1" w:rsidRDefault="00030DD1" w:rsidP="00030DD1">
            <w:pPr>
              <w:widowControl/>
              <w:numPr>
                <w:ilvl w:val="0"/>
                <w:numId w:val="4"/>
              </w:numPr>
              <w:spacing w:before="100" w:beforeAutospacing="1" w:after="100" w:afterAutospacing="1" w:line="384" w:lineRule="atLeast"/>
              <w:rPr>
                <w:rFonts w:ascii="微軟正黑體" w:eastAsia="微軟正黑體" w:hAnsi="微軟正黑體" w:cs="新細明體"/>
                <w:color w:val="000000"/>
                <w:kern w:val="0"/>
                <w:szCs w:val="24"/>
              </w:rPr>
            </w:pPr>
          </w:p>
        </w:tc>
      </w:tr>
      <w:tr w:rsidR="00030DD1" w:rsidRPr="00030DD1" w:rsidTr="00030DD1">
        <w:trPr>
          <w:tblCellSpacing w:w="7" w:type="dxa"/>
        </w:trPr>
        <w:tc>
          <w:tcPr>
            <w:tcW w:w="0" w:type="auto"/>
            <w:shd w:val="clear" w:color="auto" w:fill="FFFFFF"/>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030DD1" w:rsidRPr="00030DD1" w:rsidRDefault="00030DD1" w:rsidP="00030DD1">
            <w:pPr>
              <w:widowControl/>
              <w:spacing w:line="384" w:lineRule="atLeast"/>
              <w:rPr>
                <w:rFonts w:ascii="微軟正黑體" w:eastAsia="微軟正黑體" w:hAnsi="微軟正黑體" w:cs="新細明體"/>
                <w:color w:val="000000"/>
                <w:kern w:val="0"/>
                <w:szCs w:val="24"/>
              </w:rPr>
            </w:pPr>
            <w:r w:rsidRPr="00030DD1">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030DD1" w:rsidRPr="00030DD1" w:rsidRDefault="00030DD1" w:rsidP="00BA6E3B">
            <w:pPr>
              <w:widowControl/>
              <w:spacing w:before="100" w:beforeAutospacing="1" w:after="100" w:afterAutospacing="1" w:line="384" w:lineRule="atLeast"/>
              <w:ind w:left="720"/>
              <w:rPr>
                <w:rFonts w:ascii="微軟正黑體" w:eastAsia="微軟正黑體" w:hAnsi="微軟正黑體" w:cs="新細明體"/>
                <w:color w:val="000000"/>
                <w:kern w:val="0"/>
                <w:szCs w:val="24"/>
              </w:rPr>
            </w:pPr>
          </w:p>
        </w:tc>
        <w:tc>
          <w:tcPr>
            <w:tcW w:w="0" w:type="auto"/>
            <w:shd w:val="clear" w:color="auto" w:fill="FFFFFF"/>
            <w:vAlign w:val="center"/>
            <w:hideMark/>
          </w:tcPr>
          <w:p w:rsidR="00030DD1" w:rsidRPr="00030DD1" w:rsidRDefault="00030DD1" w:rsidP="00030DD1">
            <w:pPr>
              <w:widowControl/>
              <w:rPr>
                <w:rFonts w:ascii="Times New Roman" w:eastAsia="Times New Roman" w:hAnsi="Times New Roman" w:cs="Times New Roman"/>
                <w:kern w:val="0"/>
                <w:sz w:val="20"/>
                <w:szCs w:val="20"/>
              </w:rPr>
            </w:pPr>
          </w:p>
        </w:tc>
      </w:tr>
    </w:tbl>
    <w:p w:rsidR="007C5C56" w:rsidRPr="00F27FBB" w:rsidRDefault="007C5C56" w:rsidP="00BF73BC">
      <w:pPr>
        <w:spacing w:line="360" w:lineRule="auto"/>
        <w:rPr>
          <w:rFonts w:ascii="Times New Roman" w:hAnsi="Times New Roman" w:cs="Times New Roman"/>
          <w:color w:val="000000" w:themeColor="text1"/>
          <w:szCs w:val="24"/>
        </w:rPr>
      </w:pPr>
    </w:p>
    <w:p w:rsidR="0061022D" w:rsidRDefault="00833886" w:rsidP="00BF73BC">
      <w:pPr>
        <w:spacing w:line="36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2</w:t>
      </w:r>
      <w:r w:rsidR="00BF73BC" w:rsidRPr="00F27FBB">
        <w:rPr>
          <w:rFonts w:ascii="Times New Roman" w:hAnsi="Times New Roman" w:cs="Times New Roman"/>
          <w:color w:val="000000" w:themeColor="text1"/>
          <w:szCs w:val="24"/>
        </w:rPr>
        <w:t xml:space="preserve">. </w:t>
      </w:r>
      <w:r w:rsidR="0061022D">
        <w:rPr>
          <w:rFonts w:ascii="Times New Roman" w:hAnsi="Times New Roman" w:cs="Times New Roman"/>
          <w:color w:val="000000" w:themeColor="text1"/>
          <w:szCs w:val="24"/>
        </w:rPr>
        <w:t>c</w:t>
      </w:r>
      <w:r w:rsidR="007C5C56" w:rsidRPr="00F27FBB">
        <w:rPr>
          <w:rFonts w:ascii="Times New Roman" w:hAnsi="Times New Roman" w:cs="Times New Roman"/>
          <w:color w:val="000000" w:themeColor="text1"/>
          <w:szCs w:val="24"/>
        </w:rPr>
        <w:t>關於股票的敘述，下列何者正確：</w:t>
      </w:r>
      <w:r w:rsidR="0061022D">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(a)</w:t>
      </w:r>
      <w:r w:rsidR="0061022D" w:rsidRPr="0061022D">
        <w:rPr>
          <w:rFonts w:ascii="Times New Roman" w:hAnsi="Times New Roman" w:cs="Times New Roman"/>
          <w:color w:val="000000" w:themeColor="text1"/>
          <w:szCs w:val="24"/>
        </w:rPr>
        <w:t xml:space="preserve"> </w:t>
      </w:r>
      <w:r w:rsidR="0061022D" w:rsidRPr="00F27FBB">
        <w:rPr>
          <w:rFonts w:ascii="Times New Roman" w:hAnsi="Times New Roman" w:cs="Times New Roman"/>
          <w:color w:val="000000" w:themeColor="text1"/>
          <w:szCs w:val="24"/>
        </w:rPr>
        <w:t>防禦型股票被認為是公司的銷售額和盈餘比一般經濟的成長速度更快，且比大多數股票的收益更高</w:t>
      </w:r>
      <w:r w:rsidR="0061022D">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(b)</w:t>
      </w:r>
      <w:r w:rsidR="0061022D" w:rsidRPr="0061022D">
        <w:rPr>
          <w:rFonts w:ascii="Times New Roman" w:hAnsi="Times New Roman" w:cs="Times New Roman"/>
          <w:color w:val="000000" w:themeColor="text1"/>
          <w:szCs w:val="24"/>
        </w:rPr>
        <w:t xml:space="preserve"> </w:t>
      </w:r>
      <w:r w:rsidR="0061022D" w:rsidRPr="00F27FBB">
        <w:rPr>
          <w:rFonts w:ascii="Times New Roman" w:hAnsi="Times New Roman" w:cs="Times New Roman"/>
          <w:color w:val="000000" w:themeColor="text1"/>
          <w:szCs w:val="24"/>
        </w:rPr>
        <w:t>股票代表公司的負債</w:t>
      </w:r>
      <w:r w:rsidR="0061022D">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(c)</w:t>
      </w:r>
      <w:r w:rsidR="0061022D" w:rsidRPr="0061022D">
        <w:rPr>
          <w:rFonts w:ascii="Times New Roman" w:hAnsi="Times New Roman" w:cs="Times New Roman"/>
          <w:color w:val="000000" w:themeColor="text1"/>
          <w:szCs w:val="24"/>
        </w:rPr>
        <w:t xml:space="preserve"> </w:t>
      </w:r>
      <w:r w:rsidR="0061022D" w:rsidRPr="00F27FBB">
        <w:rPr>
          <w:rFonts w:ascii="Times New Roman" w:hAnsi="Times New Roman" w:cs="Times New Roman"/>
          <w:color w:val="000000" w:themeColor="text1"/>
          <w:szCs w:val="24"/>
        </w:rPr>
        <w:t>普通股的價值是所有未來股利的現值總和</w:t>
      </w:r>
      <w:r w:rsidR="0061022D">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 xml:space="preserve">(d) </w:t>
      </w:r>
      <w:r w:rsidR="0061022D" w:rsidRPr="00F27FBB">
        <w:rPr>
          <w:rFonts w:ascii="Times New Roman" w:hAnsi="Times New Roman" w:cs="Times New Roman"/>
          <w:color w:val="000000" w:themeColor="text1"/>
          <w:szCs w:val="24"/>
        </w:rPr>
        <w:t>收益型股票是指價值被低估的股票</w:t>
      </w:r>
    </w:p>
    <w:p w:rsidR="00FD64E7" w:rsidRPr="00F27FBB" w:rsidRDefault="007C5C56" w:rsidP="00BF73BC">
      <w:pPr>
        <w:spacing w:line="360" w:lineRule="auto"/>
        <w:rPr>
          <w:rFonts w:ascii="Times New Roman" w:hAnsi="Times New Roman" w:cs="Times New Roman"/>
          <w:color w:val="000000" w:themeColor="text1"/>
          <w:szCs w:val="24"/>
        </w:rPr>
      </w:pPr>
      <w:r w:rsidRPr="00F27FBB">
        <w:rPr>
          <w:rFonts w:ascii="Times New Roman" w:hAnsi="Times New Roman" w:cs="Times New Roman"/>
          <w:color w:val="000000" w:themeColor="text1"/>
          <w:szCs w:val="24"/>
        </w:rPr>
        <w:t>(p.336-342)</w:t>
      </w:r>
    </w:p>
    <w:p w:rsidR="007C5C56" w:rsidRPr="00F27FBB" w:rsidRDefault="007C5C56" w:rsidP="00030DD1">
      <w:pPr>
        <w:rPr>
          <w:rFonts w:ascii="Times New Roman" w:hAnsi="Times New Roman" w:cs="Times New Roman"/>
          <w:color w:val="000000" w:themeColor="text1"/>
        </w:rPr>
      </w:pPr>
    </w:p>
    <w:p w:rsidR="007C5C56" w:rsidRPr="00F27FBB" w:rsidRDefault="00833886" w:rsidP="00BF73BC">
      <w:pPr>
        <w:spacing w:line="440" w:lineRule="exact"/>
        <w:jc w:val="both"/>
        <w:rPr>
          <w:rFonts w:ascii="Times New Roman" w:hAnsi="Times New Roman" w:cs="Times New Roman"/>
          <w:color w:val="000000" w:themeColor="text1"/>
        </w:rPr>
      </w:pPr>
      <w:r>
        <w:rPr>
          <w:rFonts w:ascii="Times New Roman" w:hAnsi="Times New Roman" w:cs="Times New Roman"/>
          <w:color w:val="000000" w:themeColor="text1"/>
        </w:rPr>
        <w:t>3</w:t>
      </w:r>
      <w:r w:rsidR="00BF73BC" w:rsidRPr="00F27FBB">
        <w:rPr>
          <w:rFonts w:ascii="Times New Roman" w:hAnsi="Times New Roman" w:cs="Times New Roman"/>
          <w:color w:val="000000" w:themeColor="text1"/>
        </w:rPr>
        <w:t xml:space="preserve">. </w:t>
      </w:r>
      <w:r w:rsidR="00BA1FCD" w:rsidRPr="00F27FBB">
        <w:rPr>
          <w:rFonts w:ascii="Times New Roman" w:hAnsi="Times New Roman" w:cs="Times New Roman"/>
          <w:color w:val="000000" w:themeColor="text1"/>
        </w:rPr>
        <w:t>D</w:t>
      </w:r>
      <w:r w:rsidR="007C5C56" w:rsidRPr="00F27FBB">
        <w:rPr>
          <w:rFonts w:ascii="Times New Roman" w:hAnsi="Times New Roman" w:cs="Times New Roman"/>
          <w:color w:val="000000" w:themeColor="text1"/>
        </w:rPr>
        <w:t xml:space="preserve"> </w:t>
      </w:r>
      <w:r w:rsidR="007C5C56" w:rsidRPr="00F27FBB">
        <w:rPr>
          <w:rFonts w:ascii="Times New Roman" w:hAnsi="Times New Roman" w:cs="Times New Roman"/>
          <w:color w:val="000000" w:themeColor="text1"/>
        </w:rPr>
        <w:t>以下敘述何者</w:t>
      </w:r>
      <w:r w:rsidR="00BA1FCD" w:rsidRPr="00F27FBB">
        <w:rPr>
          <w:rFonts w:ascii="Times New Roman" w:hAnsi="Times New Roman" w:cs="Times New Roman"/>
          <w:color w:val="000000" w:themeColor="text1"/>
        </w:rPr>
        <w:t>有誤</w:t>
      </w:r>
      <w:r w:rsidR="007C5C56" w:rsidRPr="00F27FBB">
        <w:rPr>
          <w:rFonts w:ascii="Times New Roman" w:hAnsi="Times New Roman" w:cs="Times New Roman"/>
          <w:color w:val="000000" w:themeColor="text1"/>
        </w:rPr>
        <w:t>？</w:t>
      </w:r>
      <w:r w:rsidR="007C5C56" w:rsidRPr="00F27FBB">
        <w:rPr>
          <w:rFonts w:ascii="Times New Roman" w:hAnsi="Times New Roman" w:cs="Times New Roman"/>
          <w:color w:val="000000" w:themeColor="text1"/>
        </w:rPr>
        <w:t xml:space="preserve"> </w:t>
      </w:r>
      <w:r w:rsidR="004C4192">
        <w:rPr>
          <w:rFonts w:ascii="Times New Roman" w:hAnsi="Times New Roman" w:cs="Times New Roman"/>
          <w:color w:val="000000" w:themeColor="text1"/>
        </w:rPr>
        <w:br/>
      </w:r>
      <w:r w:rsidR="007C5C56" w:rsidRPr="00F27FBB">
        <w:rPr>
          <w:rFonts w:ascii="Times New Roman" w:hAnsi="Times New Roman" w:cs="Times New Roman"/>
          <w:color w:val="000000" w:themeColor="text1"/>
        </w:rPr>
        <w:t xml:space="preserve">(A) </w:t>
      </w:r>
      <w:r w:rsidR="004C4192" w:rsidRPr="00F27FBB">
        <w:rPr>
          <w:rFonts w:ascii="Times New Roman" w:hAnsi="Times New Roman" w:cs="Times New Roman"/>
          <w:color w:val="000000" w:themeColor="text1"/>
        </w:rPr>
        <w:t>定期存款是指通過銀行或信用合作社，以及儲蓄和貸款機構在指定的時間存款，通常其存款期限至少為</w:t>
      </w:r>
      <w:r w:rsidR="004C4192" w:rsidRPr="00F27FBB">
        <w:rPr>
          <w:rFonts w:ascii="Times New Roman" w:hAnsi="Times New Roman" w:cs="Times New Roman"/>
          <w:color w:val="000000" w:themeColor="text1"/>
        </w:rPr>
        <w:t>3-6</w:t>
      </w:r>
      <w:r w:rsidR="004C4192" w:rsidRPr="00F27FBB">
        <w:rPr>
          <w:rFonts w:ascii="Times New Roman" w:hAnsi="Times New Roman" w:cs="Times New Roman"/>
          <w:color w:val="000000" w:themeColor="text1"/>
        </w:rPr>
        <w:t>個月</w:t>
      </w:r>
      <w:r w:rsidR="004C4192">
        <w:rPr>
          <w:rFonts w:ascii="Times New Roman" w:hAnsi="Times New Roman" w:cs="Times New Roman"/>
          <w:color w:val="000000" w:themeColor="text1"/>
        </w:rPr>
        <w:br/>
      </w:r>
      <w:r w:rsidR="007C5C56" w:rsidRPr="00F27FBB">
        <w:rPr>
          <w:rFonts w:ascii="Times New Roman" w:hAnsi="Times New Roman" w:cs="Times New Roman"/>
          <w:color w:val="000000" w:themeColor="text1"/>
        </w:rPr>
        <w:t xml:space="preserve">(B) </w:t>
      </w:r>
      <w:r w:rsidR="007C5C56" w:rsidRPr="00F27FBB">
        <w:rPr>
          <w:rFonts w:ascii="Times New Roman" w:hAnsi="Times New Roman" w:cs="Times New Roman"/>
          <w:color w:val="000000" w:themeColor="text1"/>
        </w:rPr>
        <w:t>國庫券由於是以政府的信用來背書，故無信用風險</w:t>
      </w:r>
      <w:r w:rsidR="007C5C56" w:rsidRPr="00F27FBB">
        <w:rPr>
          <w:rFonts w:ascii="Times New Roman" w:hAnsi="Times New Roman" w:cs="Times New Roman"/>
          <w:color w:val="000000" w:themeColor="text1"/>
        </w:rPr>
        <w:t xml:space="preserve"> </w:t>
      </w:r>
      <w:r w:rsidR="004C4192">
        <w:rPr>
          <w:rFonts w:ascii="Times New Roman" w:hAnsi="Times New Roman" w:cs="Times New Roman"/>
          <w:color w:val="000000" w:themeColor="text1"/>
        </w:rPr>
        <w:br/>
      </w:r>
      <w:r w:rsidR="007C5C56" w:rsidRPr="00F27FBB">
        <w:rPr>
          <w:rFonts w:ascii="Times New Roman" w:hAnsi="Times New Roman" w:cs="Times New Roman"/>
          <w:color w:val="000000" w:themeColor="text1"/>
        </w:rPr>
        <w:lastRenderedPageBreak/>
        <w:t>(C)</w:t>
      </w:r>
      <w:r w:rsidR="004C4192">
        <w:rPr>
          <w:rFonts w:ascii="Times New Roman" w:hAnsi="Times New Roman" w:cs="Times New Roman"/>
          <w:color w:val="000000" w:themeColor="text1"/>
        </w:rPr>
        <w:t xml:space="preserve"> </w:t>
      </w:r>
      <w:r w:rsidR="004C4192" w:rsidRPr="00F27FBB">
        <w:rPr>
          <w:rFonts w:ascii="Times New Roman" w:hAnsi="Times New Roman" w:cs="Times New Roman"/>
          <w:color w:val="000000" w:themeColor="text1"/>
        </w:rPr>
        <w:t>儲蓄帳戶又稱為『活期存款』，具有固定盈餘、便利性、流動性、低風險、及低利率的特性</w:t>
      </w:r>
      <w:r w:rsidR="004C4192">
        <w:rPr>
          <w:rFonts w:ascii="Times New Roman" w:hAnsi="Times New Roman" w:cs="Times New Roman"/>
          <w:color w:val="000000" w:themeColor="text1"/>
        </w:rPr>
        <w:br/>
      </w:r>
      <w:r w:rsidR="000D72D1" w:rsidRPr="00F27FBB">
        <w:rPr>
          <w:rFonts w:ascii="Times New Roman" w:hAnsi="Times New Roman" w:cs="Times New Roman"/>
          <w:color w:val="000000" w:themeColor="text1"/>
        </w:rPr>
        <w:t>(D)</w:t>
      </w:r>
      <w:r w:rsidR="00C02F11" w:rsidRPr="00F27FBB">
        <w:rPr>
          <w:rFonts w:ascii="Times New Roman" w:hAnsi="Times New Roman" w:cs="Times New Roman"/>
          <w:color w:val="000000" w:themeColor="text1"/>
        </w:rPr>
        <w:t>貨幣基金是最受歡迎的現金投資之一，其將資金投資於股票、</w:t>
      </w:r>
      <w:r w:rsidR="00BA1FCD" w:rsidRPr="00F27FBB">
        <w:rPr>
          <w:rFonts w:ascii="Times New Roman" w:hAnsi="Times New Roman" w:cs="Times New Roman"/>
          <w:color w:val="000000" w:themeColor="text1"/>
        </w:rPr>
        <w:t>或</w:t>
      </w:r>
      <w:r w:rsidR="00BA1FCD" w:rsidRPr="00F27FBB">
        <w:rPr>
          <w:rFonts w:ascii="Times New Roman" w:hAnsi="Times New Roman" w:cs="Times New Roman"/>
          <w:color w:val="000000" w:themeColor="text1"/>
        </w:rPr>
        <w:t>10</w:t>
      </w:r>
      <w:r w:rsidR="00BA1FCD" w:rsidRPr="00F27FBB">
        <w:rPr>
          <w:rFonts w:ascii="Times New Roman" w:hAnsi="Times New Roman" w:cs="Times New Roman"/>
          <w:color w:val="000000" w:themeColor="text1"/>
        </w:rPr>
        <w:t>年以上</w:t>
      </w:r>
      <w:r w:rsidR="00C02F11" w:rsidRPr="00F27FBB">
        <w:rPr>
          <w:rFonts w:ascii="Times New Roman" w:hAnsi="Times New Roman" w:cs="Times New Roman"/>
          <w:color w:val="000000" w:themeColor="text1"/>
        </w:rPr>
        <w:t>債券</w:t>
      </w:r>
      <w:r w:rsidR="00BA1FCD" w:rsidRPr="00F27FBB">
        <w:rPr>
          <w:rFonts w:ascii="Times New Roman" w:hAnsi="Times New Roman" w:cs="Times New Roman"/>
          <w:color w:val="000000" w:themeColor="text1"/>
        </w:rPr>
        <w:t>等長期生息金融商品的基金</w:t>
      </w:r>
      <w:r w:rsidR="007C5C56" w:rsidRPr="00F27FBB">
        <w:rPr>
          <w:rFonts w:ascii="Times New Roman" w:hAnsi="Times New Roman" w:cs="Times New Roman"/>
          <w:color w:val="000000" w:themeColor="text1"/>
        </w:rPr>
        <w:t>。</w:t>
      </w:r>
      <w:r w:rsidR="004C4192">
        <w:rPr>
          <w:rFonts w:ascii="Times New Roman" w:hAnsi="Times New Roman" w:cs="Times New Roman"/>
          <w:color w:val="000000" w:themeColor="text1"/>
        </w:rPr>
        <w:br/>
      </w:r>
      <w:r w:rsidR="007C5C56" w:rsidRPr="00F27FBB">
        <w:rPr>
          <w:rFonts w:ascii="Times New Roman" w:hAnsi="Times New Roman" w:cs="Times New Roman"/>
          <w:color w:val="000000" w:themeColor="text1"/>
        </w:rPr>
        <w:t>P.326-327</w:t>
      </w:r>
      <w:r w:rsidR="00190B56" w:rsidRPr="00F27FBB">
        <w:rPr>
          <w:rFonts w:ascii="Times New Roman" w:hAnsi="Times New Roman" w:cs="Times New Roman"/>
          <w:color w:val="000000" w:themeColor="text1"/>
        </w:rPr>
        <w:br/>
      </w:r>
      <w:r w:rsidR="00190B56" w:rsidRPr="00F27FBB">
        <w:rPr>
          <w:rFonts w:ascii="Times New Roman" w:hAnsi="Times New Roman" w:cs="Times New Roman"/>
          <w:strike/>
          <w:color w:val="000000" w:themeColor="text1"/>
        </w:rPr>
        <w:br/>
      </w:r>
    </w:p>
    <w:p w:rsidR="00BF73BC" w:rsidRPr="00F27FBB" w:rsidRDefault="00833886" w:rsidP="00BF73BC">
      <w:pPr>
        <w:spacing w:line="440" w:lineRule="exact"/>
        <w:jc w:val="both"/>
        <w:rPr>
          <w:rFonts w:ascii="Times New Roman" w:hAnsi="Times New Roman" w:cs="Times New Roman"/>
          <w:color w:val="000000" w:themeColor="text1"/>
        </w:rPr>
      </w:pPr>
      <w:r>
        <w:rPr>
          <w:rFonts w:ascii="Times New Roman" w:hAnsi="Times New Roman" w:cs="Times New Roman"/>
          <w:color w:val="000000" w:themeColor="text1"/>
        </w:rPr>
        <w:t>4</w:t>
      </w:r>
      <w:r w:rsidR="00BF73BC" w:rsidRPr="00F27FBB">
        <w:rPr>
          <w:rFonts w:ascii="Times New Roman" w:hAnsi="Times New Roman" w:cs="Times New Roman"/>
          <w:color w:val="000000" w:themeColor="text1"/>
        </w:rPr>
        <w:t xml:space="preserve">. </w:t>
      </w:r>
      <w:r w:rsidR="00B8034B">
        <w:rPr>
          <w:rFonts w:ascii="Times New Roman" w:hAnsi="Times New Roman" w:cs="Times New Roman"/>
          <w:color w:val="000000" w:themeColor="text1"/>
        </w:rPr>
        <w:t>C</w:t>
      </w:r>
      <w:r w:rsidR="007C5C56" w:rsidRPr="00F27FBB">
        <w:rPr>
          <w:rFonts w:ascii="Times New Roman" w:hAnsi="Times New Roman" w:cs="Times New Roman"/>
          <w:color w:val="000000" w:themeColor="text1"/>
        </w:rPr>
        <w:t xml:space="preserve"> </w:t>
      </w:r>
      <w:r w:rsidR="007C5C56" w:rsidRPr="00F27FBB">
        <w:rPr>
          <w:rFonts w:ascii="Times New Roman" w:hAnsi="Times New Roman" w:cs="Times New Roman"/>
          <w:color w:val="000000" w:themeColor="text1"/>
        </w:rPr>
        <w:t>以下何種指標可用來衡量一個完全多角化投資組合在承擔每單位系統風險下，所能獲得的</w:t>
      </w:r>
      <w:proofErr w:type="gramStart"/>
      <w:r w:rsidR="007C5C56" w:rsidRPr="00F27FBB">
        <w:rPr>
          <w:rFonts w:ascii="Times New Roman" w:hAnsi="Times New Roman" w:cs="Times New Roman"/>
          <w:color w:val="000000" w:themeColor="text1"/>
        </w:rPr>
        <w:t>風險溢酬</w:t>
      </w:r>
      <w:proofErr w:type="gramEnd"/>
      <w:r w:rsidR="007C5C56" w:rsidRPr="00F27FBB">
        <w:rPr>
          <w:rFonts w:ascii="Times New Roman" w:hAnsi="Times New Roman" w:cs="Times New Roman"/>
          <w:color w:val="000000" w:themeColor="text1"/>
        </w:rPr>
        <w:t>？</w:t>
      </w:r>
      <w:r w:rsidR="007C5C56" w:rsidRPr="00F27FBB">
        <w:rPr>
          <w:rFonts w:ascii="Times New Roman" w:hAnsi="Times New Roman" w:cs="Times New Roman"/>
          <w:color w:val="000000" w:themeColor="text1"/>
        </w:rPr>
        <w:t xml:space="preserve"> </w:t>
      </w:r>
      <w:r w:rsidR="009E7901">
        <w:rPr>
          <w:rFonts w:ascii="Times New Roman" w:hAnsi="Times New Roman" w:cs="Times New Roman"/>
          <w:color w:val="000000" w:themeColor="text1"/>
        </w:rPr>
        <w:br/>
      </w:r>
      <w:r w:rsidR="007C5C56" w:rsidRPr="00F27FBB">
        <w:rPr>
          <w:rFonts w:ascii="Times New Roman" w:hAnsi="Times New Roman" w:cs="Times New Roman"/>
          <w:color w:val="000000" w:themeColor="text1"/>
        </w:rPr>
        <w:t>(A)</w:t>
      </w:r>
      <w:r w:rsidR="00B8034B" w:rsidRPr="00B8034B">
        <w:rPr>
          <w:rFonts w:ascii="Times New Roman" w:hAnsi="Times New Roman" w:cs="Times New Roman"/>
          <w:color w:val="000000" w:themeColor="text1"/>
        </w:rPr>
        <w:t xml:space="preserve"> </w:t>
      </w:r>
      <w:r w:rsidR="00B8034B" w:rsidRPr="00F27FBB">
        <w:rPr>
          <w:rFonts w:ascii="Times New Roman" w:hAnsi="Times New Roman" w:cs="Times New Roman"/>
          <w:color w:val="000000" w:themeColor="text1"/>
        </w:rPr>
        <w:t>Jensen</w:t>
      </w:r>
      <w:r w:rsidR="007C5C56" w:rsidRPr="00F27FBB">
        <w:rPr>
          <w:rFonts w:ascii="Times New Roman" w:hAnsi="Times New Roman" w:cs="Times New Roman"/>
          <w:color w:val="000000" w:themeColor="text1"/>
        </w:rPr>
        <w:t>指標</w:t>
      </w:r>
      <w:r w:rsidR="007C5C56" w:rsidRPr="00F27FBB">
        <w:rPr>
          <w:rFonts w:ascii="Times New Roman" w:hAnsi="Times New Roman" w:cs="Times New Roman"/>
          <w:color w:val="000000" w:themeColor="text1"/>
        </w:rPr>
        <w:t xml:space="preserve"> </w:t>
      </w:r>
      <w:r w:rsidR="009E7901">
        <w:rPr>
          <w:rFonts w:ascii="Times New Roman" w:hAnsi="Times New Roman" w:cs="Times New Roman"/>
          <w:color w:val="000000" w:themeColor="text1"/>
        </w:rPr>
        <w:br/>
      </w:r>
      <w:r w:rsidR="007C5C56" w:rsidRPr="00F27FBB">
        <w:rPr>
          <w:rFonts w:ascii="Times New Roman" w:hAnsi="Times New Roman" w:cs="Times New Roman"/>
          <w:color w:val="000000" w:themeColor="text1"/>
        </w:rPr>
        <w:t>(B) Sharpe</w:t>
      </w:r>
      <w:r w:rsidR="007C5C56" w:rsidRPr="00F27FBB">
        <w:rPr>
          <w:rFonts w:ascii="Times New Roman" w:hAnsi="Times New Roman" w:cs="Times New Roman"/>
          <w:color w:val="000000" w:themeColor="text1"/>
        </w:rPr>
        <w:t>指標</w:t>
      </w:r>
      <w:r w:rsidR="007C5C56" w:rsidRPr="00F27FBB">
        <w:rPr>
          <w:rFonts w:ascii="Times New Roman" w:hAnsi="Times New Roman" w:cs="Times New Roman"/>
          <w:color w:val="000000" w:themeColor="text1"/>
        </w:rPr>
        <w:t xml:space="preserve"> </w:t>
      </w:r>
      <w:r w:rsidR="009E7901">
        <w:rPr>
          <w:rFonts w:ascii="Times New Roman" w:hAnsi="Times New Roman" w:cs="Times New Roman"/>
          <w:color w:val="000000" w:themeColor="text1"/>
        </w:rPr>
        <w:br/>
      </w:r>
      <w:r w:rsidR="007C5C56" w:rsidRPr="00F27FBB">
        <w:rPr>
          <w:rFonts w:ascii="Times New Roman" w:hAnsi="Times New Roman" w:cs="Times New Roman"/>
          <w:color w:val="000000" w:themeColor="text1"/>
        </w:rPr>
        <w:t xml:space="preserve">(C) </w:t>
      </w:r>
      <w:r w:rsidR="00B8034B" w:rsidRPr="00F27FBB">
        <w:rPr>
          <w:rFonts w:ascii="Times New Roman" w:hAnsi="Times New Roman" w:cs="Times New Roman"/>
          <w:color w:val="000000" w:themeColor="text1"/>
        </w:rPr>
        <w:t>Treynor</w:t>
      </w:r>
      <w:r w:rsidR="007C5C56" w:rsidRPr="00F27FBB">
        <w:rPr>
          <w:rFonts w:ascii="Times New Roman" w:hAnsi="Times New Roman" w:cs="Times New Roman"/>
          <w:color w:val="000000" w:themeColor="text1"/>
        </w:rPr>
        <w:t xml:space="preserve"> </w:t>
      </w:r>
      <w:r w:rsidR="007C5C56" w:rsidRPr="00F27FBB">
        <w:rPr>
          <w:rFonts w:ascii="Times New Roman" w:hAnsi="Times New Roman" w:cs="Times New Roman"/>
          <w:color w:val="000000" w:themeColor="text1"/>
        </w:rPr>
        <w:t>指標</w:t>
      </w:r>
      <w:r w:rsidR="002C6EE1">
        <w:rPr>
          <w:rFonts w:ascii="Times New Roman" w:hAnsi="Times New Roman" w:cs="Times New Roman"/>
          <w:color w:val="000000" w:themeColor="text1"/>
        </w:rPr>
        <w:br/>
      </w:r>
      <w:r w:rsidR="002C6EE1">
        <w:rPr>
          <w:rFonts w:ascii="Times New Roman" w:hAnsi="Times New Roman" w:cs="Times New Roman"/>
          <w:color w:val="000000" w:themeColor="text1"/>
          <w:szCs w:val="20"/>
        </w:rPr>
        <w:t>(D)</w:t>
      </w:r>
      <w:r w:rsidR="002C6EE1">
        <w:rPr>
          <w:rFonts w:ascii="Times New Roman" w:hAnsi="Times New Roman" w:cs="Times New Roman" w:hint="eastAsia"/>
          <w:color w:val="000000" w:themeColor="text1"/>
          <w:szCs w:val="20"/>
        </w:rPr>
        <w:t>資訊比率績效衡量</w:t>
      </w:r>
      <w:r w:rsidR="00B8034B">
        <w:rPr>
          <w:rFonts w:ascii="Times New Roman" w:hAnsi="Times New Roman" w:cs="Times New Roman"/>
          <w:color w:val="000000" w:themeColor="text1"/>
        </w:rPr>
        <w:br/>
      </w:r>
      <w:r w:rsidR="007C5C56" w:rsidRPr="00F27FBB">
        <w:rPr>
          <w:rFonts w:ascii="Times New Roman" w:hAnsi="Times New Roman" w:cs="Times New Roman"/>
          <w:color w:val="000000" w:themeColor="text1"/>
        </w:rPr>
        <w:t>P.350</w:t>
      </w:r>
      <w:r w:rsidR="00190B56" w:rsidRPr="00F27FBB">
        <w:rPr>
          <w:rFonts w:ascii="Times New Roman" w:hAnsi="Times New Roman" w:cs="Times New Roman"/>
          <w:color w:val="000000" w:themeColor="text1"/>
        </w:rPr>
        <w:br/>
      </w:r>
    </w:p>
    <w:p w:rsidR="007C5C56" w:rsidRPr="00F27FBB" w:rsidRDefault="00833886" w:rsidP="00BF73BC">
      <w:pPr>
        <w:spacing w:line="440" w:lineRule="exact"/>
        <w:jc w:val="both"/>
        <w:rPr>
          <w:rFonts w:ascii="Times New Roman" w:hAnsi="Times New Roman" w:cs="Times New Roman"/>
          <w:color w:val="000000" w:themeColor="text1"/>
        </w:rPr>
      </w:pPr>
      <w:r>
        <w:rPr>
          <w:rFonts w:ascii="Times New Roman" w:hAnsi="Times New Roman" w:cs="Times New Roman"/>
          <w:color w:val="000000" w:themeColor="text1"/>
          <w:szCs w:val="20"/>
        </w:rPr>
        <w:t>5</w:t>
      </w:r>
      <w:r w:rsidR="00BF73BC" w:rsidRPr="00F27FBB">
        <w:rPr>
          <w:rFonts w:ascii="Times New Roman" w:hAnsi="Times New Roman" w:cs="Times New Roman"/>
          <w:color w:val="000000" w:themeColor="text1"/>
          <w:szCs w:val="20"/>
        </w:rPr>
        <w:t xml:space="preserve">. </w:t>
      </w:r>
      <w:r w:rsidR="00124E00">
        <w:rPr>
          <w:rFonts w:ascii="Times New Roman" w:hAnsi="Times New Roman" w:cs="Times New Roman"/>
          <w:color w:val="000000" w:themeColor="text1"/>
          <w:szCs w:val="20"/>
        </w:rPr>
        <w:t>D</w:t>
      </w:r>
      <w:r w:rsidR="007C5C56" w:rsidRPr="00F27FBB">
        <w:rPr>
          <w:rFonts w:ascii="Times New Roman" w:hAnsi="Times New Roman" w:cs="Times New Roman"/>
          <w:color w:val="000000" w:themeColor="text1"/>
          <w:szCs w:val="20"/>
        </w:rPr>
        <w:t xml:space="preserve"> </w:t>
      </w:r>
      <w:r w:rsidR="007C5C56" w:rsidRPr="00F27FBB">
        <w:rPr>
          <w:rFonts w:ascii="Times New Roman" w:hAnsi="Times New Roman" w:cs="Times New Roman"/>
          <w:color w:val="000000" w:themeColor="text1"/>
          <w:szCs w:val="20"/>
        </w:rPr>
        <w:t>以下關於「被動型基金」的敘述何者</w:t>
      </w:r>
      <w:r w:rsidR="008B3E36" w:rsidRPr="00F27FBB">
        <w:rPr>
          <w:rFonts w:ascii="Times New Roman" w:hAnsi="Times New Roman" w:cs="Times New Roman"/>
          <w:color w:val="000000" w:themeColor="text1"/>
          <w:szCs w:val="20"/>
        </w:rPr>
        <w:t>有誤</w:t>
      </w:r>
      <w:r w:rsidR="007C5C56" w:rsidRPr="00F27FBB">
        <w:rPr>
          <w:rFonts w:ascii="Times New Roman" w:hAnsi="Times New Roman" w:cs="Times New Roman"/>
          <w:color w:val="000000" w:themeColor="text1"/>
          <w:szCs w:val="20"/>
        </w:rPr>
        <w:t>？</w:t>
      </w:r>
      <w:r w:rsidR="007C5C56" w:rsidRPr="00F27FBB">
        <w:rPr>
          <w:rFonts w:ascii="Times New Roman" w:hAnsi="Times New Roman" w:cs="Times New Roman"/>
          <w:color w:val="000000" w:themeColor="text1"/>
          <w:szCs w:val="20"/>
        </w:rPr>
        <w:t xml:space="preserve"> </w:t>
      </w:r>
      <w:r w:rsidR="00915882">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 xml:space="preserve">(A) </w:t>
      </w:r>
      <w:r w:rsidR="007C5C56" w:rsidRPr="00F27FBB">
        <w:rPr>
          <w:rFonts w:ascii="Times New Roman" w:hAnsi="Times New Roman" w:cs="Times New Roman"/>
          <w:color w:val="000000" w:themeColor="text1"/>
          <w:szCs w:val="20"/>
        </w:rPr>
        <w:t>被動型基金的經理人不會試圖挑選個人證券，而只是會追蹤外部指數</w:t>
      </w:r>
      <w:r w:rsidR="007C5C56" w:rsidRPr="00F27FBB">
        <w:rPr>
          <w:rFonts w:ascii="Times New Roman" w:hAnsi="Times New Roman" w:cs="Times New Roman"/>
          <w:color w:val="000000" w:themeColor="text1"/>
          <w:szCs w:val="20"/>
        </w:rPr>
        <w:t xml:space="preserve"> </w:t>
      </w:r>
      <w:r w:rsidR="00915882">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 xml:space="preserve">(B) </w:t>
      </w:r>
      <w:r w:rsidR="007C5C56" w:rsidRPr="00F27FBB">
        <w:rPr>
          <w:rFonts w:ascii="Times New Roman" w:hAnsi="Times New Roman" w:cs="Times New Roman"/>
          <w:color w:val="000000" w:themeColor="text1"/>
          <w:szCs w:val="20"/>
        </w:rPr>
        <w:t>指數型基金只需要極少的管理，故有最低的管理費用</w:t>
      </w:r>
      <w:r w:rsidR="007C5C56" w:rsidRPr="00F27FBB">
        <w:rPr>
          <w:rFonts w:ascii="Times New Roman" w:hAnsi="Times New Roman" w:cs="Times New Roman"/>
          <w:color w:val="000000" w:themeColor="text1"/>
          <w:szCs w:val="20"/>
        </w:rPr>
        <w:t xml:space="preserve"> </w:t>
      </w:r>
      <w:r w:rsidR="00915882">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(C)</w:t>
      </w:r>
      <w:r w:rsidR="008B3E36" w:rsidRPr="00F27FBB">
        <w:rPr>
          <w:rFonts w:ascii="Times New Roman" w:hAnsi="Times New Roman" w:cs="Times New Roman"/>
          <w:color w:val="000000" w:themeColor="text1"/>
          <w:szCs w:val="20"/>
        </w:rPr>
        <w:t>指數股票型基金</w:t>
      </w:r>
      <w:r w:rsidR="008B3E36" w:rsidRPr="00F27FBB">
        <w:rPr>
          <w:rFonts w:ascii="Times New Roman" w:hAnsi="Times New Roman" w:cs="Times New Roman"/>
          <w:color w:val="000000" w:themeColor="text1"/>
          <w:szCs w:val="20"/>
        </w:rPr>
        <w:t xml:space="preserve"> (ETF) </w:t>
      </w:r>
      <w:r w:rsidR="008B3E36" w:rsidRPr="00F27FBB">
        <w:rPr>
          <w:rFonts w:ascii="Times New Roman" w:hAnsi="Times New Roman" w:cs="Times New Roman"/>
          <w:color w:val="000000" w:themeColor="text1"/>
          <w:szCs w:val="20"/>
        </w:rPr>
        <w:t>是被動型基金的一種</w:t>
      </w:r>
      <w:r w:rsidR="008B3E36" w:rsidRPr="00F27FBB">
        <w:rPr>
          <w:rFonts w:ascii="Times New Roman" w:hAnsi="Times New Roman" w:cs="Times New Roman"/>
          <w:color w:val="000000" w:themeColor="text1"/>
          <w:szCs w:val="20"/>
        </w:rPr>
        <w:t xml:space="preserve"> </w:t>
      </w:r>
      <w:r w:rsidR="00915882">
        <w:rPr>
          <w:rFonts w:ascii="Times New Roman" w:hAnsi="Times New Roman" w:cs="Times New Roman"/>
          <w:color w:val="000000" w:themeColor="text1"/>
          <w:szCs w:val="20"/>
        </w:rPr>
        <w:br/>
      </w:r>
      <w:r w:rsidR="008B3E36" w:rsidRPr="00F27FBB">
        <w:rPr>
          <w:rFonts w:ascii="Times New Roman" w:hAnsi="Times New Roman" w:cs="Times New Roman"/>
          <w:color w:val="000000" w:themeColor="text1"/>
          <w:szCs w:val="20"/>
        </w:rPr>
        <w:t>(D)</w:t>
      </w:r>
      <w:r w:rsidR="008B3E36" w:rsidRPr="00F27FBB">
        <w:rPr>
          <w:rFonts w:ascii="Times New Roman" w:hAnsi="Times New Roman" w:cs="Times New Roman"/>
          <w:color w:val="000000" w:themeColor="text1"/>
          <w:szCs w:val="20"/>
        </w:rPr>
        <w:t>指數型基金</w:t>
      </w:r>
      <w:r w:rsidR="002A18F4" w:rsidRPr="00F27FBB">
        <w:rPr>
          <w:rFonts w:ascii="Times New Roman" w:hAnsi="Times New Roman" w:cs="Times New Roman"/>
          <w:color w:val="000000" w:themeColor="text1"/>
          <w:szCs w:val="20"/>
        </w:rPr>
        <w:t>的</w:t>
      </w:r>
      <w:r w:rsidR="008B3E36" w:rsidRPr="00F27FBB">
        <w:rPr>
          <w:rFonts w:ascii="Times New Roman" w:hAnsi="Times New Roman" w:cs="Times New Roman"/>
          <w:color w:val="000000" w:themeColor="text1"/>
          <w:szCs w:val="20"/>
        </w:rPr>
        <w:t>績效表現必定超越大盤是</w:t>
      </w:r>
      <w:r w:rsidR="009466BC">
        <w:rPr>
          <w:rFonts w:ascii="Times New Roman" w:hAnsi="Times New Roman" w:cs="Times New Roman" w:hint="eastAsia"/>
          <w:color w:val="000000" w:themeColor="text1"/>
          <w:szCs w:val="20"/>
        </w:rPr>
        <w:t>其</w:t>
      </w:r>
      <w:r w:rsidR="008B3E36" w:rsidRPr="00F27FBB">
        <w:rPr>
          <w:rFonts w:ascii="Times New Roman" w:hAnsi="Times New Roman" w:cs="Times New Roman"/>
          <w:color w:val="000000" w:themeColor="text1"/>
          <w:szCs w:val="20"/>
        </w:rPr>
        <w:t>主要的優點。</w:t>
      </w:r>
      <w:r w:rsidR="00073C12">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P.348</w:t>
      </w:r>
    </w:p>
    <w:p w:rsidR="007C5C56" w:rsidRPr="00F27FBB" w:rsidRDefault="007C5C56" w:rsidP="00030DD1">
      <w:pPr>
        <w:rPr>
          <w:rFonts w:ascii="Times New Roman" w:hAnsi="Times New Roman" w:cs="Times New Roman"/>
          <w:color w:val="000000" w:themeColor="text1"/>
        </w:rPr>
      </w:pPr>
    </w:p>
    <w:p w:rsidR="007C5C56" w:rsidRPr="00F27FBB" w:rsidRDefault="00DF2891" w:rsidP="00030DD1">
      <w:pPr>
        <w:rPr>
          <w:rFonts w:ascii="Times New Roman" w:hAnsi="Times New Roman" w:cs="Times New Roman"/>
          <w:color w:val="000000" w:themeColor="text1"/>
        </w:rPr>
      </w:pPr>
      <w:r>
        <w:rPr>
          <w:rFonts w:ascii="Times New Roman" w:hAnsi="Times New Roman" w:cs="Times New Roman"/>
          <w:color w:val="000000" w:themeColor="text1"/>
        </w:rPr>
        <w:lastRenderedPageBreak/>
        <w:br/>
      </w:r>
    </w:p>
    <w:p w:rsidR="007C5C56" w:rsidRPr="00F27FBB" w:rsidRDefault="00833886" w:rsidP="00BF73BC">
      <w:pPr>
        <w:spacing w:line="440" w:lineRule="exact"/>
        <w:jc w:val="both"/>
        <w:rPr>
          <w:rFonts w:ascii="Times New Roman" w:hAnsi="Times New Roman" w:cs="Times New Roman"/>
          <w:color w:val="000000" w:themeColor="text1"/>
        </w:rPr>
      </w:pPr>
      <w:r>
        <w:rPr>
          <w:rFonts w:ascii="Times New Roman" w:hAnsi="Times New Roman" w:cs="Times New Roman"/>
          <w:color w:val="000000" w:themeColor="text1"/>
        </w:rPr>
        <w:t>6</w:t>
      </w:r>
      <w:r w:rsidR="00BF73BC" w:rsidRPr="00F27FBB">
        <w:rPr>
          <w:rFonts w:ascii="Times New Roman" w:hAnsi="Times New Roman" w:cs="Times New Roman"/>
          <w:color w:val="000000" w:themeColor="text1"/>
        </w:rPr>
        <w:t xml:space="preserve">. </w:t>
      </w:r>
      <w:r w:rsidR="001F0E21">
        <w:rPr>
          <w:rFonts w:ascii="Times New Roman" w:hAnsi="Times New Roman" w:cs="Times New Roman"/>
          <w:color w:val="000000" w:themeColor="text1"/>
        </w:rPr>
        <w:t>D</w:t>
      </w:r>
      <w:r w:rsidR="007C5C56" w:rsidRPr="00F27FBB">
        <w:rPr>
          <w:rFonts w:ascii="Times New Roman" w:hAnsi="Times New Roman" w:cs="Times New Roman"/>
          <w:color w:val="000000" w:themeColor="text1"/>
        </w:rPr>
        <w:t xml:space="preserve"> </w:t>
      </w:r>
      <w:r w:rsidR="007C5C56" w:rsidRPr="00F27FBB">
        <w:rPr>
          <w:rFonts w:ascii="Times New Roman" w:hAnsi="Times New Roman" w:cs="Times New Roman"/>
          <w:color w:val="000000" w:themeColor="text1"/>
        </w:rPr>
        <w:t>以下關於「債券」的敘述何者</w:t>
      </w:r>
      <w:r w:rsidR="00214380" w:rsidRPr="00F27FBB">
        <w:rPr>
          <w:rFonts w:ascii="Times New Roman" w:hAnsi="Times New Roman" w:cs="Times New Roman"/>
          <w:color w:val="000000" w:themeColor="text1"/>
        </w:rPr>
        <w:t>有誤</w:t>
      </w:r>
      <w:r w:rsidR="007C5C56" w:rsidRPr="00F27FBB">
        <w:rPr>
          <w:rFonts w:ascii="Times New Roman" w:hAnsi="Times New Roman" w:cs="Times New Roman"/>
          <w:color w:val="000000" w:themeColor="text1"/>
        </w:rPr>
        <w:t>？</w:t>
      </w:r>
      <w:r w:rsidR="007C5C56" w:rsidRPr="00F27FBB">
        <w:rPr>
          <w:rFonts w:ascii="Times New Roman" w:hAnsi="Times New Roman" w:cs="Times New Roman"/>
          <w:color w:val="000000" w:themeColor="text1"/>
        </w:rPr>
        <w:t xml:space="preserve"> </w:t>
      </w:r>
      <w:r w:rsidR="00EF3DA6">
        <w:rPr>
          <w:rFonts w:ascii="Times New Roman" w:hAnsi="Times New Roman" w:cs="Times New Roman"/>
          <w:color w:val="000000" w:themeColor="text1"/>
        </w:rPr>
        <w:br/>
      </w:r>
      <w:r w:rsidR="007C5C56" w:rsidRPr="00F27FBB">
        <w:rPr>
          <w:rFonts w:ascii="Times New Roman" w:hAnsi="Times New Roman" w:cs="Times New Roman"/>
          <w:color w:val="000000" w:themeColor="text1"/>
        </w:rPr>
        <w:t xml:space="preserve">(A) </w:t>
      </w:r>
      <w:r w:rsidR="001F0E21">
        <w:rPr>
          <w:rFonts w:ascii="Times New Roman" w:hAnsi="Times New Roman" w:cs="Times New Roman" w:hint="eastAsia"/>
          <w:color w:val="000000" w:themeColor="text1"/>
        </w:rPr>
        <w:t>債券依發行方式可分為按面值購買債券、市場折價債券、原始發行折價債券、以及溢價購買債券</w:t>
      </w:r>
      <w:r w:rsidR="00EF3DA6">
        <w:rPr>
          <w:rFonts w:ascii="Times New Roman" w:hAnsi="Times New Roman" w:cs="Times New Roman"/>
          <w:color w:val="000000" w:themeColor="text1"/>
        </w:rPr>
        <w:br/>
      </w:r>
      <w:r w:rsidR="007C5C56" w:rsidRPr="00F27FBB">
        <w:rPr>
          <w:rFonts w:ascii="Times New Roman" w:hAnsi="Times New Roman" w:cs="Times New Roman"/>
          <w:color w:val="000000" w:themeColor="text1"/>
        </w:rPr>
        <w:t xml:space="preserve">(B) </w:t>
      </w:r>
      <w:r w:rsidR="001F0E21" w:rsidRPr="00F27FBB">
        <w:rPr>
          <w:rFonts w:ascii="Times New Roman" w:hAnsi="Times New Roman" w:cs="Times New Roman"/>
          <w:color w:val="000000" w:themeColor="text1"/>
        </w:rPr>
        <w:t>債券的票面利率代表債券發行機構支付給債券持有人的利率</w:t>
      </w:r>
      <w:r w:rsidR="00EF3DA6">
        <w:rPr>
          <w:rFonts w:ascii="Times New Roman" w:hAnsi="Times New Roman" w:cs="Times New Roman"/>
          <w:color w:val="000000" w:themeColor="text1"/>
        </w:rPr>
        <w:br/>
      </w:r>
      <w:r w:rsidR="007C5C56" w:rsidRPr="00F27FBB">
        <w:rPr>
          <w:rFonts w:ascii="Times New Roman" w:hAnsi="Times New Roman" w:cs="Times New Roman"/>
          <w:color w:val="000000" w:themeColor="text1"/>
        </w:rPr>
        <w:t xml:space="preserve">(C) </w:t>
      </w:r>
      <w:r w:rsidR="00C37BA7" w:rsidRPr="00F27FBB">
        <w:rPr>
          <w:rFonts w:ascii="Times New Roman" w:hAnsi="Times New Roman" w:cs="Times New Roman"/>
          <w:color w:val="000000" w:themeColor="text1"/>
        </w:rPr>
        <w:t>債券</w:t>
      </w:r>
      <w:proofErr w:type="gramStart"/>
      <w:r w:rsidR="00C37BA7" w:rsidRPr="00F27FBB">
        <w:rPr>
          <w:rFonts w:ascii="Times New Roman" w:hAnsi="Times New Roman" w:cs="Times New Roman"/>
          <w:color w:val="000000" w:themeColor="text1"/>
        </w:rPr>
        <w:t>條款為載明</w:t>
      </w:r>
      <w:proofErr w:type="gramEnd"/>
      <w:r w:rsidR="00C37BA7" w:rsidRPr="00F27FBB">
        <w:rPr>
          <w:rFonts w:ascii="Times New Roman" w:hAnsi="Times New Roman" w:cs="Times New Roman"/>
          <w:color w:val="000000" w:themeColor="text1"/>
        </w:rPr>
        <w:t>債券發行人與持有人</w:t>
      </w:r>
      <w:r w:rsidR="00BF73BC" w:rsidRPr="00F27FBB">
        <w:rPr>
          <w:rFonts w:ascii="Times New Roman" w:hAnsi="Times New Roman" w:cs="Times New Roman"/>
          <w:color w:val="000000" w:themeColor="text1"/>
        </w:rPr>
        <w:t>之</w:t>
      </w:r>
      <w:r w:rsidR="00C37BA7" w:rsidRPr="00F27FBB">
        <w:rPr>
          <w:rFonts w:ascii="Times New Roman" w:hAnsi="Times New Roman" w:cs="Times New Roman"/>
          <w:color w:val="000000" w:themeColor="text1"/>
        </w:rPr>
        <w:t>間義務與權利的法律條文</w:t>
      </w:r>
      <w:r w:rsidR="00C37BA7" w:rsidRPr="00F27FBB">
        <w:rPr>
          <w:rFonts w:ascii="Times New Roman" w:hAnsi="Times New Roman" w:cs="Times New Roman"/>
          <w:color w:val="000000" w:themeColor="text1"/>
        </w:rPr>
        <w:t xml:space="preserve"> </w:t>
      </w:r>
      <w:r w:rsidR="00EF3DA6">
        <w:rPr>
          <w:rFonts w:ascii="Times New Roman" w:hAnsi="Times New Roman" w:cs="Times New Roman"/>
          <w:color w:val="000000" w:themeColor="text1"/>
        </w:rPr>
        <w:br/>
      </w:r>
      <w:r w:rsidR="00C37BA7" w:rsidRPr="00F27FBB">
        <w:rPr>
          <w:rFonts w:ascii="Times New Roman" w:hAnsi="Times New Roman" w:cs="Times New Roman"/>
          <w:color w:val="000000" w:themeColor="text1"/>
        </w:rPr>
        <w:t>(D)</w:t>
      </w:r>
      <w:r w:rsidR="001F0E21" w:rsidRPr="001F0E21">
        <w:rPr>
          <w:rFonts w:ascii="Times New Roman" w:hAnsi="Times New Roman" w:cs="Times New Roman"/>
          <w:color w:val="000000" w:themeColor="text1"/>
        </w:rPr>
        <w:t xml:space="preserve"> </w:t>
      </w:r>
      <w:r w:rsidR="001F0E21" w:rsidRPr="00F27FBB">
        <w:rPr>
          <w:rFonts w:ascii="Times New Roman" w:hAnsi="Times New Roman" w:cs="Times New Roman"/>
          <w:color w:val="000000" w:themeColor="text1"/>
        </w:rPr>
        <w:t>長期債券具有低利率風險及高再投資風險</w:t>
      </w:r>
      <w:r w:rsidR="001F0E21">
        <w:rPr>
          <w:rFonts w:ascii="Times New Roman" w:hAnsi="Times New Roman" w:cs="Times New Roman"/>
          <w:color w:val="000000" w:themeColor="text1"/>
        </w:rPr>
        <w:br/>
      </w:r>
      <w:r w:rsidR="007C5C56" w:rsidRPr="00F27FBB">
        <w:rPr>
          <w:rFonts w:ascii="Times New Roman" w:hAnsi="Times New Roman" w:cs="Times New Roman"/>
          <w:color w:val="000000" w:themeColor="text1"/>
        </w:rPr>
        <w:t>P.</w:t>
      </w:r>
      <w:r w:rsidR="00BC7CBB">
        <w:rPr>
          <w:rFonts w:ascii="Times New Roman" w:hAnsi="Times New Roman" w:cs="Times New Roman"/>
          <w:color w:val="000000" w:themeColor="text1"/>
        </w:rPr>
        <w:t>327-330</w:t>
      </w:r>
      <w:r w:rsidR="00190B56" w:rsidRPr="00F27FBB">
        <w:rPr>
          <w:rFonts w:ascii="Times New Roman" w:hAnsi="Times New Roman" w:cs="Times New Roman"/>
          <w:color w:val="000000" w:themeColor="text1"/>
        </w:rPr>
        <w:br/>
      </w:r>
    </w:p>
    <w:p w:rsidR="007C5C56" w:rsidRPr="00F27FBB" w:rsidRDefault="007C5C56" w:rsidP="00BF73BC">
      <w:pPr>
        <w:spacing w:line="440" w:lineRule="exact"/>
        <w:jc w:val="both"/>
        <w:rPr>
          <w:rFonts w:ascii="Times New Roman" w:hAnsi="Times New Roman" w:cs="Times New Roman"/>
          <w:color w:val="000000" w:themeColor="text1"/>
        </w:rPr>
      </w:pPr>
    </w:p>
    <w:p w:rsidR="002C6EE1" w:rsidRDefault="00833886" w:rsidP="00F27FBB">
      <w:pPr>
        <w:spacing w:line="440" w:lineRule="exact"/>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7</w:t>
      </w:r>
      <w:r w:rsidR="00F27FBB" w:rsidRPr="00F27FBB">
        <w:rPr>
          <w:rFonts w:ascii="Times New Roman" w:hAnsi="Times New Roman" w:cs="Times New Roman"/>
          <w:color w:val="000000" w:themeColor="text1"/>
          <w:szCs w:val="20"/>
        </w:rPr>
        <w:t xml:space="preserve">. </w:t>
      </w:r>
      <w:r w:rsidR="007C5C56" w:rsidRPr="00F27FBB">
        <w:rPr>
          <w:rFonts w:ascii="Times New Roman" w:hAnsi="Times New Roman" w:cs="Times New Roman"/>
          <w:color w:val="000000" w:themeColor="text1"/>
          <w:szCs w:val="20"/>
        </w:rPr>
        <w:t xml:space="preserve">C </w:t>
      </w:r>
      <w:r w:rsidR="007C5C56" w:rsidRPr="00F27FBB">
        <w:rPr>
          <w:rFonts w:ascii="Times New Roman" w:hAnsi="Times New Roman" w:cs="Times New Roman"/>
          <w:color w:val="000000" w:themeColor="text1"/>
          <w:szCs w:val="20"/>
        </w:rPr>
        <w:t>以下何種指標可用來衡量基金經理人是否賺取超額報酬？</w:t>
      </w:r>
      <w:r w:rsidR="007C5C56" w:rsidRPr="00F27FBB">
        <w:rPr>
          <w:rFonts w:ascii="Times New Roman" w:hAnsi="Times New Roman" w:cs="Times New Roman"/>
          <w:color w:val="000000" w:themeColor="text1"/>
          <w:szCs w:val="20"/>
        </w:rPr>
        <w:t xml:space="preserve"> </w:t>
      </w:r>
      <w:r w:rsidR="002C6EE1">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(A) Treynor</w:t>
      </w:r>
      <w:r w:rsidR="007C5C56" w:rsidRPr="00F27FBB">
        <w:rPr>
          <w:rFonts w:ascii="Times New Roman" w:hAnsi="Times New Roman" w:cs="Times New Roman"/>
          <w:color w:val="000000" w:themeColor="text1"/>
          <w:szCs w:val="20"/>
        </w:rPr>
        <w:t>指標</w:t>
      </w:r>
      <w:r w:rsidR="007C5C56" w:rsidRPr="00F27FBB">
        <w:rPr>
          <w:rFonts w:ascii="Times New Roman" w:hAnsi="Times New Roman" w:cs="Times New Roman"/>
          <w:color w:val="000000" w:themeColor="text1"/>
          <w:szCs w:val="20"/>
        </w:rPr>
        <w:t xml:space="preserve"> </w:t>
      </w:r>
      <w:r w:rsidR="002C6EE1">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(B) Sharpe</w:t>
      </w:r>
      <w:r w:rsidR="007C5C56" w:rsidRPr="00F27FBB">
        <w:rPr>
          <w:rFonts w:ascii="Times New Roman" w:hAnsi="Times New Roman" w:cs="Times New Roman"/>
          <w:color w:val="000000" w:themeColor="text1"/>
          <w:szCs w:val="20"/>
        </w:rPr>
        <w:t>指標</w:t>
      </w:r>
      <w:r w:rsidR="007C5C56" w:rsidRPr="00F27FBB">
        <w:rPr>
          <w:rFonts w:ascii="Times New Roman" w:hAnsi="Times New Roman" w:cs="Times New Roman"/>
          <w:color w:val="000000" w:themeColor="text1"/>
          <w:szCs w:val="20"/>
        </w:rPr>
        <w:t xml:space="preserve"> </w:t>
      </w:r>
      <w:r w:rsidR="002C6EE1">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 xml:space="preserve">(C) Jensen </w:t>
      </w:r>
      <w:r w:rsidR="007C5C56" w:rsidRPr="00F27FBB">
        <w:rPr>
          <w:rFonts w:ascii="Times New Roman" w:hAnsi="Times New Roman" w:cs="Times New Roman"/>
          <w:color w:val="000000" w:themeColor="text1"/>
          <w:szCs w:val="20"/>
        </w:rPr>
        <w:t>指標</w:t>
      </w:r>
    </w:p>
    <w:p w:rsidR="007C5C56" w:rsidRPr="00F27FBB" w:rsidRDefault="002C6EE1" w:rsidP="00F27FBB">
      <w:pPr>
        <w:spacing w:line="440" w:lineRule="exact"/>
        <w:jc w:val="both"/>
        <w:rPr>
          <w:rFonts w:ascii="Times New Roman" w:hAnsi="Times New Roman" w:cs="Times New Roman"/>
          <w:color w:val="000000" w:themeColor="text1"/>
        </w:rPr>
      </w:pPr>
      <w:r>
        <w:rPr>
          <w:rFonts w:ascii="Times New Roman" w:hAnsi="Times New Roman" w:cs="Times New Roman"/>
          <w:color w:val="000000" w:themeColor="text1"/>
          <w:szCs w:val="20"/>
        </w:rPr>
        <w:t>(D)</w:t>
      </w:r>
      <w:r>
        <w:rPr>
          <w:rFonts w:ascii="Times New Roman" w:hAnsi="Times New Roman" w:cs="Times New Roman" w:hint="eastAsia"/>
          <w:color w:val="000000" w:themeColor="text1"/>
          <w:szCs w:val="20"/>
        </w:rPr>
        <w:t>資訊比率績效衡量</w:t>
      </w:r>
      <w:r>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P.350</w:t>
      </w:r>
    </w:p>
    <w:p w:rsidR="007C5C56" w:rsidRPr="00F27FBB" w:rsidRDefault="007C5C56" w:rsidP="00030DD1">
      <w:pPr>
        <w:rPr>
          <w:rFonts w:ascii="Times New Roman" w:hAnsi="Times New Roman" w:cs="Times New Roman"/>
          <w:color w:val="000000" w:themeColor="text1"/>
        </w:rPr>
      </w:pPr>
    </w:p>
    <w:p w:rsidR="007C5C56" w:rsidRPr="00F27FBB" w:rsidRDefault="00190B56" w:rsidP="00F27FBB">
      <w:pPr>
        <w:spacing w:line="360" w:lineRule="auto"/>
        <w:jc w:val="both"/>
        <w:rPr>
          <w:rFonts w:ascii="Times New Roman" w:hAnsi="Times New Roman" w:cs="Times New Roman"/>
          <w:color w:val="000000" w:themeColor="text1"/>
          <w:szCs w:val="24"/>
        </w:rPr>
      </w:pPr>
      <w:r w:rsidRPr="00F27FBB">
        <w:rPr>
          <w:rFonts w:ascii="Times New Roman" w:hAnsi="Times New Roman" w:cs="Times New Roman"/>
          <w:color w:val="000000" w:themeColor="text1"/>
          <w:szCs w:val="24"/>
        </w:rPr>
        <w:br/>
      </w:r>
    </w:p>
    <w:p w:rsidR="007C5C56" w:rsidRPr="00F27FBB" w:rsidRDefault="00001F46" w:rsidP="00F27FBB">
      <w:pPr>
        <w:spacing w:line="360" w:lineRule="auto"/>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8</w:t>
      </w:r>
      <w:r w:rsidR="00F27FBB" w:rsidRPr="00F27FBB">
        <w:rPr>
          <w:rFonts w:ascii="Times New Roman" w:hAnsi="Times New Roman" w:cs="Times New Roman"/>
          <w:color w:val="000000" w:themeColor="text1"/>
          <w:szCs w:val="24"/>
        </w:rPr>
        <w:t xml:space="preserve">. </w:t>
      </w:r>
      <w:r w:rsidR="007C5C56" w:rsidRPr="00F27FBB">
        <w:rPr>
          <w:rFonts w:ascii="Times New Roman" w:hAnsi="Times New Roman" w:cs="Times New Roman"/>
          <w:color w:val="000000" w:themeColor="text1"/>
          <w:szCs w:val="24"/>
        </w:rPr>
        <w:t>c</w:t>
      </w:r>
      <w:r w:rsidR="007C5C56" w:rsidRPr="00F27FBB">
        <w:rPr>
          <w:rFonts w:ascii="Times New Roman" w:hAnsi="Times New Roman" w:cs="Times New Roman"/>
          <w:color w:val="000000" w:themeColor="text1"/>
          <w:szCs w:val="24"/>
        </w:rPr>
        <w:t>關於共同基金的敘述，下列何者有誤</w:t>
      </w:r>
      <w:r w:rsidR="00B76E04">
        <w:rPr>
          <w:rFonts w:ascii="Times New Roman" w:hAnsi="Times New Roman" w:cs="Times New Roman" w:hint="eastAsia"/>
          <w:color w:val="000000" w:themeColor="text1"/>
          <w:szCs w:val="24"/>
        </w:rPr>
        <w:t>？</w:t>
      </w:r>
      <w:r w:rsidR="00B76E04">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(a)</w:t>
      </w:r>
      <w:r w:rsidR="007C5C56" w:rsidRPr="00F27FBB">
        <w:rPr>
          <w:rFonts w:ascii="Times New Roman" w:hAnsi="Times New Roman" w:cs="Times New Roman"/>
          <w:color w:val="000000" w:themeColor="text1"/>
          <w:szCs w:val="24"/>
        </w:rPr>
        <w:t>共同基金的績效衡量包含</w:t>
      </w:r>
      <w:r w:rsidR="007C5C56" w:rsidRPr="00F27FBB">
        <w:rPr>
          <w:rFonts w:ascii="Times New Roman" w:hAnsi="Times New Roman" w:cs="Times New Roman"/>
          <w:color w:val="000000" w:themeColor="text1"/>
          <w:szCs w:val="24"/>
        </w:rPr>
        <w:t xml:space="preserve"> Treynor </w:t>
      </w:r>
      <w:r w:rsidR="007C5C56" w:rsidRPr="00F27FBB">
        <w:rPr>
          <w:rFonts w:ascii="Times New Roman" w:hAnsi="Times New Roman" w:cs="Times New Roman"/>
          <w:color w:val="000000" w:themeColor="text1"/>
          <w:szCs w:val="24"/>
        </w:rPr>
        <w:t>指標、</w:t>
      </w:r>
      <w:r w:rsidR="007C5C56" w:rsidRPr="00F27FBB">
        <w:rPr>
          <w:rFonts w:ascii="Times New Roman" w:hAnsi="Times New Roman" w:cs="Times New Roman"/>
          <w:color w:val="000000" w:themeColor="text1"/>
          <w:szCs w:val="24"/>
        </w:rPr>
        <w:t xml:space="preserve">Sharpe </w:t>
      </w:r>
      <w:r w:rsidR="007C5C56" w:rsidRPr="00F27FBB">
        <w:rPr>
          <w:rFonts w:ascii="Times New Roman" w:hAnsi="Times New Roman" w:cs="Times New Roman"/>
          <w:color w:val="000000" w:themeColor="text1"/>
          <w:szCs w:val="24"/>
        </w:rPr>
        <w:t>指標、</w:t>
      </w:r>
      <w:r w:rsidR="007C5C56" w:rsidRPr="00F27FBB">
        <w:rPr>
          <w:rFonts w:ascii="Times New Roman" w:hAnsi="Times New Roman" w:cs="Times New Roman"/>
          <w:color w:val="000000" w:themeColor="text1"/>
          <w:szCs w:val="24"/>
        </w:rPr>
        <w:t xml:space="preserve">Jensen </w:t>
      </w:r>
      <w:r w:rsidR="007C5C56" w:rsidRPr="00F27FBB">
        <w:rPr>
          <w:rFonts w:ascii="Times New Roman" w:hAnsi="Times New Roman" w:cs="Times New Roman"/>
          <w:color w:val="000000" w:themeColor="text1"/>
          <w:szCs w:val="24"/>
        </w:rPr>
        <w:t>指標、以及資訊比例績效衡量等</w:t>
      </w:r>
      <w:r w:rsidR="007C5C56" w:rsidRPr="00F27FBB">
        <w:rPr>
          <w:rFonts w:ascii="Times New Roman" w:hAnsi="Times New Roman" w:cs="Times New Roman"/>
          <w:color w:val="000000" w:themeColor="text1"/>
          <w:szCs w:val="24"/>
        </w:rPr>
        <w:t xml:space="preserve"> </w:t>
      </w:r>
      <w:r w:rsidR="00B76E04">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(b)</w:t>
      </w:r>
      <w:r w:rsidR="007C5C56" w:rsidRPr="00F27FBB">
        <w:rPr>
          <w:rFonts w:ascii="Times New Roman" w:hAnsi="Times New Roman" w:cs="Times New Roman"/>
          <w:color w:val="000000" w:themeColor="text1"/>
          <w:szCs w:val="24"/>
        </w:rPr>
        <w:t>依投資標的區分，可分為股票型基金、混合型基金、債券型基金、貨幣市場共同基金、以及被動型基金</w:t>
      </w:r>
      <w:r w:rsidR="007C5C56" w:rsidRPr="00F27FBB">
        <w:rPr>
          <w:rFonts w:ascii="Times New Roman" w:hAnsi="Times New Roman" w:cs="Times New Roman"/>
          <w:color w:val="000000" w:themeColor="text1"/>
          <w:szCs w:val="24"/>
        </w:rPr>
        <w:t xml:space="preserve"> </w:t>
      </w:r>
      <w:r w:rsidR="00B76E04">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(c)</w:t>
      </w:r>
      <w:r w:rsidR="007C5C56" w:rsidRPr="00F27FBB">
        <w:rPr>
          <w:rFonts w:ascii="Times New Roman" w:hAnsi="Times New Roman" w:cs="Times New Roman"/>
          <w:color w:val="000000" w:themeColor="text1"/>
          <w:szCs w:val="24"/>
        </w:rPr>
        <w:t>指數股票型基金</w:t>
      </w:r>
      <w:r w:rsidR="007C5C56" w:rsidRPr="00F27FBB">
        <w:rPr>
          <w:rFonts w:ascii="Times New Roman" w:hAnsi="Times New Roman" w:cs="Times New Roman"/>
          <w:color w:val="000000" w:themeColor="text1"/>
          <w:szCs w:val="24"/>
        </w:rPr>
        <w:t xml:space="preserve"> (ETFs) </w:t>
      </w:r>
      <w:r w:rsidR="007C5C56" w:rsidRPr="00F27FBB">
        <w:rPr>
          <w:rFonts w:ascii="Times New Roman" w:hAnsi="Times New Roman" w:cs="Times New Roman"/>
          <w:color w:val="000000" w:themeColor="text1"/>
          <w:szCs w:val="24"/>
        </w:rPr>
        <w:t>為被動型基金的一種，其缺點之一是成本較低，其優點之一是表現大幅超越市場</w:t>
      </w:r>
      <w:r w:rsidR="007C5C56" w:rsidRPr="00F27FBB">
        <w:rPr>
          <w:rFonts w:ascii="Times New Roman" w:hAnsi="Times New Roman" w:cs="Times New Roman"/>
          <w:color w:val="000000" w:themeColor="text1"/>
          <w:szCs w:val="24"/>
        </w:rPr>
        <w:t xml:space="preserve"> </w:t>
      </w:r>
      <w:r w:rsidR="00B76E04">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(d)</w:t>
      </w:r>
      <w:r w:rsidR="007C5C56" w:rsidRPr="00F27FBB">
        <w:rPr>
          <w:rFonts w:ascii="Times New Roman" w:hAnsi="Times New Roman" w:cs="Times New Roman"/>
          <w:color w:val="000000" w:themeColor="text1"/>
          <w:szCs w:val="24"/>
        </w:rPr>
        <w:t>依基金受益憑證數量區分，可分為開放式基金、封閉式基金</w:t>
      </w:r>
      <w:r w:rsidR="007C5C56" w:rsidRPr="00F27FBB">
        <w:rPr>
          <w:rFonts w:ascii="Times New Roman" w:hAnsi="Times New Roman" w:cs="Times New Roman"/>
          <w:color w:val="000000" w:themeColor="text1"/>
          <w:szCs w:val="24"/>
        </w:rPr>
        <w:t xml:space="preserve"> </w:t>
      </w:r>
      <w:r w:rsidR="002C15C0">
        <w:rPr>
          <w:rFonts w:ascii="Times New Roman" w:hAnsi="Times New Roman" w:cs="Times New Roman"/>
          <w:color w:val="000000" w:themeColor="text1"/>
          <w:szCs w:val="24"/>
        </w:rPr>
        <w:br/>
      </w:r>
      <w:r w:rsidR="007C5C56" w:rsidRPr="00F27FBB">
        <w:rPr>
          <w:rFonts w:ascii="Times New Roman" w:hAnsi="Times New Roman" w:cs="Times New Roman"/>
          <w:color w:val="000000" w:themeColor="text1"/>
          <w:szCs w:val="24"/>
        </w:rPr>
        <w:t>(p.344-35</w:t>
      </w:r>
      <w:r w:rsidR="002C15C0">
        <w:rPr>
          <w:rFonts w:ascii="Times New Roman" w:hAnsi="Times New Roman" w:cs="Times New Roman"/>
          <w:color w:val="000000" w:themeColor="text1"/>
          <w:szCs w:val="24"/>
        </w:rPr>
        <w:t>1</w:t>
      </w:r>
      <w:r w:rsidR="007C5C56" w:rsidRPr="00F27FBB">
        <w:rPr>
          <w:rFonts w:ascii="Times New Roman" w:hAnsi="Times New Roman" w:cs="Times New Roman"/>
          <w:color w:val="000000" w:themeColor="text1"/>
          <w:szCs w:val="24"/>
        </w:rPr>
        <w:t>)</w:t>
      </w:r>
    </w:p>
    <w:p w:rsidR="007C5C56" w:rsidRPr="00F27FBB" w:rsidRDefault="00190B56" w:rsidP="00F27FBB">
      <w:pPr>
        <w:spacing w:line="440" w:lineRule="exact"/>
        <w:jc w:val="both"/>
        <w:rPr>
          <w:rFonts w:ascii="Times New Roman" w:hAnsi="Times New Roman" w:cs="Times New Roman"/>
          <w:strike/>
          <w:color w:val="000000" w:themeColor="text1"/>
        </w:rPr>
      </w:pPr>
      <w:r w:rsidRPr="00F27FBB">
        <w:rPr>
          <w:rFonts w:ascii="Times New Roman" w:hAnsi="Times New Roman" w:cs="Times New Roman"/>
          <w:strike/>
          <w:color w:val="000000" w:themeColor="text1"/>
        </w:rPr>
        <w:br/>
      </w:r>
    </w:p>
    <w:p w:rsidR="00B41449" w:rsidRDefault="00001F46" w:rsidP="00F27FBB">
      <w:pPr>
        <w:spacing w:line="440" w:lineRule="exact"/>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9</w:t>
      </w:r>
      <w:r w:rsidR="00F27FBB" w:rsidRPr="00F27FBB">
        <w:rPr>
          <w:rFonts w:ascii="Times New Roman" w:hAnsi="Times New Roman" w:cs="Times New Roman"/>
          <w:color w:val="000000" w:themeColor="text1"/>
          <w:szCs w:val="20"/>
        </w:rPr>
        <w:t xml:space="preserve">. </w:t>
      </w:r>
      <w:r w:rsidR="00B41449">
        <w:rPr>
          <w:rFonts w:ascii="Times New Roman" w:hAnsi="Times New Roman" w:cs="Times New Roman"/>
          <w:color w:val="000000" w:themeColor="text1"/>
          <w:szCs w:val="20"/>
        </w:rPr>
        <w:t>D</w:t>
      </w:r>
      <w:r w:rsidR="007C5C56" w:rsidRPr="00F27FBB">
        <w:rPr>
          <w:rFonts w:ascii="Times New Roman" w:hAnsi="Times New Roman" w:cs="Times New Roman"/>
          <w:color w:val="000000" w:themeColor="text1"/>
          <w:szCs w:val="20"/>
        </w:rPr>
        <w:t xml:space="preserve"> </w:t>
      </w:r>
      <w:r w:rsidR="007C5C56" w:rsidRPr="00F27FBB">
        <w:rPr>
          <w:rFonts w:ascii="Times New Roman" w:hAnsi="Times New Roman" w:cs="Times New Roman"/>
          <w:color w:val="000000" w:themeColor="text1"/>
          <w:szCs w:val="20"/>
        </w:rPr>
        <w:t>零息債券的主要特徵是什麼？</w:t>
      </w:r>
      <w:r w:rsidR="007C5C56" w:rsidRPr="00F27FBB">
        <w:rPr>
          <w:rFonts w:ascii="Times New Roman" w:hAnsi="Times New Roman" w:cs="Times New Roman"/>
          <w:color w:val="000000" w:themeColor="text1"/>
          <w:szCs w:val="20"/>
        </w:rPr>
        <w:t xml:space="preserve"> </w:t>
      </w:r>
      <w:r w:rsidR="00B41449">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 xml:space="preserve">(A) </w:t>
      </w:r>
      <w:r w:rsidR="00B41449">
        <w:rPr>
          <w:rFonts w:ascii="Times New Roman" w:hAnsi="Times New Roman" w:cs="Times New Roman" w:hint="eastAsia"/>
          <w:color w:val="000000" w:themeColor="text1"/>
          <w:szCs w:val="20"/>
        </w:rPr>
        <w:t>投資零息債券主要的弱勢是無法在債券持有期間鎖定目前的利率</w:t>
      </w:r>
      <w:r w:rsidR="00B41449">
        <w:rPr>
          <w:rFonts w:ascii="Times New Roman" w:hAnsi="Times New Roman" w:cs="Times New Roman"/>
          <w:color w:val="000000" w:themeColor="text1"/>
          <w:szCs w:val="20"/>
          <w:u w:val="single"/>
        </w:rPr>
        <w:br/>
      </w:r>
      <w:r w:rsidR="007C5C56" w:rsidRPr="00B41449">
        <w:rPr>
          <w:rFonts w:ascii="Times New Roman" w:hAnsi="Times New Roman" w:cs="Times New Roman"/>
          <w:color w:val="000000" w:themeColor="text1"/>
          <w:szCs w:val="20"/>
        </w:rPr>
        <w:t xml:space="preserve">(B) </w:t>
      </w:r>
      <w:r w:rsidR="00B41449" w:rsidRPr="00F27FBB">
        <w:rPr>
          <w:rFonts w:ascii="Times New Roman" w:hAnsi="Times New Roman" w:cs="Times New Roman"/>
          <w:color w:val="000000" w:themeColor="text1"/>
          <w:szCs w:val="20"/>
        </w:rPr>
        <w:t>持有期間無需繳納任何稅款</w:t>
      </w:r>
      <w:r w:rsidR="00B41449">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 xml:space="preserve">(C) </w:t>
      </w:r>
      <w:r w:rsidR="007C5C56" w:rsidRPr="00F27FBB">
        <w:rPr>
          <w:rFonts w:ascii="Times New Roman" w:hAnsi="Times New Roman" w:cs="Times New Roman"/>
          <w:color w:val="000000" w:themeColor="text1"/>
          <w:szCs w:val="20"/>
        </w:rPr>
        <w:t>價格波動小但收益穩定</w:t>
      </w:r>
    </w:p>
    <w:p w:rsidR="007C5C56" w:rsidRPr="00F27FBB" w:rsidRDefault="00B41449" w:rsidP="00F27FBB">
      <w:pPr>
        <w:spacing w:line="440" w:lineRule="exact"/>
        <w:jc w:val="both"/>
        <w:rPr>
          <w:rFonts w:ascii="Times New Roman" w:hAnsi="Times New Roman" w:cs="Times New Roman"/>
          <w:color w:val="000000" w:themeColor="text1"/>
        </w:rPr>
      </w:pPr>
      <w:r>
        <w:rPr>
          <w:rFonts w:ascii="Times New Roman" w:hAnsi="Times New Roman" w:cs="Times New Roman"/>
          <w:color w:val="000000" w:themeColor="text1"/>
          <w:szCs w:val="20"/>
        </w:rPr>
        <w:t xml:space="preserve">(D) </w:t>
      </w:r>
      <w:r w:rsidRPr="00B41449">
        <w:rPr>
          <w:rFonts w:ascii="Times New Roman" w:hAnsi="Times New Roman" w:cs="Times New Roman"/>
          <w:color w:val="000000" w:themeColor="text1"/>
          <w:szCs w:val="20"/>
        </w:rPr>
        <w:t>以折價發行且無固定利息支付</w:t>
      </w:r>
      <w:r>
        <w:rPr>
          <w:rFonts w:ascii="Times New Roman" w:hAnsi="Times New Roman" w:cs="Times New Roman"/>
          <w:color w:val="000000" w:themeColor="text1"/>
          <w:szCs w:val="20"/>
        </w:rPr>
        <w:br/>
      </w:r>
      <w:r w:rsidR="007C5C56" w:rsidRPr="00F27FBB">
        <w:rPr>
          <w:rFonts w:ascii="Times New Roman" w:hAnsi="Times New Roman" w:cs="Times New Roman"/>
          <w:color w:val="000000" w:themeColor="text1"/>
          <w:szCs w:val="20"/>
        </w:rPr>
        <w:t>P.334</w:t>
      </w:r>
    </w:p>
    <w:p w:rsidR="0021565C" w:rsidRDefault="0021565C" w:rsidP="00F27FBB">
      <w:pPr>
        <w:spacing w:line="440" w:lineRule="exact"/>
        <w:jc w:val="both"/>
        <w:rPr>
          <w:rFonts w:ascii="Times New Roman" w:hAnsi="Times New Roman" w:cs="Times New Roman" w:hint="eastAsia"/>
          <w:b/>
          <w:bCs/>
          <w:color w:val="000000" w:themeColor="text1"/>
        </w:rPr>
      </w:pPr>
    </w:p>
    <w:p w:rsidR="0021565C" w:rsidRDefault="0021565C" w:rsidP="00F27FBB">
      <w:pPr>
        <w:spacing w:line="440" w:lineRule="exact"/>
        <w:jc w:val="both"/>
        <w:rPr>
          <w:rFonts w:ascii="Times New Roman" w:hAnsi="Times New Roman" w:cs="Times New Roman"/>
          <w:b/>
          <w:bCs/>
          <w:color w:val="000000" w:themeColor="text1"/>
        </w:rPr>
      </w:pPr>
    </w:p>
    <w:p w:rsidR="00001F46" w:rsidRPr="00F27FBB" w:rsidRDefault="00001F46" w:rsidP="00F27FBB">
      <w:pPr>
        <w:spacing w:line="440" w:lineRule="exact"/>
        <w:jc w:val="both"/>
        <w:rPr>
          <w:rFonts w:ascii="Times New Roman" w:hAnsi="Times New Roman" w:cs="Times New Roman" w:hint="eastAsia"/>
          <w:b/>
          <w:bCs/>
          <w:color w:val="000000" w:themeColor="text1"/>
        </w:rPr>
      </w:pPr>
      <w:bookmarkStart w:id="0" w:name="_GoBack"/>
      <w:bookmarkEnd w:id="0"/>
    </w:p>
    <w:p w:rsidR="007C5C56" w:rsidRPr="00F27FBB" w:rsidRDefault="00001F46" w:rsidP="00F27FBB">
      <w:pPr>
        <w:spacing w:line="440" w:lineRule="exact"/>
        <w:jc w:val="both"/>
        <w:rPr>
          <w:rFonts w:ascii="Times New Roman" w:hAnsi="Times New Roman" w:cs="Times New Roman"/>
          <w:b/>
          <w:bCs/>
          <w:color w:val="000000" w:themeColor="text1"/>
        </w:rPr>
      </w:pPr>
      <w:r>
        <w:rPr>
          <w:rFonts w:ascii="Times New Roman" w:hAnsi="Times New Roman" w:cs="Times New Roman"/>
          <w:color w:val="000000" w:themeColor="text1"/>
        </w:rPr>
        <w:lastRenderedPageBreak/>
        <w:t>10</w:t>
      </w:r>
      <w:r w:rsidR="00F27FBB" w:rsidRPr="00F27FBB">
        <w:rPr>
          <w:rFonts w:ascii="Times New Roman" w:hAnsi="Times New Roman" w:cs="Times New Roman"/>
          <w:color w:val="000000" w:themeColor="text1"/>
        </w:rPr>
        <w:t xml:space="preserve">. </w:t>
      </w:r>
      <w:r w:rsidR="007C441F">
        <w:rPr>
          <w:rFonts w:ascii="Times New Roman" w:hAnsi="Times New Roman" w:cs="Times New Roman"/>
          <w:color w:val="000000" w:themeColor="text1"/>
        </w:rPr>
        <w:t>C</w:t>
      </w:r>
      <w:r w:rsidR="007C5C56" w:rsidRPr="00F27FBB">
        <w:rPr>
          <w:rFonts w:ascii="Times New Roman" w:hAnsi="Times New Roman" w:cs="Times New Roman"/>
          <w:color w:val="000000" w:themeColor="text1"/>
        </w:rPr>
        <w:t xml:space="preserve"> </w:t>
      </w:r>
      <w:r w:rsidR="007C5C56" w:rsidRPr="00F27FBB">
        <w:rPr>
          <w:rFonts w:ascii="Times New Roman" w:hAnsi="Times New Roman" w:cs="Times New Roman"/>
          <w:color w:val="000000" w:themeColor="text1"/>
        </w:rPr>
        <w:t>當使用平均成本法進行投資時，固定金額購買的策略效果</w:t>
      </w:r>
      <w:r w:rsidR="00736176">
        <w:rPr>
          <w:rFonts w:ascii="Times New Roman" w:hAnsi="Times New Roman" w:cs="Times New Roman" w:hint="eastAsia"/>
          <w:color w:val="000000" w:themeColor="text1"/>
        </w:rPr>
        <w:t>主要</w:t>
      </w:r>
      <w:r w:rsidR="007C5C56" w:rsidRPr="00F27FBB">
        <w:rPr>
          <w:rFonts w:ascii="Times New Roman" w:hAnsi="Times New Roman" w:cs="Times New Roman"/>
          <w:color w:val="000000" w:themeColor="text1"/>
        </w:rPr>
        <w:t>取決於</w:t>
      </w:r>
      <w:r w:rsidR="00736176">
        <w:rPr>
          <w:rFonts w:ascii="Times New Roman" w:hAnsi="Times New Roman" w:cs="Times New Roman" w:hint="eastAsia"/>
          <w:color w:val="000000" w:themeColor="text1"/>
        </w:rPr>
        <w:t>下列何者</w:t>
      </w:r>
      <w:r w:rsidR="007C5C56" w:rsidRPr="00F27FBB">
        <w:rPr>
          <w:rFonts w:ascii="Times New Roman" w:hAnsi="Times New Roman" w:cs="Times New Roman"/>
          <w:color w:val="000000" w:themeColor="text1"/>
        </w:rPr>
        <w:t>？</w:t>
      </w:r>
      <w:r w:rsidR="007C441F">
        <w:rPr>
          <w:rFonts w:ascii="Times New Roman" w:hAnsi="Times New Roman" w:cs="Times New Roman"/>
          <w:color w:val="000000" w:themeColor="text1"/>
          <w:u w:val="single"/>
        </w:rPr>
        <w:br/>
      </w:r>
      <w:r w:rsidR="007C5C56" w:rsidRPr="007C441F">
        <w:rPr>
          <w:rFonts w:ascii="Times New Roman" w:hAnsi="Times New Roman" w:cs="Times New Roman"/>
          <w:color w:val="000000" w:themeColor="text1"/>
        </w:rPr>
        <w:t xml:space="preserve">(A) </w:t>
      </w:r>
      <w:r w:rsidR="007C441F" w:rsidRPr="00F27FBB">
        <w:rPr>
          <w:rFonts w:ascii="Times New Roman" w:hAnsi="Times New Roman" w:cs="Times New Roman"/>
          <w:color w:val="000000" w:themeColor="text1"/>
        </w:rPr>
        <w:t>投資時間的長短</w:t>
      </w:r>
      <w:r w:rsidR="007C441F">
        <w:rPr>
          <w:rFonts w:ascii="Times New Roman" w:hAnsi="Times New Roman" w:cs="Times New Roman"/>
          <w:color w:val="000000" w:themeColor="text1"/>
          <w:u w:val="single"/>
        </w:rPr>
        <w:br/>
      </w:r>
      <w:r w:rsidR="007C5C56" w:rsidRPr="00F27FBB">
        <w:rPr>
          <w:rFonts w:ascii="Times New Roman" w:hAnsi="Times New Roman" w:cs="Times New Roman"/>
          <w:color w:val="000000" w:themeColor="text1"/>
        </w:rPr>
        <w:t xml:space="preserve">(B) </w:t>
      </w:r>
      <w:r w:rsidR="007C441F" w:rsidRPr="00F27FBB">
        <w:rPr>
          <w:rFonts w:ascii="Times New Roman" w:hAnsi="Times New Roman" w:cs="Times New Roman"/>
          <w:color w:val="000000" w:themeColor="text1"/>
        </w:rPr>
        <w:t>投資標的是否為股票</w:t>
      </w:r>
      <w:r w:rsidR="007C441F">
        <w:rPr>
          <w:rFonts w:ascii="Times New Roman" w:hAnsi="Times New Roman" w:cs="Times New Roman"/>
          <w:color w:val="000000" w:themeColor="text1"/>
        </w:rPr>
        <w:br/>
      </w:r>
      <w:r w:rsidR="007C5C56" w:rsidRPr="00F27FBB">
        <w:rPr>
          <w:rFonts w:ascii="Times New Roman" w:hAnsi="Times New Roman" w:cs="Times New Roman"/>
          <w:color w:val="000000" w:themeColor="text1"/>
        </w:rPr>
        <w:t xml:space="preserve">(C) </w:t>
      </w:r>
      <w:r w:rsidR="007C441F" w:rsidRPr="007C441F">
        <w:rPr>
          <w:rFonts w:ascii="Times New Roman" w:hAnsi="Times New Roman" w:cs="Times New Roman"/>
          <w:color w:val="000000" w:themeColor="text1"/>
        </w:rPr>
        <w:t>投資標的價格波動</w:t>
      </w:r>
      <w:r w:rsidR="007C441F">
        <w:rPr>
          <w:rFonts w:ascii="Times New Roman" w:hAnsi="Times New Roman" w:cs="Times New Roman"/>
          <w:color w:val="000000" w:themeColor="text1"/>
        </w:rPr>
        <w:br/>
      </w:r>
      <w:r w:rsidR="007C5C56" w:rsidRPr="00F27FBB">
        <w:rPr>
          <w:rFonts w:ascii="Times New Roman" w:hAnsi="Times New Roman" w:cs="Times New Roman"/>
          <w:color w:val="000000" w:themeColor="text1"/>
        </w:rPr>
        <w:t>P.325</w:t>
      </w:r>
    </w:p>
    <w:p w:rsidR="007C5C56" w:rsidRDefault="007C5C56" w:rsidP="00030DD1"/>
    <w:sectPr w:rsidR="007C5C56" w:rsidSect="00243653">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62B" w:rsidRDefault="0016762B" w:rsidP="0016762B">
      <w:r>
        <w:separator/>
      </w:r>
    </w:p>
  </w:endnote>
  <w:endnote w:type="continuationSeparator" w:id="0">
    <w:p w:rsidR="0016762B" w:rsidRDefault="0016762B" w:rsidP="0016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62B" w:rsidRDefault="0016762B" w:rsidP="0016762B">
      <w:r>
        <w:separator/>
      </w:r>
    </w:p>
  </w:footnote>
  <w:footnote w:type="continuationSeparator" w:id="0">
    <w:p w:rsidR="0016762B" w:rsidRDefault="0016762B" w:rsidP="00167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94E3B"/>
    <w:multiLevelType w:val="hybridMultilevel"/>
    <w:tmpl w:val="C5746D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0742D5"/>
    <w:multiLevelType w:val="multilevel"/>
    <w:tmpl w:val="553403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24F5E61"/>
    <w:multiLevelType w:val="multilevel"/>
    <w:tmpl w:val="DEE46F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F1D20B0"/>
    <w:multiLevelType w:val="multilevel"/>
    <w:tmpl w:val="6756A8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1037FA1"/>
    <w:multiLevelType w:val="hybridMultilevel"/>
    <w:tmpl w:val="8194AAF4"/>
    <w:lvl w:ilvl="0" w:tplc="60EA53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BF2625A"/>
    <w:multiLevelType w:val="multilevel"/>
    <w:tmpl w:val="CAB403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B89170C"/>
    <w:multiLevelType w:val="multilevel"/>
    <w:tmpl w:val="B9D220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53"/>
    <w:rsid w:val="00001F46"/>
    <w:rsid w:val="00030DD1"/>
    <w:rsid w:val="00044057"/>
    <w:rsid w:val="00070B27"/>
    <w:rsid w:val="00073C12"/>
    <w:rsid w:val="000B240B"/>
    <w:rsid w:val="000B7C59"/>
    <w:rsid w:val="000D72D1"/>
    <w:rsid w:val="00124E00"/>
    <w:rsid w:val="0016762B"/>
    <w:rsid w:val="00190B56"/>
    <w:rsid w:val="001A63D8"/>
    <w:rsid w:val="001F0E21"/>
    <w:rsid w:val="001F57A0"/>
    <w:rsid w:val="00214380"/>
    <w:rsid w:val="0021565C"/>
    <w:rsid w:val="002252B8"/>
    <w:rsid w:val="00243653"/>
    <w:rsid w:val="00283B87"/>
    <w:rsid w:val="002A18F4"/>
    <w:rsid w:val="002C15C0"/>
    <w:rsid w:val="002C6EE1"/>
    <w:rsid w:val="00323765"/>
    <w:rsid w:val="0033791E"/>
    <w:rsid w:val="003C5E19"/>
    <w:rsid w:val="003E2237"/>
    <w:rsid w:val="00412C44"/>
    <w:rsid w:val="004514E6"/>
    <w:rsid w:val="00484CDF"/>
    <w:rsid w:val="004C4192"/>
    <w:rsid w:val="00523AA7"/>
    <w:rsid w:val="0052553C"/>
    <w:rsid w:val="0056520F"/>
    <w:rsid w:val="005D4393"/>
    <w:rsid w:val="005D55C6"/>
    <w:rsid w:val="0061022D"/>
    <w:rsid w:val="00655831"/>
    <w:rsid w:val="00736176"/>
    <w:rsid w:val="007861F2"/>
    <w:rsid w:val="007C441F"/>
    <w:rsid w:val="007C5C56"/>
    <w:rsid w:val="00807B74"/>
    <w:rsid w:val="008310CE"/>
    <w:rsid w:val="00833886"/>
    <w:rsid w:val="00856B32"/>
    <w:rsid w:val="0086726F"/>
    <w:rsid w:val="008767AF"/>
    <w:rsid w:val="008B3E36"/>
    <w:rsid w:val="008E5D90"/>
    <w:rsid w:val="009059BB"/>
    <w:rsid w:val="00915882"/>
    <w:rsid w:val="00917B61"/>
    <w:rsid w:val="009466BC"/>
    <w:rsid w:val="009E7901"/>
    <w:rsid w:val="00A725F8"/>
    <w:rsid w:val="00AA737F"/>
    <w:rsid w:val="00B17F81"/>
    <w:rsid w:val="00B261CA"/>
    <w:rsid w:val="00B41449"/>
    <w:rsid w:val="00B76E04"/>
    <w:rsid w:val="00B8034B"/>
    <w:rsid w:val="00BA1FCD"/>
    <w:rsid w:val="00BA6E3B"/>
    <w:rsid w:val="00BC7CBB"/>
    <w:rsid w:val="00BD5570"/>
    <w:rsid w:val="00BD61F2"/>
    <w:rsid w:val="00BF73BC"/>
    <w:rsid w:val="00C02F11"/>
    <w:rsid w:val="00C37BA7"/>
    <w:rsid w:val="00C6269F"/>
    <w:rsid w:val="00C7232C"/>
    <w:rsid w:val="00CD16B9"/>
    <w:rsid w:val="00CD5264"/>
    <w:rsid w:val="00D3402E"/>
    <w:rsid w:val="00D43C63"/>
    <w:rsid w:val="00D47115"/>
    <w:rsid w:val="00DF2891"/>
    <w:rsid w:val="00EA75F6"/>
    <w:rsid w:val="00EF3DA6"/>
    <w:rsid w:val="00F27FBB"/>
    <w:rsid w:val="00FB02D8"/>
    <w:rsid w:val="00FB118A"/>
    <w:rsid w:val="00FD6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316F088"/>
  <w15:chartTrackingRefBased/>
  <w15:docId w15:val="{F61F1F22-D392-469C-95EF-91E05E84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43653"/>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16762B"/>
    <w:pPr>
      <w:tabs>
        <w:tab w:val="center" w:pos="4153"/>
        <w:tab w:val="right" w:pos="8306"/>
      </w:tabs>
      <w:snapToGrid w:val="0"/>
    </w:pPr>
    <w:rPr>
      <w:sz w:val="20"/>
      <w:szCs w:val="20"/>
    </w:rPr>
  </w:style>
  <w:style w:type="character" w:customStyle="1" w:styleId="a4">
    <w:name w:val="頁首 字元"/>
    <w:basedOn w:val="a0"/>
    <w:link w:val="a3"/>
    <w:uiPriority w:val="99"/>
    <w:rsid w:val="0016762B"/>
    <w:rPr>
      <w:sz w:val="20"/>
      <w:szCs w:val="20"/>
    </w:rPr>
  </w:style>
  <w:style w:type="paragraph" w:styleId="a5">
    <w:name w:val="footer"/>
    <w:basedOn w:val="a"/>
    <w:link w:val="a6"/>
    <w:uiPriority w:val="99"/>
    <w:unhideWhenUsed/>
    <w:rsid w:val="0016762B"/>
    <w:pPr>
      <w:tabs>
        <w:tab w:val="center" w:pos="4153"/>
        <w:tab w:val="right" w:pos="8306"/>
      </w:tabs>
      <w:snapToGrid w:val="0"/>
    </w:pPr>
    <w:rPr>
      <w:sz w:val="20"/>
      <w:szCs w:val="20"/>
    </w:rPr>
  </w:style>
  <w:style w:type="character" w:customStyle="1" w:styleId="a6">
    <w:name w:val="頁尾 字元"/>
    <w:basedOn w:val="a0"/>
    <w:link w:val="a5"/>
    <w:uiPriority w:val="99"/>
    <w:rsid w:val="0016762B"/>
    <w:rPr>
      <w:sz w:val="20"/>
      <w:szCs w:val="20"/>
    </w:rPr>
  </w:style>
  <w:style w:type="paragraph" w:styleId="a7">
    <w:name w:val="List Paragraph"/>
    <w:basedOn w:val="a"/>
    <w:uiPriority w:val="34"/>
    <w:qFormat/>
    <w:rsid w:val="00BF73B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1062">
      <w:bodyDiv w:val="1"/>
      <w:marLeft w:val="0"/>
      <w:marRight w:val="0"/>
      <w:marTop w:val="0"/>
      <w:marBottom w:val="0"/>
      <w:divBdr>
        <w:top w:val="none" w:sz="0" w:space="0" w:color="auto"/>
        <w:left w:val="none" w:sz="0" w:space="0" w:color="auto"/>
        <w:bottom w:val="none" w:sz="0" w:space="0" w:color="auto"/>
        <w:right w:val="none" w:sz="0" w:space="0" w:color="auto"/>
      </w:divBdr>
    </w:div>
    <w:div w:id="267466562">
      <w:bodyDiv w:val="1"/>
      <w:marLeft w:val="0"/>
      <w:marRight w:val="0"/>
      <w:marTop w:val="0"/>
      <w:marBottom w:val="0"/>
      <w:divBdr>
        <w:top w:val="none" w:sz="0" w:space="0" w:color="auto"/>
        <w:left w:val="none" w:sz="0" w:space="0" w:color="auto"/>
        <w:bottom w:val="none" w:sz="0" w:space="0" w:color="auto"/>
        <w:right w:val="none" w:sz="0" w:space="0" w:color="auto"/>
      </w:divBdr>
    </w:div>
    <w:div w:id="927885874">
      <w:bodyDiv w:val="1"/>
      <w:marLeft w:val="0"/>
      <w:marRight w:val="0"/>
      <w:marTop w:val="0"/>
      <w:marBottom w:val="0"/>
      <w:divBdr>
        <w:top w:val="none" w:sz="0" w:space="0" w:color="auto"/>
        <w:left w:val="none" w:sz="0" w:space="0" w:color="auto"/>
        <w:bottom w:val="none" w:sz="0" w:space="0" w:color="auto"/>
        <w:right w:val="none" w:sz="0" w:space="0" w:color="auto"/>
      </w:divBdr>
    </w:div>
    <w:div w:id="1028796687">
      <w:bodyDiv w:val="1"/>
      <w:marLeft w:val="0"/>
      <w:marRight w:val="0"/>
      <w:marTop w:val="0"/>
      <w:marBottom w:val="0"/>
      <w:divBdr>
        <w:top w:val="none" w:sz="0" w:space="0" w:color="auto"/>
        <w:left w:val="none" w:sz="0" w:space="0" w:color="auto"/>
        <w:bottom w:val="none" w:sz="0" w:space="0" w:color="auto"/>
        <w:right w:val="none" w:sz="0" w:space="0" w:color="auto"/>
      </w:divBdr>
    </w:div>
    <w:div w:id="1095983378">
      <w:bodyDiv w:val="1"/>
      <w:marLeft w:val="0"/>
      <w:marRight w:val="0"/>
      <w:marTop w:val="0"/>
      <w:marBottom w:val="0"/>
      <w:divBdr>
        <w:top w:val="none" w:sz="0" w:space="0" w:color="auto"/>
        <w:left w:val="none" w:sz="0" w:space="0" w:color="auto"/>
        <w:bottom w:val="none" w:sz="0" w:space="0" w:color="auto"/>
        <w:right w:val="none" w:sz="0" w:space="0" w:color="auto"/>
      </w:divBdr>
    </w:div>
    <w:div w:id="1285619729">
      <w:bodyDiv w:val="1"/>
      <w:marLeft w:val="0"/>
      <w:marRight w:val="0"/>
      <w:marTop w:val="0"/>
      <w:marBottom w:val="0"/>
      <w:divBdr>
        <w:top w:val="none" w:sz="0" w:space="0" w:color="auto"/>
        <w:left w:val="none" w:sz="0" w:space="0" w:color="auto"/>
        <w:bottom w:val="none" w:sz="0" w:space="0" w:color="auto"/>
        <w:right w:val="none" w:sz="0" w:space="0" w:color="auto"/>
      </w:divBdr>
    </w:div>
    <w:div w:id="1822505745">
      <w:bodyDiv w:val="1"/>
      <w:marLeft w:val="0"/>
      <w:marRight w:val="0"/>
      <w:marTop w:val="0"/>
      <w:marBottom w:val="0"/>
      <w:divBdr>
        <w:top w:val="none" w:sz="0" w:space="0" w:color="auto"/>
        <w:left w:val="none" w:sz="0" w:space="0" w:color="auto"/>
        <w:bottom w:val="none" w:sz="0" w:space="0" w:color="auto"/>
        <w:right w:val="none" w:sz="0" w:space="0" w:color="auto"/>
      </w:divBdr>
    </w:div>
    <w:div w:id="1833524858">
      <w:bodyDiv w:val="1"/>
      <w:marLeft w:val="0"/>
      <w:marRight w:val="0"/>
      <w:marTop w:val="0"/>
      <w:marBottom w:val="0"/>
      <w:divBdr>
        <w:top w:val="none" w:sz="0" w:space="0" w:color="auto"/>
        <w:left w:val="none" w:sz="0" w:space="0" w:color="auto"/>
        <w:bottom w:val="none" w:sz="0" w:space="0" w:color="auto"/>
        <w:right w:val="none" w:sz="0" w:space="0" w:color="auto"/>
      </w:divBdr>
    </w:div>
    <w:div w:id="1834252862">
      <w:bodyDiv w:val="1"/>
      <w:marLeft w:val="0"/>
      <w:marRight w:val="0"/>
      <w:marTop w:val="0"/>
      <w:marBottom w:val="0"/>
      <w:divBdr>
        <w:top w:val="none" w:sz="0" w:space="0" w:color="auto"/>
        <w:left w:val="none" w:sz="0" w:space="0" w:color="auto"/>
        <w:bottom w:val="none" w:sz="0" w:space="0" w:color="auto"/>
        <w:right w:val="none" w:sz="0" w:space="0" w:color="auto"/>
      </w:divBdr>
    </w:div>
    <w:div w:id="1846556061">
      <w:bodyDiv w:val="1"/>
      <w:marLeft w:val="0"/>
      <w:marRight w:val="0"/>
      <w:marTop w:val="0"/>
      <w:marBottom w:val="0"/>
      <w:divBdr>
        <w:top w:val="none" w:sz="0" w:space="0" w:color="auto"/>
        <w:left w:val="none" w:sz="0" w:space="0" w:color="auto"/>
        <w:bottom w:val="none" w:sz="0" w:space="0" w:color="auto"/>
        <w:right w:val="none" w:sz="0" w:space="0" w:color="auto"/>
      </w:divBdr>
    </w:div>
    <w:div w:id="21006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Media-5291</dc:creator>
  <cp:keywords/>
  <dc:description/>
  <cp:lastModifiedBy>USER</cp:lastModifiedBy>
  <cp:revision>71</cp:revision>
  <dcterms:created xsi:type="dcterms:W3CDTF">2020-08-31T07:27:00Z</dcterms:created>
  <dcterms:modified xsi:type="dcterms:W3CDTF">2025-07-29T03:09:00Z</dcterms:modified>
</cp:coreProperties>
</file>