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D347A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D347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347AE" w:rsidRDefault="00F11A37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D347AE" w:rsidRDefault="00F11A37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347AE" w:rsidRDefault="00F11A37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D347AE" w:rsidRDefault="00F11A37">
                  <w:r>
                    <w:t xml:space="preserve">  </w:t>
                  </w:r>
                </w:p>
              </w:tc>
            </w:tr>
          </w:tbl>
          <w:p w:rsidR="00D347AE" w:rsidRDefault="00D347AE"/>
        </w:tc>
      </w:tr>
      <w:tr w:rsidR="00D347AE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D347AE" w:rsidRDefault="00F11A37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D347AE" w:rsidRDefault="00F11A37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17.75pt" o:ole="">
                  <v:imagedata r:id="rId9" o:title=""/>
                </v:shape>
                <w:control r:id="rId10" w:name="DefaultOcxName" w:shapeid="_x0000_i1048"/>
              </w:object>
            </w:r>
            <w:r>
              <w:object w:dxaOrig="225" w:dyaOrig="225">
                <v:shape id="_x0000_i1051" type="#_x0000_t75" style="width:1in;height:17.75pt" o:ole="">
                  <v:imagedata r:id="rId9" o:title=""/>
                </v:shape>
                <w:control r:id="rId11" w:name="DefaultOcxName1" w:shapeid="_x0000_i1051"/>
              </w:object>
            </w:r>
            <w:r>
              <w:object w:dxaOrig="225" w:dyaOrig="225">
                <v:shape id="_x0000_i1054" type="#_x0000_t75" style="width:1in;height:17.75pt" o:ole="">
                  <v:imagedata r:id="rId9" o:title=""/>
                </v:shape>
                <w:control r:id="rId12" w:name="DefaultOcxName2" w:shapeid="_x0000_i1054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D347AE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D347AE" w:rsidRDefault="00F11A37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D347AE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91"/>
                    <w:gridCol w:w="2877"/>
                    <w:gridCol w:w="9497"/>
                  </w:tblGrid>
                  <w:tr w:rsidR="009A0181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9A0181" w:rsidRDefault="009A018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9A0181" w:rsidRDefault="009A018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0181" w:rsidRDefault="008345D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9A018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下列何者屬於「道德風險」行為？ </w:t>
                        </w:r>
                      </w:p>
                      <w:p w:rsidR="009A0181" w:rsidRDefault="009A018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44DF8CA3">
                            <v:shape id="_x0000_i1057" type="#_x0000_t75" style="width:20.55pt;height:19.65pt" o:ole="">
                              <v:imagedata r:id="rId13" o:title=""/>
                            </v:shape>
                            <w:control r:id="rId14" w:name="DefaultOcxName13" w:shapeid="_x0000_i105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身體不健康者較可能購買健康保險</w:t>
                        </w:r>
                      </w:p>
                      <w:p w:rsidR="009A0181" w:rsidRDefault="009A018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4F233363">
                            <v:shape id="_x0000_i1060" type="#_x0000_t75" style="width:20.55pt;height:19.65pt" o:ole="">
                              <v:imagedata r:id="rId13" o:title=""/>
                            </v:shape>
                            <w:control r:id="rId15" w:name="DefaultOcxName14" w:shapeid="_x0000_i106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泡水車的賣方願意用較低價格出售他的問題車</w:t>
                        </w:r>
                      </w:p>
                      <w:p w:rsidR="009A0181" w:rsidRDefault="009A018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14774591">
                            <v:shape id="_x0000_i1063" type="#_x0000_t75" style="width:20.55pt;height:19.65pt" o:ole="">
                              <v:imagedata r:id="rId13" o:title=""/>
                            </v:shape>
                            <w:control r:id="rId16" w:name="DefaultOcxName15" w:shapeid="_x0000_i106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有投保車損險的駕駛人開車較為魯莽</w:t>
                        </w:r>
                      </w:p>
                      <w:p w:rsidR="009A0181" w:rsidRDefault="009A018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3EB49508">
                            <v:shape id="_x0000_i1066" type="#_x0000_t75" style="width:20.55pt;height:19.65pt" o:ole="">
                              <v:imagedata r:id="rId13" o:title=""/>
                            </v:shape>
                            <w:control r:id="rId17" w:name="DefaultOcxName16" w:shapeid="_x0000_i106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信用不佳者願意以較高利率借款</w:t>
                        </w:r>
                      </w:p>
                      <w:p w:rsidR="009A0181" w:rsidRDefault="009A0181" w:rsidP="00F10BDE">
                        <w:pPr>
                          <w:spacing w:before="100" w:beforeAutospacing="1" w:after="100" w:afterAutospacing="1" w:line="360" w:lineRule="atLeast"/>
                          <w:ind w:left="720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0181" w:rsidRDefault="009A018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(A)、(B)及(D)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均是交易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發生之前，因為資訊不對稱可能發生的「逆選擇」問題；(C)有投保車損險的駕駛人開車較為魯莽，係屬交易發生之後，因為資訊不對稱可能發生的「道德風險」問題；(E)高生產力的公務員傾向離開，低生產力的公務員傾向留任，係指就業市場出現「劣幣驅逐良幣」的現象。</w:t>
                        </w:r>
                        <w:r w:rsidR="00FF2E8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(第3章第二節</w:t>
                        </w:r>
                        <w:r w:rsidR="00FF2E81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462EDF" w:rsidTr="00462EDF">
                    <w:trPr>
                      <w:gridAfter w:val="2"/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62EDF" w:rsidTr="00462EDF">
                    <w:trPr>
                      <w:gridAfter w:val="2"/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8345D1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462ED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下列對「影子銀行」(shadow banks)的敘述，何者是錯誤的？ </w:t>
                        </w:r>
                      </w:p>
                      <w:p w:rsidR="00462EDF" w:rsidRDefault="00462EDF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6C16D5AC">
                            <v:shape id="_x0000_i1069" type="#_x0000_t75" style="width:20.55pt;height:19.65pt" o:ole="">
                              <v:imagedata r:id="rId13" o:title=""/>
                            </v:shape>
                            <w:control r:id="rId18" w:name="DefaultOcxName47" w:shapeid="_x0000_i106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具備「資金中介」功能</w:t>
                        </w:r>
                      </w:p>
                      <w:p w:rsidR="00462EDF" w:rsidRDefault="00462EDF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 w14:anchorId="43101721">
                            <v:shape id="_x0000_i1072" type="#_x0000_t75" style="width:20.55pt;height:19.65pt" o:ole="">
                              <v:imagedata r:id="rId13" o:title=""/>
                            </v:shape>
                            <w:control r:id="rId19" w:name="DefaultOcxName48" w:shapeid="_x0000_i107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資金的來源與運用具「以長支短」性質</w:t>
                        </w:r>
                      </w:p>
                      <w:p w:rsidR="00462EDF" w:rsidRDefault="00462EDF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5B541957">
                            <v:shape id="_x0000_i1075" type="#_x0000_t75" style="width:20.55pt;height:19.65pt" o:ole="">
                              <v:imagedata r:id="rId13" o:title=""/>
                            </v:shape>
                            <w:control r:id="rId20" w:name="DefaultOcxName49" w:shapeid="_x0000_i107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高財務槓桿</w:t>
                        </w:r>
                      </w:p>
                      <w:p w:rsidR="00462EDF" w:rsidRDefault="00462EDF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 w14:anchorId="445CFBF7">
                            <v:shape id="_x0000_i1078" type="#_x0000_t75" style="width:20.55pt;height:19.65pt" o:ole="">
                              <v:imagedata r:id="rId13" o:title=""/>
                            </v:shape>
                            <w:control r:id="rId21" w:name="DefaultOcxName50" w:shapeid="_x0000_i107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較少受到監理</w:t>
                        </w:r>
                      </w:p>
                      <w:p w:rsidR="00462EDF" w:rsidRDefault="00462EDF" w:rsidP="00B30AF6">
                        <w:p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對於仰賴「非存款」短期資金來源，而從事放款或投資的非銀行「金融中介機構」，因資金來源與運用類似銀行「以短支長」，故稱為影子銀行。影子銀行具備「以短支長」、「高財務槓桿」，以及較少受到監理等特性，故(B)「以長支短」性質的說法為錯誤。</w:t>
                        </w:r>
                        <w:r w:rsidR="00FF2E81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(第3章第三節</w:t>
                        </w:r>
                        <w:r w:rsidR="00FF2E81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numPr>
                            <w:ilvl w:val="0"/>
                            <w:numId w:val="8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numPr>
                            <w:ilvl w:val="0"/>
                            <w:numId w:val="9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  <w:tr w:rsidR="00462EDF" w:rsidTr="00462EDF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</w:tcPr>
                      <w:p w:rsidR="00462EDF" w:rsidRDefault="00462EDF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</w:tcPr>
                      <w:p w:rsidR="00462EDF" w:rsidRDefault="00462ED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</w:p>
                    </w:tc>
                  </w:tr>
                </w:tbl>
                <w:p w:rsidR="00D347AE" w:rsidRDefault="00D347AE"/>
              </w:tc>
            </w:tr>
            <w:tr w:rsidR="00D347AE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D347AE" w:rsidRDefault="00D347AE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347AE" w:rsidRDefault="00F11A37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D347AE" w:rsidRDefault="00D347AE"/>
        </w:tc>
      </w:tr>
    </w:tbl>
    <w:p w:rsidR="00C612FB" w:rsidRPr="0072114F" w:rsidRDefault="00C612FB" w:rsidP="00CE20EF">
      <w:pPr>
        <w:spacing w:line="360" w:lineRule="auto"/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FF2E81" w:rsidRDefault="0072114F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3.</w:t>
      </w:r>
      <w:r w:rsidR="00C612FB"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(C)</w:t>
      </w:r>
      <w:r w:rsidR="00C612FB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資金撮合有兩大障礙，請問下列對兩大障礙的描述，何者是</w:t>
      </w:r>
      <w:r w:rsidR="00C612FB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正確</w:t>
      </w:r>
      <w:r w:rsidR="00C612FB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的？</w:t>
      </w:r>
    </w:p>
    <w:p w:rsidR="00FF2E81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(A)資金撮合只有逆選擇與道德危機兩大障礙 </w:t>
      </w:r>
    </w:p>
    <w:p w:rsidR="00FF2E81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(B)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道德風險</w:t>
      </w: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是指交易發生之前，由於資訊不對稱的問題，造成處於資訊劣勢的一方，做出了不利自己的選擇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 xml:space="preserve"> </w:t>
      </w:r>
    </w:p>
    <w:p w:rsidR="00FF2E81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(C)交易成本包括資訊成本、評估成本、以及作業成本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 xml:space="preserve"> 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(D)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逆選擇是指</w:t>
      </w: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 xml:space="preserve">借款人或有價證券的發行人取得資金後，沒有依照原來的計畫使用資金，反而從事風險很高的投資活動 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 xml:space="preserve"> </w:t>
      </w:r>
    </w:p>
    <w:p w:rsidR="00C612FB" w:rsidRPr="0072114F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(p.68-70</w:t>
      </w:r>
      <w:r w:rsidR="00EB6B90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，第3章第二節</w:t>
      </w: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</w:p>
    <w:p w:rsidR="000B682E" w:rsidRPr="0072114F" w:rsidRDefault="000B682E" w:rsidP="00CE20EF">
      <w:pPr>
        <w:pStyle w:val="a7"/>
        <w:spacing w:line="360" w:lineRule="auto"/>
        <w:ind w:leftChars="0"/>
        <w:jc w:val="both"/>
        <w:rPr>
          <w:rFonts w:asciiTheme="minorEastAsia" w:hAnsiTheme="minorEastAsia" w:cs="Times New Roman"/>
          <w:b/>
          <w:sz w:val="28"/>
          <w:szCs w:val="28"/>
        </w:rPr>
      </w:pPr>
    </w:p>
    <w:p w:rsidR="00E868A4" w:rsidRDefault="0072114F" w:rsidP="00CE20EF">
      <w:pPr>
        <w:spacing w:line="360" w:lineRule="auto"/>
        <w:jc w:val="both"/>
        <w:rPr>
          <w:rFonts w:asciiTheme="minorEastAsia" w:eastAsiaTheme="minorEastAsia" w:hAnsiTheme="minorEastAsia" w:cs="Times New Roman" w:hint="eastAsia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4.</w:t>
      </w:r>
      <w:r w:rsidR="00C612FB"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</w:t>
      </w:r>
      <w:r w:rsidR="00156EE0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D</w:t>
      </w:r>
      <w:r w:rsidR="00C612FB"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  <w:r w:rsidR="00C612FB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關於全球金融結構的迷思，下列何者為</w:t>
      </w:r>
      <w:r w:rsidR="00C612FB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錯誤</w:t>
      </w:r>
      <w:r w:rsidR="00C612FB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的觀念</w:t>
      </w:r>
      <w:r w:rsidR="00E868A4">
        <w:rPr>
          <w:rFonts w:asciiTheme="minorEastAsia" w:eastAsiaTheme="minorEastAsia" w:hAnsiTheme="minorEastAsia" w:cs="Times New Roman" w:hint="eastAsia"/>
          <w:b/>
          <w:sz w:val="28"/>
          <w:szCs w:val="28"/>
        </w:rPr>
        <w:t>？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(A)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間</w:t>
      </w:r>
      <w:r w:rsidR="00156EE0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接金融的重要性大於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直</w:t>
      </w:r>
      <w:r w:rsidR="00156EE0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接金融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(B)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金融體系是經濟體系中規範最嚴格的部分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(C)債權契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約</w:t>
      </w: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是</w:t>
      </w:r>
      <w:r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 xml:space="preserve">非常複雜的法律文件，且對借款者規定許多「限制條款」 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(D)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抵押品是借款人抵押給貸款者的財產，對銀行來說並不重要，可有可無</w:t>
      </w:r>
    </w:p>
    <w:p w:rsidR="00E868A4" w:rsidRDefault="00C612FB" w:rsidP="00CE20EF">
      <w:pPr>
        <w:spacing w:line="360" w:lineRule="auto"/>
        <w:jc w:val="both"/>
        <w:rPr>
          <w:rFonts w:asciiTheme="minorEastAsia" w:eastAsiaTheme="minorEastAsia" w:hAnsiTheme="minorEastAsia" w:cs="Times New Roman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(E)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只有大型且健全的</w:t>
      </w:r>
      <w:r w:rsidR="00156EE0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企業</w:t>
      </w:r>
      <w:r w:rsidR="00156EE0" w:rsidRPr="0072114F">
        <w:rPr>
          <w:rFonts w:asciiTheme="minorEastAsia" w:eastAsiaTheme="minorEastAsia" w:hAnsiTheme="minorEastAsia" w:cs="Times New Roman" w:hint="eastAsia"/>
          <w:b/>
          <w:sz w:val="28"/>
          <w:szCs w:val="28"/>
        </w:rPr>
        <w:t>才</w:t>
      </w:r>
      <w:r w:rsidR="00156EE0" w:rsidRPr="0072114F">
        <w:rPr>
          <w:rFonts w:asciiTheme="minorEastAsia" w:eastAsiaTheme="minorEastAsia" w:hAnsiTheme="minorEastAsia" w:cs="Times New Roman"/>
          <w:b/>
          <w:sz w:val="28"/>
          <w:szCs w:val="28"/>
        </w:rPr>
        <w:t>能透過證券市場籌資</w:t>
      </w:r>
    </w:p>
    <w:p w:rsidR="00C612FB" w:rsidRPr="00B40E2A" w:rsidRDefault="00C612FB" w:rsidP="00B40E2A">
      <w:pPr>
        <w:spacing w:line="360" w:lineRule="auto"/>
        <w:jc w:val="both"/>
        <w:rPr>
          <w:rFonts w:asciiTheme="minorEastAsia" w:eastAsiaTheme="minorEastAsia" w:hAnsiTheme="minorEastAsia" w:cs="Times New Roman" w:hint="eastAsia"/>
          <w:b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(p.65-67</w:t>
      </w:r>
      <w:r w:rsidR="00EB6B90">
        <w:rPr>
          <w:rFonts w:asciiTheme="minorEastAsia" w:eastAsiaTheme="minorEastAsia" w:hAnsiTheme="minorEastAsia" w:cs="Times New Roman" w:hint="eastAsia"/>
          <w:b/>
          <w:color w:val="FF0000"/>
          <w:sz w:val="28"/>
          <w:szCs w:val="28"/>
        </w:rPr>
        <w:t>，第3章第一節</w:t>
      </w:r>
      <w:r w:rsidRPr="0072114F">
        <w:rPr>
          <w:rFonts w:asciiTheme="minorEastAsia" w:eastAsiaTheme="minorEastAsia" w:hAnsiTheme="minorEastAsia" w:cs="Times New Roman"/>
          <w:b/>
          <w:color w:val="FF0000"/>
          <w:sz w:val="28"/>
          <w:szCs w:val="28"/>
        </w:rPr>
        <w:t>)</w:t>
      </w:r>
    </w:p>
    <w:p w:rsidR="00C612FB" w:rsidRPr="0072114F" w:rsidRDefault="00C612FB" w:rsidP="00CE20EF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E868A4" w:rsidRDefault="0072114F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5.</w:t>
      </w:r>
      <w:r w:rsidR="00C612FB"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(D)</w:t>
      </w:r>
      <w:r w:rsidR="00C612FB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下列何者不屬於投資中介機構？</w:t>
      </w:r>
    </w:p>
    <w:p w:rsidR="00E868A4" w:rsidRDefault="00C612FB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 貨幣市場共同基金</w:t>
      </w:r>
    </w:p>
    <w:p w:rsidR="00E868A4" w:rsidRDefault="00C612FB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lastRenderedPageBreak/>
        <w:t>(B)共同基金</w:t>
      </w:r>
    </w:p>
    <w:p w:rsidR="00E868A4" w:rsidRDefault="00C612FB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(C)避險基金 </w:t>
      </w:r>
    </w:p>
    <w:p w:rsidR="00EB6B90" w:rsidRDefault="00C612FB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(D)退休基金</w:t>
      </w:r>
      <w:r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C612FB" w:rsidRPr="0072114F" w:rsidRDefault="00C612FB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(p.73-79</w:t>
      </w:r>
      <w:r w:rsidR="00EB6B9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，第3章第三節</w:t>
      </w: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844820" w:rsidRPr="0072114F" w:rsidRDefault="00844820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</w:pPr>
    </w:p>
    <w:p w:rsidR="00E868A4" w:rsidRDefault="0072114F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6.</w:t>
      </w:r>
      <w:r w:rsidR="00007BB9" w:rsidRPr="0072114F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(</w:t>
      </w:r>
      <w:r w:rsidR="005C4E7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C</w:t>
      </w:r>
      <w:r w:rsidR="00007BB9"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007BB9"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臺灣近百年的金融發展，在金融中介呈現的特質中，下列何者有誤？</w:t>
      </w:r>
    </w:p>
    <w:p w:rsidR="00E868A4" w:rsidRDefault="00007BB9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(</w:t>
      </w: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A)</w:t>
      </w:r>
      <w:r w:rsidR="005C4E74"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政策對金融中介機構的設定，從嚴格的管制到大幅的開放，歷時很久</w:t>
      </w:r>
    </w:p>
    <w:p w:rsidR="00E868A4" w:rsidRDefault="00007BB9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5C4E74"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民間借貸與有組織的金融體系並存，產生「金融雙元性」現象</w:t>
      </w:r>
    </w:p>
    <w:p w:rsidR="00E868A4" w:rsidRDefault="00007BB9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5C4E74" w:rsidRPr="005C4E7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  <w:r w:rsidR="005C4E74"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銀行體系的結構，由早期的民營為主、公營為輔，演變為今日的公營為主、民營為輔</w:t>
      </w:r>
      <w:r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E868A4" w:rsidRDefault="00007BB9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Pr="0072114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臺灣金融中介數量快速增加，導致「過度競爭」的現象 </w:t>
      </w:r>
    </w:p>
    <w:p w:rsidR="00C612FB" w:rsidRPr="0072114F" w:rsidRDefault="00007BB9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(p.85-88</w:t>
      </w:r>
      <w:r w:rsidR="00EB6B9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，第3章第四節</w:t>
      </w: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711926" w:rsidRPr="0072114F" w:rsidRDefault="00711926" w:rsidP="00CE20EF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E868A4" w:rsidRDefault="0072114F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7.</w:t>
      </w:r>
      <w:r w:rsidR="001B59D9"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</w:t>
      </w:r>
      <w:r w:rsidR="00F86DE2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D</w:t>
      </w:r>
      <w:r w:rsidR="001B59D9"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  <w:r w:rsidR="001B59D9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下列何者可以同時解決逆選擇與道德風險的問題：</w:t>
      </w:r>
    </w:p>
    <w:p w:rsidR="00E868A4" w:rsidRDefault="001B59D9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F86DE2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專業的資訊提供</w:t>
      </w:r>
    </w:p>
    <w:p w:rsidR="00E868A4" w:rsidRDefault="001B59D9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F86DE2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監視</w:t>
      </w:r>
    </w:p>
    <w:p w:rsidR="00E868A4" w:rsidRDefault="001B59D9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F86DE2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限制條款</w:t>
      </w:r>
    </w:p>
    <w:p w:rsidR="00E868A4" w:rsidRDefault="001B59D9" w:rsidP="00CE20EF">
      <w:pPr>
        <w:widowControl w:val="0"/>
        <w:snapToGrid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bookmarkStart w:id="0" w:name="_GoBack"/>
      <w:bookmarkEnd w:id="0"/>
      <w:r w:rsidR="00F86DE2" w:rsidRPr="0072114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金融中介機構</w:t>
      </w:r>
    </w:p>
    <w:p w:rsidR="00711926" w:rsidRPr="008345D1" w:rsidRDefault="001B59D9" w:rsidP="00CE20EF">
      <w:pPr>
        <w:widowControl w:val="0"/>
        <w:snapToGrid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(p.70-72</w:t>
      </w:r>
      <w:r w:rsidR="00EB6B90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</w:rPr>
        <w:t>，第3章第二節</w:t>
      </w:r>
      <w:r w:rsidRPr="0072114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>)</w:t>
      </w:r>
    </w:p>
    <w:p w:rsidR="00711926" w:rsidRPr="00711926" w:rsidRDefault="00711926" w:rsidP="00711926">
      <w:pPr>
        <w:widowControl w:val="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sectPr w:rsidR="00711926" w:rsidRPr="00711926" w:rsidSect="00F11A3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A37" w:rsidRDefault="00F11A37" w:rsidP="00F11A37">
      <w:r>
        <w:separator/>
      </w:r>
    </w:p>
  </w:endnote>
  <w:endnote w:type="continuationSeparator" w:id="0">
    <w:p w:rsidR="00F11A37" w:rsidRDefault="00F11A37" w:rsidP="00F1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A37" w:rsidRDefault="00F11A37" w:rsidP="00F11A37">
      <w:r>
        <w:separator/>
      </w:r>
    </w:p>
  </w:footnote>
  <w:footnote w:type="continuationSeparator" w:id="0">
    <w:p w:rsidR="00F11A37" w:rsidRDefault="00F11A37" w:rsidP="00F11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0E1"/>
    <w:multiLevelType w:val="multilevel"/>
    <w:tmpl w:val="2722AF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26078"/>
    <w:multiLevelType w:val="multilevel"/>
    <w:tmpl w:val="63CE4E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B3E82"/>
    <w:multiLevelType w:val="multilevel"/>
    <w:tmpl w:val="7632D1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766CA"/>
    <w:multiLevelType w:val="hybridMultilevel"/>
    <w:tmpl w:val="1696FC82"/>
    <w:lvl w:ilvl="0" w:tplc="BFC207D4">
      <w:start w:val="1"/>
      <w:numFmt w:val="decimal"/>
      <w:lvlText w:val="%1.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F6044A"/>
    <w:multiLevelType w:val="multilevel"/>
    <w:tmpl w:val="652A52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12421"/>
    <w:multiLevelType w:val="multilevel"/>
    <w:tmpl w:val="75469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C3937"/>
    <w:multiLevelType w:val="multilevel"/>
    <w:tmpl w:val="788E3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81DE3"/>
    <w:multiLevelType w:val="multilevel"/>
    <w:tmpl w:val="A97C9C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206B5"/>
    <w:multiLevelType w:val="hybridMultilevel"/>
    <w:tmpl w:val="AB20582C"/>
    <w:lvl w:ilvl="0" w:tplc="2284765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204FC1"/>
    <w:multiLevelType w:val="multilevel"/>
    <w:tmpl w:val="E94A51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750F0"/>
    <w:multiLevelType w:val="multilevel"/>
    <w:tmpl w:val="B5C848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300A5"/>
    <w:multiLevelType w:val="multilevel"/>
    <w:tmpl w:val="AB08D0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47045"/>
    <w:multiLevelType w:val="hybridMultilevel"/>
    <w:tmpl w:val="870438F2"/>
    <w:lvl w:ilvl="0" w:tplc="1F00A1C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b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1F581F"/>
    <w:multiLevelType w:val="hybridMultilevel"/>
    <w:tmpl w:val="D0ACE87E"/>
    <w:lvl w:ilvl="0" w:tplc="D32A8160">
      <w:start w:val="1"/>
      <w:numFmt w:val="decimal"/>
      <w:lvlText w:val="%1."/>
      <w:lvlJc w:val="left"/>
      <w:pPr>
        <w:ind w:left="480" w:hanging="480"/>
      </w:pPr>
      <w:rPr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7"/>
    <w:rsid w:val="00007BB9"/>
    <w:rsid w:val="000B682E"/>
    <w:rsid w:val="00156EE0"/>
    <w:rsid w:val="001B59D9"/>
    <w:rsid w:val="00462EDF"/>
    <w:rsid w:val="00474B63"/>
    <w:rsid w:val="005C4E74"/>
    <w:rsid w:val="005F6755"/>
    <w:rsid w:val="00711926"/>
    <w:rsid w:val="0072114F"/>
    <w:rsid w:val="00737656"/>
    <w:rsid w:val="008345D1"/>
    <w:rsid w:val="00844820"/>
    <w:rsid w:val="008A378C"/>
    <w:rsid w:val="009006F9"/>
    <w:rsid w:val="009A0181"/>
    <w:rsid w:val="00B30AF6"/>
    <w:rsid w:val="00B40E2A"/>
    <w:rsid w:val="00C612FB"/>
    <w:rsid w:val="00C74D9F"/>
    <w:rsid w:val="00CE20EF"/>
    <w:rsid w:val="00D347AE"/>
    <w:rsid w:val="00DA1D13"/>
    <w:rsid w:val="00E868A4"/>
    <w:rsid w:val="00EB6B90"/>
    <w:rsid w:val="00F10BDE"/>
    <w:rsid w:val="00F11A37"/>
    <w:rsid w:val="00F86DE2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F1BAED4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F11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1A3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11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1A37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C612FB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1059</Words>
  <Characters>710</Characters>
  <Application>Microsoft Office Word</Application>
  <DocSecurity>0</DocSecurity>
  <Lines>5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2025-07-27T06:10:00Z</dcterms:created>
  <dcterms:modified xsi:type="dcterms:W3CDTF">2025-08-02T02:55:00Z</dcterms:modified>
</cp:coreProperties>
</file>