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6F6F6"/>
  <w:body>
    <w:tbl>
      <w:tblPr>
        <w:tblW w:w="14250" w:type="dxa"/>
        <w:tblCellSpacing w:w="0" w:type="dxa"/>
        <w:tblCellMar>
          <w:left w:w="0" w:type="dxa"/>
          <w:right w:w="0" w:type="dxa"/>
        </w:tblCellMar>
        <w:tblLook w:val="04A0" w:firstRow="1" w:lastRow="0" w:firstColumn="1" w:lastColumn="0" w:noHBand="0" w:noVBand="1"/>
      </w:tblPr>
      <w:tblGrid>
        <w:gridCol w:w="14250"/>
      </w:tblGrid>
      <w:tr w:rsidR="004570F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90"/>
              <w:gridCol w:w="960"/>
              <w:gridCol w:w="420"/>
              <w:gridCol w:w="12480"/>
            </w:tblGrid>
            <w:tr w:rsidR="004570F4">
              <w:trPr>
                <w:tblCellSpacing w:w="0" w:type="dxa"/>
              </w:trPr>
              <w:tc>
                <w:tcPr>
                  <w:tcW w:w="0" w:type="auto"/>
                  <w:vAlign w:val="center"/>
                  <w:hideMark/>
                </w:tcPr>
                <w:p w:rsidR="004570F4" w:rsidRDefault="00B71EF4">
                  <w:r>
                    <w:rPr>
                      <w:noProof/>
                    </w:rPr>
                    <w:drawing>
                      <wp:inline distT="0" distB="0" distL="0" distR="0">
                        <wp:extent cx="238125" cy="285750"/>
                        <wp:effectExtent l="0" t="0" r="9525" b="0"/>
                        <wp:docPr id="1" name="ImgL1" descr="title_on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1" descr="title_on_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p>
              </w:tc>
              <w:tc>
                <w:tcPr>
                  <w:tcW w:w="0" w:type="auto"/>
                  <w:noWrap/>
                  <w:tcMar>
                    <w:top w:w="0" w:type="dxa"/>
                    <w:left w:w="0" w:type="dxa"/>
                    <w:bottom w:w="60" w:type="dxa"/>
                    <w:right w:w="0" w:type="dxa"/>
                  </w:tcMar>
                  <w:vAlign w:val="bottom"/>
                  <w:hideMark/>
                </w:tcPr>
                <w:p w:rsidR="004570F4" w:rsidRDefault="00B71EF4">
                  <w:pPr>
                    <w:spacing w:line="384" w:lineRule="atLeast"/>
                    <w:jc w:val="center"/>
                    <w:rPr>
                      <w:rFonts w:ascii="微軟正黑體" w:eastAsia="微軟正黑體" w:hAnsi="微軟正黑體"/>
                      <w:b/>
                      <w:bCs/>
                      <w:color w:val="FFFFFF"/>
                    </w:rPr>
                  </w:pPr>
                  <w:r>
                    <w:rPr>
                      <w:rFonts w:ascii="微軟正黑體" w:eastAsia="微軟正黑體" w:hAnsi="微軟正黑體" w:hint="eastAsia"/>
                      <w:b/>
                      <w:bCs/>
                      <w:color w:val="FFFFFF"/>
                    </w:rPr>
                    <w:t xml:space="preserve">試卷內容 </w:t>
                  </w:r>
                </w:p>
              </w:tc>
              <w:tc>
                <w:tcPr>
                  <w:tcW w:w="0" w:type="auto"/>
                  <w:vAlign w:val="center"/>
                  <w:hideMark/>
                </w:tcPr>
                <w:p w:rsidR="004570F4" w:rsidRDefault="00B71EF4">
                  <w:r>
                    <w:rPr>
                      <w:noProof/>
                    </w:rPr>
                    <w:drawing>
                      <wp:inline distT="0" distB="0" distL="0" distR="0">
                        <wp:extent cx="266700" cy="285750"/>
                        <wp:effectExtent l="0" t="0" r="0" b="0"/>
                        <wp:docPr id="2" name="ImgR1" descr="title_on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R1" descr="title_on_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p>
              </w:tc>
              <w:tc>
                <w:tcPr>
                  <w:tcW w:w="5000" w:type="pct"/>
                  <w:vAlign w:val="center"/>
                  <w:hideMark/>
                </w:tcPr>
                <w:p w:rsidR="004570F4" w:rsidRDefault="00B71EF4">
                  <w:r>
                    <w:t xml:space="preserve">  </w:t>
                  </w:r>
                </w:p>
              </w:tc>
            </w:tr>
          </w:tbl>
          <w:p w:rsidR="004570F4" w:rsidRDefault="004570F4"/>
        </w:tc>
      </w:tr>
      <w:tr w:rsidR="004570F4">
        <w:trPr>
          <w:tblCellSpacing w:w="0" w:type="dxa"/>
          <w:hidden/>
        </w:trPr>
        <w:tc>
          <w:tcPr>
            <w:tcW w:w="0" w:type="auto"/>
            <w:shd w:val="clear" w:color="auto" w:fill="E3E9F2"/>
            <w:hideMark/>
          </w:tcPr>
          <w:p w:rsidR="004570F4" w:rsidRDefault="00B71EF4">
            <w:pPr>
              <w:pStyle w:val="z-"/>
            </w:pPr>
            <w:r>
              <w:rPr>
                <w:rFonts w:hint="eastAsia"/>
              </w:rPr>
              <w:t>表單的頂端</w:t>
            </w:r>
          </w:p>
          <w:p w:rsidR="004570F4" w:rsidRDefault="00B71EF4">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in;height:17.75pt" o:ole="">
                  <v:imagedata r:id="rId9" o:title=""/>
                </v:shape>
                <w:control r:id="rId10" w:name="DefaultOcxName" w:shapeid="_x0000_i1052"/>
              </w:object>
            </w:r>
            <w:r>
              <w:object w:dxaOrig="225" w:dyaOrig="225">
                <v:shape id="_x0000_i1055" type="#_x0000_t75" style="width:1in;height:17.75pt" o:ole="">
                  <v:imagedata r:id="rId9" o:title=""/>
                </v:shape>
                <w:control r:id="rId11" w:name="DefaultOcxName1" w:shapeid="_x0000_i1055"/>
              </w:object>
            </w:r>
            <w:r>
              <w:object w:dxaOrig="225" w:dyaOrig="225">
                <v:shape id="_x0000_i1058" type="#_x0000_t75" style="width:1in;height:17.75pt" o:ole="">
                  <v:imagedata r:id="rId9" o:title=""/>
                </v:shape>
                <w:control r:id="rId12" w:name="DefaultOcxName2" w:shapeid="_x0000_i1058"/>
              </w:object>
            </w:r>
          </w:p>
          <w:tbl>
            <w:tblPr>
              <w:tblW w:w="5000" w:type="pct"/>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4234"/>
            </w:tblGrid>
            <w:tr w:rsidR="004570F4">
              <w:trPr>
                <w:tblCellSpacing w:w="7" w:type="dxa"/>
              </w:trPr>
              <w:tc>
                <w:tcPr>
                  <w:tcW w:w="0" w:type="auto"/>
                  <w:shd w:val="clear" w:color="auto" w:fill="C0C0C0"/>
                  <w:vAlign w:val="center"/>
                  <w:hideMark/>
                </w:tcPr>
                <w:p w:rsidR="004570F4" w:rsidRDefault="00B71EF4">
                  <w:pPr>
                    <w:spacing w:line="384" w:lineRule="atLeast"/>
                    <w:rPr>
                      <w:rFonts w:ascii="微軟正黑體" w:eastAsia="微軟正黑體" w:hAnsi="微軟正黑體"/>
                      <w:color w:val="000000"/>
                    </w:rPr>
                  </w:pPr>
                  <w:r>
                    <w:rPr>
                      <w:rFonts w:ascii="微軟正黑體" w:eastAsia="微軟正黑體" w:hAnsi="微軟正黑體" w:hint="eastAsia"/>
                      <w:color w:val="000000"/>
                    </w:rPr>
                    <w:t>單選題</w:t>
                  </w:r>
                </w:p>
              </w:tc>
            </w:tr>
            <w:tr w:rsidR="004570F4">
              <w:trPr>
                <w:tblCellSpacing w:w="7" w:type="dxa"/>
              </w:trPr>
              <w:tc>
                <w:tcPr>
                  <w:tcW w:w="0" w:type="auto"/>
                  <w:shd w:val="clear" w:color="auto" w:fill="DDDDDD"/>
                  <w:vAlign w:val="center"/>
                  <w:hideMark/>
                </w:tcPr>
                <w:tbl>
                  <w:tblPr>
                    <w:tblW w:w="5000" w:type="pct"/>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505"/>
                    <w:gridCol w:w="176"/>
                    <w:gridCol w:w="4495"/>
                    <w:gridCol w:w="7894"/>
                  </w:tblGrid>
                  <w:tr w:rsidR="004570F4">
                    <w:trPr>
                      <w:tblCellSpacing w:w="7" w:type="dxa"/>
                    </w:trPr>
                    <w:tc>
                      <w:tcPr>
                        <w:tcW w:w="0" w:type="auto"/>
                        <w:shd w:val="clear" w:color="auto" w:fill="F9F9F9"/>
                        <w:noWrap/>
                        <w:hideMark/>
                      </w:tcPr>
                      <w:p w:rsidR="004570F4" w:rsidRDefault="00B71EF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9F9F9"/>
                        <w:noWrap/>
                        <w:hideMark/>
                      </w:tcPr>
                      <w:p w:rsidR="004570F4" w:rsidRDefault="00B71EF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4570F4" w:rsidRDefault="00C0296A">
                        <w:pPr>
                          <w:spacing w:line="360" w:lineRule="atLeast"/>
                          <w:rPr>
                            <w:rFonts w:ascii="微軟正黑體" w:eastAsia="微軟正黑體" w:hAnsi="微軟正黑體"/>
                            <w:color w:val="000000"/>
                          </w:rPr>
                        </w:pPr>
                        <w:r>
                          <w:rPr>
                            <w:rFonts w:ascii="微軟正黑體" w:eastAsia="微軟正黑體" w:hAnsi="微軟正黑體"/>
                            <w:color w:val="000000"/>
                          </w:rPr>
                          <w:t>1</w:t>
                        </w:r>
                        <w:r w:rsidR="00B71EF4">
                          <w:rPr>
                            <w:rFonts w:ascii="微軟正黑體" w:eastAsia="微軟正黑體" w:hAnsi="微軟正黑體" w:hint="eastAsia"/>
                            <w:color w:val="000000"/>
                          </w:rPr>
                          <w:t xml:space="preserve">. 假設預期通貨膨脹率為3%，名目利率為8%時，實質利率為多少？ </w:t>
                        </w:r>
                      </w:p>
                      <w:p w:rsidR="004570F4" w:rsidRDefault="00B71EF4">
                        <w:pPr>
                          <w:numPr>
                            <w:ilvl w:val="0"/>
                            <w:numId w:val="4"/>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61" type="#_x0000_t75" style="width:20.55pt;height:19.65pt" o:ole="">
                              <v:imagedata r:id="rId13" o:title=""/>
                            </v:shape>
                            <w:control r:id="rId14" w:name="DefaultOcxName18" w:shapeid="_x0000_i1061"/>
                          </w:object>
                        </w:r>
                        <w:r>
                          <w:rPr>
                            <w:rFonts w:ascii="微軟正黑體" w:eastAsia="微軟正黑體" w:hAnsi="微軟正黑體" w:hint="eastAsia"/>
                            <w:color w:val="000000"/>
                          </w:rPr>
                          <w:t>3%</w:t>
                        </w:r>
                      </w:p>
                      <w:p w:rsidR="004570F4" w:rsidRDefault="00B71EF4">
                        <w:pPr>
                          <w:numPr>
                            <w:ilvl w:val="0"/>
                            <w:numId w:val="4"/>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shd w:val="clear" w:color="auto" w:fill="008000"/>
                          </w:rPr>
                          <w:object w:dxaOrig="225" w:dyaOrig="225">
                            <v:shape id="_x0000_i1064" type="#_x0000_t75" style="width:20.55pt;height:19.65pt" o:ole="">
                              <v:imagedata r:id="rId13" o:title=""/>
                            </v:shape>
                            <w:control r:id="rId15" w:name="DefaultOcxName19" w:shapeid="_x0000_i1064"/>
                          </w:object>
                        </w:r>
                        <w:r>
                          <w:rPr>
                            <w:rFonts w:ascii="微軟正黑體" w:eastAsia="微軟正黑體" w:hAnsi="微軟正黑體" w:hint="eastAsia"/>
                            <w:color w:val="000000"/>
                          </w:rPr>
                          <w:t>5%</w:t>
                        </w:r>
                      </w:p>
                      <w:p w:rsidR="004570F4" w:rsidRDefault="00B71EF4">
                        <w:pPr>
                          <w:numPr>
                            <w:ilvl w:val="0"/>
                            <w:numId w:val="4"/>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67" type="#_x0000_t75" style="width:20.55pt;height:19.65pt" o:ole="">
                              <v:imagedata r:id="rId13" o:title=""/>
                            </v:shape>
                            <w:control r:id="rId16" w:name="DefaultOcxName20" w:shapeid="_x0000_i1067"/>
                          </w:object>
                        </w:r>
                        <w:r>
                          <w:rPr>
                            <w:rFonts w:ascii="微軟正黑體" w:eastAsia="微軟正黑體" w:hAnsi="微軟正黑體" w:hint="eastAsia"/>
                            <w:color w:val="000000"/>
                          </w:rPr>
                          <w:t>8%</w:t>
                        </w:r>
                      </w:p>
                      <w:p w:rsidR="004570F4" w:rsidRDefault="00B71EF4">
                        <w:pPr>
                          <w:numPr>
                            <w:ilvl w:val="0"/>
                            <w:numId w:val="4"/>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70" type="#_x0000_t75" style="width:20.55pt;height:19.65pt" o:ole="">
                              <v:imagedata r:id="rId13" o:title=""/>
                            </v:shape>
                            <w:control r:id="rId17" w:name="DefaultOcxName21" w:shapeid="_x0000_i1070"/>
                          </w:object>
                        </w:r>
                        <w:r>
                          <w:rPr>
                            <w:rFonts w:ascii="微軟正黑體" w:eastAsia="微軟正黑體" w:hAnsi="微軟正黑體" w:hint="eastAsia"/>
                            <w:color w:val="000000"/>
                          </w:rPr>
                          <w:t>11%</w:t>
                        </w:r>
                      </w:p>
                      <w:p w:rsidR="004570F4" w:rsidRDefault="00B71EF4">
                        <w:pPr>
                          <w:numPr>
                            <w:ilvl w:val="0"/>
                            <w:numId w:val="4"/>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73" type="#_x0000_t75" style="width:20.55pt;height:19.65pt" o:ole="">
                              <v:imagedata r:id="rId13" o:title=""/>
                            </v:shape>
                            <w:control r:id="rId18" w:name="DefaultOcxName22" w:shapeid="_x0000_i1073"/>
                          </w:object>
                        </w:r>
                        <w:r>
                          <w:rPr>
                            <w:rFonts w:ascii="微軟正黑體" w:eastAsia="微軟正黑體" w:hAnsi="微軟正黑體" w:hint="eastAsia"/>
                            <w:color w:val="000000"/>
                          </w:rPr>
                          <w:t>-5%</w:t>
                        </w:r>
                      </w:p>
                    </w:tc>
                    <w:tc>
                      <w:tcPr>
                        <w:tcW w:w="0" w:type="auto"/>
                        <w:shd w:val="clear" w:color="auto" w:fill="F9F9F9"/>
                        <w:vAlign w:val="center"/>
                        <w:hideMark/>
                      </w:tcPr>
                      <w:p w:rsidR="004570F4" w:rsidRDefault="00B71EF4">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根據費雪方程式，名目利率=實質利率＋預期通貨膨脹率，因此，實質利率=名目利率(8%)－預期通貨膨脹率(3%)＝5%。</w:t>
                        </w:r>
                        <w:r w:rsidR="00CC527F">
                          <w:rPr>
                            <w:rFonts w:ascii="微軟正黑體" w:eastAsia="微軟正黑體" w:hAnsi="微軟正黑體" w:hint="eastAsia"/>
                            <w:color w:val="000000"/>
                          </w:rPr>
                          <w:t>(第4章第二節</w:t>
                        </w:r>
                        <w:r w:rsidR="00CC527F">
                          <w:rPr>
                            <w:rFonts w:ascii="微軟正黑體" w:eastAsia="微軟正黑體" w:hAnsi="微軟正黑體"/>
                            <w:color w:val="000000"/>
                          </w:rPr>
                          <w:t>)</w:t>
                        </w:r>
                      </w:p>
                    </w:tc>
                  </w:tr>
                  <w:tr w:rsidR="004570F4">
                    <w:trPr>
                      <w:tblCellSpacing w:w="7" w:type="dxa"/>
                    </w:trPr>
                    <w:tc>
                      <w:tcPr>
                        <w:tcW w:w="0" w:type="auto"/>
                        <w:shd w:val="clear" w:color="auto" w:fill="FFFFFF"/>
                        <w:noWrap/>
                        <w:hideMark/>
                      </w:tcPr>
                      <w:p w:rsidR="004570F4" w:rsidRDefault="00B71EF4">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FFFFF"/>
                        <w:noWrap/>
                        <w:hideMark/>
                      </w:tcPr>
                      <w:p w:rsidR="004570F4" w:rsidRDefault="00B71EF4">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FFFFF"/>
                        <w:vAlign w:val="center"/>
                        <w:hideMark/>
                      </w:tcPr>
                      <w:p w:rsidR="004570F4" w:rsidRDefault="00C0296A">
                        <w:pPr>
                          <w:spacing w:line="360" w:lineRule="atLeast"/>
                          <w:rPr>
                            <w:rFonts w:ascii="微軟正黑體" w:eastAsia="微軟正黑體" w:hAnsi="微軟正黑體"/>
                            <w:color w:val="000000"/>
                          </w:rPr>
                        </w:pPr>
                        <w:r>
                          <w:rPr>
                            <w:rFonts w:ascii="微軟正黑體" w:eastAsia="微軟正黑體" w:hAnsi="微軟正黑體"/>
                            <w:color w:val="000000"/>
                          </w:rPr>
                          <w:t>2</w:t>
                        </w:r>
                        <w:r w:rsidR="00B71EF4">
                          <w:rPr>
                            <w:rFonts w:ascii="微軟正黑體" w:eastAsia="微軟正黑體" w:hAnsi="微軟正黑體" w:hint="eastAsia"/>
                            <w:color w:val="000000"/>
                          </w:rPr>
                          <w:t xml:space="preserve">. 根據古典學派的主張，實質利率決定於： </w:t>
                        </w:r>
                      </w:p>
                      <w:p w:rsidR="004570F4" w:rsidRDefault="00B71EF4">
                        <w:pPr>
                          <w:numPr>
                            <w:ilvl w:val="0"/>
                            <w:numId w:val="7"/>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76" type="#_x0000_t75" style="width:20.55pt;height:19.65pt" o:ole="">
                              <v:imagedata r:id="rId13" o:title=""/>
                            </v:shape>
                            <w:control r:id="rId19" w:name="DefaultOcxName32" w:shapeid="_x0000_i1076"/>
                          </w:object>
                        </w:r>
                        <w:r>
                          <w:rPr>
                            <w:rFonts w:ascii="微軟正黑體" w:eastAsia="微軟正黑體" w:hAnsi="微軟正黑體" w:hint="eastAsia"/>
                            <w:color w:val="000000"/>
                          </w:rPr>
                          <w:t>總合供給與需求</w:t>
                        </w:r>
                      </w:p>
                      <w:p w:rsidR="004570F4" w:rsidRDefault="00B71EF4">
                        <w:pPr>
                          <w:numPr>
                            <w:ilvl w:val="0"/>
                            <w:numId w:val="7"/>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79" type="#_x0000_t75" style="width:20.55pt;height:19.65pt" o:ole="">
                              <v:imagedata r:id="rId13" o:title=""/>
                            </v:shape>
                            <w:control r:id="rId20" w:name="DefaultOcxName33" w:shapeid="_x0000_i1079"/>
                          </w:object>
                        </w:r>
                        <w:r>
                          <w:rPr>
                            <w:rFonts w:ascii="微軟正黑體" w:eastAsia="微軟正黑體" w:hAnsi="微軟正黑體" w:hint="eastAsia"/>
                            <w:color w:val="000000"/>
                          </w:rPr>
                          <w:t>貨幣供需</w:t>
                        </w:r>
                      </w:p>
                      <w:p w:rsidR="004570F4" w:rsidRDefault="00B71EF4">
                        <w:pPr>
                          <w:numPr>
                            <w:ilvl w:val="0"/>
                            <w:numId w:val="7"/>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82" type="#_x0000_t75" style="width:20.55pt;height:19.65pt" o:ole="">
                              <v:imagedata r:id="rId13" o:title=""/>
                            </v:shape>
                            <w:control r:id="rId21" w:name="DefaultOcxName34" w:shapeid="_x0000_i1082"/>
                          </w:object>
                        </w:r>
                        <w:r>
                          <w:rPr>
                            <w:rFonts w:ascii="微軟正黑體" w:eastAsia="微軟正黑體" w:hAnsi="微軟正黑體" w:hint="eastAsia"/>
                            <w:color w:val="000000"/>
                          </w:rPr>
                          <w:t>通貨膨脹率</w:t>
                        </w:r>
                      </w:p>
                      <w:p w:rsidR="004570F4" w:rsidRDefault="00B71EF4">
                        <w:pPr>
                          <w:numPr>
                            <w:ilvl w:val="0"/>
                            <w:numId w:val="7"/>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85" type="#_x0000_t75" style="width:20.55pt;height:19.65pt" o:ole="">
                              <v:imagedata r:id="rId13" o:title=""/>
                            </v:shape>
                            <w:control r:id="rId22" w:name="DefaultOcxName35" w:shapeid="_x0000_i1085"/>
                          </w:object>
                        </w:r>
                        <w:r>
                          <w:rPr>
                            <w:rFonts w:ascii="微軟正黑體" w:eastAsia="微軟正黑體" w:hAnsi="微軟正黑體" w:hint="eastAsia"/>
                            <w:color w:val="000000"/>
                          </w:rPr>
                          <w:t>債券供需</w:t>
                        </w:r>
                      </w:p>
                      <w:p w:rsidR="004570F4" w:rsidRDefault="00B71EF4">
                        <w:pPr>
                          <w:numPr>
                            <w:ilvl w:val="0"/>
                            <w:numId w:val="7"/>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shd w:val="clear" w:color="auto" w:fill="008000"/>
                          </w:rPr>
                          <w:object w:dxaOrig="225" w:dyaOrig="225">
                            <v:shape id="_x0000_i1088" type="#_x0000_t75" style="width:20.55pt;height:19.65pt" o:ole="">
                              <v:imagedata r:id="rId13" o:title=""/>
                            </v:shape>
                            <w:control r:id="rId23" w:name="DefaultOcxName36" w:shapeid="_x0000_i1088"/>
                          </w:object>
                        </w:r>
                        <w:r>
                          <w:rPr>
                            <w:rFonts w:ascii="微軟正黑體" w:eastAsia="微軟正黑體" w:hAnsi="微軟正黑體" w:hint="eastAsia"/>
                            <w:color w:val="000000"/>
                          </w:rPr>
                          <w:t>投資與儲蓄</w:t>
                        </w:r>
                      </w:p>
                    </w:tc>
                    <w:tc>
                      <w:tcPr>
                        <w:tcW w:w="0" w:type="auto"/>
                        <w:shd w:val="clear" w:color="auto" w:fill="FFFFFF"/>
                        <w:vAlign w:val="center"/>
                        <w:hideMark/>
                      </w:tcPr>
                      <w:p w:rsidR="004570F4" w:rsidRDefault="00B71EF4">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古典學派對認為實質利率是儲蓄與投資共同決定。</w:t>
                        </w:r>
                        <w:r w:rsidR="00CC527F">
                          <w:rPr>
                            <w:rFonts w:ascii="微軟正黑體" w:eastAsia="微軟正黑體" w:hAnsi="微軟正黑體" w:hint="eastAsia"/>
                            <w:color w:val="000000"/>
                          </w:rPr>
                          <w:t>(第4章第三節</w:t>
                        </w:r>
                        <w:r w:rsidR="00CC527F">
                          <w:rPr>
                            <w:rFonts w:ascii="微軟正黑體" w:eastAsia="微軟正黑體" w:hAnsi="微軟正黑體"/>
                            <w:color w:val="000000"/>
                          </w:rPr>
                          <w:t>)</w:t>
                        </w:r>
                      </w:p>
                    </w:tc>
                  </w:tr>
                </w:tbl>
                <w:p w:rsidR="004570F4" w:rsidRDefault="004570F4"/>
              </w:tc>
            </w:tr>
            <w:tr w:rsidR="004570F4">
              <w:trPr>
                <w:tblCellSpacing w:w="7" w:type="dxa"/>
              </w:trPr>
              <w:tc>
                <w:tcPr>
                  <w:tcW w:w="0" w:type="auto"/>
                  <w:shd w:val="clear" w:color="auto" w:fill="DDDDDD"/>
                  <w:vAlign w:val="center"/>
                  <w:hideMark/>
                </w:tcPr>
                <w:p w:rsidR="004570F4" w:rsidRDefault="004570F4">
                  <w:pPr>
                    <w:rPr>
                      <w:rFonts w:ascii="Times New Roman" w:eastAsia="Times New Roman" w:hAnsi="Times New Roman" w:cs="Times New Roman"/>
                      <w:sz w:val="20"/>
                      <w:szCs w:val="20"/>
                    </w:rPr>
                  </w:pPr>
                </w:p>
              </w:tc>
            </w:tr>
          </w:tbl>
          <w:p w:rsidR="004570F4" w:rsidRDefault="00B71EF4">
            <w:pPr>
              <w:pStyle w:val="z-1"/>
            </w:pPr>
            <w:r>
              <w:rPr>
                <w:rFonts w:hint="eastAsia"/>
              </w:rPr>
              <w:t>表單的底部</w:t>
            </w:r>
          </w:p>
          <w:p w:rsidR="004570F4" w:rsidRDefault="004570F4"/>
        </w:tc>
      </w:tr>
    </w:tbl>
    <w:p w:rsidR="004570F4" w:rsidRDefault="004570F4"/>
    <w:p w:rsidR="00940E0F" w:rsidRDefault="00C866B8" w:rsidP="00EA4488">
      <w:pPr>
        <w:widowControl w:val="0"/>
        <w:jc w:val="both"/>
        <w:rPr>
          <w:rFonts w:asciiTheme="minorEastAsia" w:eastAsiaTheme="minorEastAsia" w:hAnsiTheme="minorEastAsia" w:cs="Times New Roman"/>
          <w:b/>
          <w:kern w:val="2"/>
          <w:sz w:val="28"/>
          <w:szCs w:val="28"/>
        </w:rPr>
      </w:pPr>
      <w:r>
        <w:rPr>
          <w:rFonts w:asciiTheme="minorEastAsia" w:eastAsiaTheme="minorEastAsia" w:hAnsiTheme="minorEastAsia" w:cs="Times New Roman"/>
          <w:b/>
          <w:color w:val="FF0000"/>
          <w:kern w:val="2"/>
          <w:sz w:val="28"/>
          <w:szCs w:val="28"/>
        </w:rPr>
        <w:t>3</w:t>
      </w:r>
      <w:r w:rsidR="00EA4488" w:rsidRPr="001A52C5">
        <w:rPr>
          <w:rFonts w:asciiTheme="minorEastAsia" w:eastAsiaTheme="minorEastAsia" w:hAnsiTheme="minorEastAsia" w:cs="Times New Roman"/>
          <w:b/>
          <w:color w:val="FF0000"/>
          <w:kern w:val="2"/>
          <w:sz w:val="28"/>
          <w:szCs w:val="28"/>
        </w:rPr>
        <w:t>.</w:t>
      </w:r>
      <w:r w:rsidR="00BE6DDD" w:rsidRPr="001A52C5">
        <w:rPr>
          <w:rFonts w:asciiTheme="minorEastAsia" w:eastAsiaTheme="minorEastAsia" w:hAnsiTheme="minorEastAsia" w:cs="Times New Roman"/>
          <w:b/>
          <w:color w:val="FF0000"/>
          <w:kern w:val="2"/>
          <w:sz w:val="28"/>
          <w:szCs w:val="28"/>
        </w:rPr>
        <w:t>(</w:t>
      </w:r>
      <w:r w:rsidR="00B01733">
        <w:rPr>
          <w:rFonts w:asciiTheme="minorEastAsia" w:eastAsiaTheme="minorEastAsia" w:hAnsiTheme="minorEastAsia" w:cs="Times New Roman"/>
          <w:b/>
          <w:color w:val="FF0000"/>
          <w:kern w:val="2"/>
          <w:sz w:val="28"/>
          <w:szCs w:val="28"/>
        </w:rPr>
        <w:t>D</w:t>
      </w:r>
      <w:r w:rsidR="00BE6DDD" w:rsidRPr="001A52C5">
        <w:rPr>
          <w:rFonts w:asciiTheme="minorEastAsia" w:eastAsiaTheme="minorEastAsia" w:hAnsiTheme="minorEastAsia" w:cs="Times New Roman"/>
          <w:b/>
          <w:color w:val="FF0000"/>
          <w:kern w:val="2"/>
          <w:sz w:val="28"/>
          <w:szCs w:val="28"/>
        </w:rPr>
        <w:t>)</w:t>
      </w:r>
      <w:r w:rsidR="00BE6DDD" w:rsidRPr="001A52C5">
        <w:rPr>
          <w:rFonts w:asciiTheme="minorEastAsia" w:eastAsiaTheme="minorEastAsia" w:hAnsiTheme="minorEastAsia" w:cs="Times New Roman"/>
          <w:b/>
          <w:kern w:val="2"/>
          <w:sz w:val="28"/>
          <w:szCs w:val="28"/>
        </w:rPr>
        <w:t>在可貸資金理論中，影響債券供給與債券需求的敘述，下列何</w:t>
      </w:r>
      <w:r w:rsidR="00BE6DDD" w:rsidRPr="001A52C5">
        <w:rPr>
          <w:rFonts w:asciiTheme="minorEastAsia" w:eastAsiaTheme="minorEastAsia" w:hAnsiTheme="minorEastAsia" w:cs="Times New Roman" w:hint="eastAsia"/>
          <w:b/>
          <w:kern w:val="2"/>
          <w:sz w:val="28"/>
          <w:szCs w:val="28"/>
        </w:rPr>
        <w:t>者正確</w:t>
      </w:r>
      <w:r w:rsidR="00940E0F">
        <w:rPr>
          <w:rFonts w:asciiTheme="minorEastAsia" w:eastAsiaTheme="minorEastAsia" w:hAnsiTheme="minorEastAsia" w:cs="Times New Roman" w:hint="eastAsia"/>
          <w:b/>
          <w:kern w:val="2"/>
          <w:sz w:val="28"/>
          <w:szCs w:val="28"/>
        </w:rPr>
        <w:t>？</w:t>
      </w:r>
    </w:p>
    <w:p w:rsidR="00940E0F" w:rsidRDefault="00BE6DDD"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(A)</w:t>
      </w:r>
      <w:r w:rsidR="00B01733" w:rsidRPr="00B01733">
        <w:rPr>
          <w:rFonts w:asciiTheme="minorEastAsia" w:eastAsiaTheme="minorEastAsia" w:hAnsiTheme="minorEastAsia" w:cs="Times New Roman"/>
          <w:b/>
          <w:kern w:val="2"/>
          <w:sz w:val="28"/>
          <w:szCs w:val="28"/>
        </w:rPr>
        <w:t xml:space="preserve"> </w:t>
      </w:r>
      <w:r w:rsidR="00B01733" w:rsidRPr="001A52C5">
        <w:rPr>
          <w:rFonts w:asciiTheme="minorEastAsia" w:eastAsiaTheme="minorEastAsia" w:hAnsiTheme="minorEastAsia" w:cs="Times New Roman"/>
          <w:b/>
          <w:kern w:val="2"/>
          <w:sz w:val="28"/>
          <w:szCs w:val="28"/>
        </w:rPr>
        <w:t>當政府財政赤字大幅增加、發行公債籌資時，債券供給將會</w:t>
      </w:r>
      <w:r w:rsidR="00B01733" w:rsidRPr="001A52C5">
        <w:rPr>
          <w:rFonts w:asciiTheme="minorEastAsia" w:eastAsiaTheme="minorEastAsia" w:hAnsiTheme="minorEastAsia" w:cs="Times New Roman" w:hint="eastAsia"/>
          <w:b/>
          <w:kern w:val="2"/>
          <w:sz w:val="28"/>
          <w:szCs w:val="28"/>
        </w:rPr>
        <w:t>減少</w:t>
      </w:r>
      <w:r w:rsidRPr="001A52C5">
        <w:rPr>
          <w:rFonts w:asciiTheme="minorEastAsia" w:eastAsiaTheme="minorEastAsia" w:hAnsiTheme="minorEastAsia" w:cs="Times New Roman" w:hint="eastAsia"/>
          <w:b/>
          <w:kern w:val="2"/>
          <w:sz w:val="28"/>
          <w:szCs w:val="28"/>
        </w:rPr>
        <w:t xml:space="preserve"> </w:t>
      </w:r>
    </w:p>
    <w:p w:rsidR="00940E0F" w:rsidRDefault="00BE6DDD"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(B)若債券相對於其他替代資產的流動性提高，儲蓄者或放款者</w:t>
      </w:r>
      <w:r w:rsidRPr="001A52C5">
        <w:rPr>
          <w:rFonts w:asciiTheme="minorEastAsia" w:eastAsiaTheme="minorEastAsia" w:hAnsiTheme="minorEastAsia" w:cs="Times New Roman" w:hint="eastAsia"/>
          <w:b/>
          <w:kern w:val="2"/>
          <w:sz w:val="28"/>
          <w:szCs w:val="28"/>
        </w:rPr>
        <w:t>將減少</w:t>
      </w:r>
      <w:r w:rsidRPr="001A52C5">
        <w:rPr>
          <w:rFonts w:asciiTheme="minorEastAsia" w:eastAsiaTheme="minorEastAsia" w:hAnsiTheme="minorEastAsia" w:cs="Times New Roman"/>
          <w:b/>
          <w:kern w:val="2"/>
          <w:sz w:val="28"/>
          <w:szCs w:val="28"/>
        </w:rPr>
        <w:t>債券的需求</w:t>
      </w:r>
      <w:r w:rsidRPr="001A52C5">
        <w:rPr>
          <w:rFonts w:asciiTheme="minorEastAsia" w:eastAsiaTheme="minorEastAsia" w:hAnsiTheme="minorEastAsia" w:cs="Times New Roman" w:hint="eastAsia"/>
          <w:b/>
          <w:kern w:val="2"/>
          <w:sz w:val="28"/>
          <w:szCs w:val="28"/>
        </w:rPr>
        <w:t xml:space="preserve"> </w:t>
      </w:r>
    </w:p>
    <w:p w:rsidR="00940E0F" w:rsidRDefault="007627F6" w:rsidP="00EA4488">
      <w:pPr>
        <w:widowControl w:val="0"/>
        <w:jc w:val="both"/>
        <w:rPr>
          <w:rFonts w:asciiTheme="minorEastAsia" w:eastAsiaTheme="minorEastAsia" w:hAnsiTheme="minorEastAsia" w:cs="Times New Roman"/>
          <w:b/>
          <w:kern w:val="2"/>
          <w:sz w:val="28"/>
          <w:szCs w:val="28"/>
        </w:rPr>
      </w:pPr>
      <w:r>
        <w:rPr>
          <w:rFonts w:asciiTheme="minorEastAsia" w:eastAsiaTheme="minorEastAsia" w:hAnsiTheme="minorEastAsia" w:cs="Times New Roman"/>
          <w:b/>
          <w:kern w:val="2"/>
          <w:sz w:val="28"/>
          <w:szCs w:val="28"/>
        </w:rPr>
        <w:t>(</w:t>
      </w:r>
      <w:r w:rsidR="00BE6DDD" w:rsidRPr="001A52C5">
        <w:rPr>
          <w:rFonts w:asciiTheme="minorEastAsia" w:eastAsiaTheme="minorEastAsia" w:hAnsiTheme="minorEastAsia" w:cs="Times New Roman"/>
          <w:b/>
          <w:kern w:val="2"/>
          <w:sz w:val="28"/>
          <w:szCs w:val="28"/>
        </w:rPr>
        <w:t>C)</w:t>
      </w:r>
      <w:r w:rsidR="00B01733" w:rsidRPr="001A52C5">
        <w:rPr>
          <w:rFonts w:asciiTheme="minorEastAsia" w:eastAsiaTheme="minorEastAsia" w:hAnsiTheme="minorEastAsia" w:cs="Times New Roman"/>
          <w:b/>
          <w:kern w:val="2"/>
          <w:sz w:val="28"/>
          <w:szCs w:val="28"/>
        </w:rPr>
        <w:t>當財富增加時，人們對債券的需求將會</w:t>
      </w:r>
      <w:r w:rsidR="00B01733" w:rsidRPr="001A52C5">
        <w:rPr>
          <w:rFonts w:asciiTheme="minorEastAsia" w:eastAsiaTheme="minorEastAsia" w:hAnsiTheme="minorEastAsia" w:cs="Times New Roman" w:hint="eastAsia"/>
          <w:b/>
          <w:kern w:val="2"/>
          <w:sz w:val="28"/>
          <w:szCs w:val="28"/>
        </w:rPr>
        <w:t>減少</w:t>
      </w:r>
    </w:p>
    <w:p w:rsidR="00940E0F" w:rsidRDefault="00BE6DDD"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(D)</w:t>
      </w:r>
      <w:r w:rsidR="00B01733" w:rsidRPr="001A52C5">
        <w:rPr>
          <w:rFonts w:asciiTheme="minorEastAsia" w:eastAsiaTheme="minorEastAsia" w:hAnsiTheme="minorEastAsia" w:cs="Times New Roman"/>
          <w:b/>
          <w:kern w:val="2"/>
          <w:sz w:val="28"/>
          <w:szCs w:val="28"/>
        </w:rPr>
        <w:t>預期通貨膨脹率上漲時，債券供給將會</w:t>
      </w:r>
      <w:r w:rsidR="00B01733" w:rsidRPr="001A52C5">
        <w:rPr>
          <w:rFonts w:asciiTheme="minorEastAsia" w:eastAsiaTheme="minorEastAsia" w:hAnsiTheme="minorEastAsia" w:cs="Times New Roman" w:hint="eastAsia"/>
          <w:b/>
          <w:kern w:val="2"/>
          <w:sz w:val="28"/>
          <w:szCs w:val="28"/>
        </w:rPr>
        <w:t>增加</w:t>
      </w:r>
    </w:p>
    <w:p w:rsidR="00940E0F" w:rsidRDefault="00BE6DDD"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(E)</w:t>
      </w:r>
      <w:r w:rsidR="00B01733" w:rsidRPr="001A52C5">
        <w:rPr>
          <w:rFonts w:asciiTheme="minorEastAsia" w:eastAsiaTheme="minorEastAsia" w:hAnsiTheme="minorEastAsia" w:cs="Times New Roman"/>
          <w:b/>
          <w:kern w:val="2"/>
          <w:sz w:val="28"/>
          <w:szCs w:val="28"/>
        </w:rPr>
        <w:t>若預期通貨膨脹率上升，人們會</w:t>
      </w:r>
      <w:r w:rsidR="00B01733" w:rsidRPr="001A52C5">
        <w:rPr>
          <w:rFonts w:asciiTheme="minorEastAsia" w:eastAsiaTheme="minorEastAsia" w:hAnsiTheme="minorEastAsia" w:cs="Times New Roman" w:hint="eastAsia"/>
          <w:b/>
          <w:kern w:val="2"/>
          <w:sz w:val="28"/>
          <w:szCs w:val="28"/>
        </w:rPr>
        <w:t>增加</w:t>
      </w:r>
      <w:r w:rsidR="00B01733" w:rsidRPr="001A52C5">
        <w:rPr>
          <w:rFonts w:asciiTheme="minorEastAsia" w:eastAsiaTheme="minorEastAsia" w:hAnsiTheme="minorEastAsia" w:cs="Times New Roman"/>
          <w:b/>
          <w:kern w:val="2"/>
          <w:sz w:val="28"/>
          <w:szCs w:val="28"/>
        </w:rPr>
        <w:t>債券的需求</w:t>
      </w:r>
    </w:p>
    <w:p w:rsidR="0080261B" w:rsidRPr="001A52C5" w:rsidRDefault="00BE6DDD"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color w:val="FF0000"/>
          <w:kern w:val="2"/>
          <w:sz w:val="28"/>
          <w:szCs w:val="28"/>
        </w:rPr>
        <w:t>(p.105-110</w:t>
      </w:r>
      <w:r w:rsidR="00F10B17">
        <w:rPr>
          <w:rFonts w:asciiTheme="minorEastAsia" w:eastAsiaTheme="minorEastAsia" w:hAnsiTheme="minorEastAsia" w:cs="Times New Roman" w:hint="eastAsia"/>
          <w:b/>
          <w:color w:val="FF0000"/>
          <w:kern w:val="2"/>
          <w:sz w:val="28"/>
          <w:szCs w:val="28"/>
        </w:rPr>
        <w:t>，第4章第四節</w:t>
      </w:r>
      <w:r w:rsidRPr="001A52C5">
        <w:rPr>
          <w:rFonts w:asciiTheme="minorEastAsia" w:eastAsiaTheme="minorEastAsia" w:hAnsiTheme="minorEastAsia" w:cs="Times New Roman"/>
          <w:b/>
          <w:color w:val="FF0000"/>
          <w:kern w:val="2"/>
          <w:sz w:val="28"/>
          <w:szCs w:val="28"/>
        </w:rPr>
        <w:t>)</w:t>
      </w:r>
    </w:p>
    <w:p w:rsidR="00BE6DDD" w:rsidRPr="001A52C5" w:rsidRDefault="00BE6DDD" w:rsidP="00BE6DDD">
      <w:pPr>
        <w:rPr>
          <w:rFonts w:asciiTheme="minorEastAsia" w:eastAsiaTheme="minorEastAsia" w:hAnsiTheme="minorEastAsia"/>
          <w:b/>
          <w:sz w:val="28"/>
          <w:szCs w:val="28"/>
        </w:rPr>
      </w:pPr>
    </w:p>
    <w:p w:rsidR="00147960" w:rsidRPr="001A52C5" w:rsidRDefault="00147960">
      <w:pPr>
        <w:rPr>
          <w:rFonts w:asciiTheme="minorEastAsia" w:eastAsiaTheme="minorEastAsia" w:hAnsiTheme="minorEastAsia"/>
          <w:b/>
          <w:sz w:val="28"/>
          <w:szCs w:val="28"/>
        </w:rPr>
      </w:pPr>
    </w:p>
    <w:p w:rsidR="008750DD" w:rsidRDefault="00C866B8" w:rsidP="00EA4488">
      <w:pPr>
        <w:widowControl w:val="0"/>
        <w:jc w:val="both"/>
        <w:rPr>
          <w:rFonts w:asciiTheme="minorEastAsia" w:eastAsiaTheme="minorEastAsia" w:hAnsiTheme="minorEastAsia" w:cs="Times New Roman"/>
          <w:b/>
          <w:kern w:val="2"/>
          <w:sz w:val="28"/>
          <w:szCs w:val="28"/>
        </w:rPr>
      </w:pPr>
      <w:r>
        <w:rPr>
          <w:rFonts w:asciiTheme="minorEastAsia" w:eastAsiaTheme="minorEastAsia" w:hAnsiTheme="minorEastAsia" w:cs="Times New Roman"/>
          <w:b/>
          <w:color w:val="FF0000"/>
          <w:kern w:val="2"/>
          <w:sz w:val="28"/>
          <w:szCs w:val="28"/>
        </w:rPr>
        <w:t>4</w:t>
      </w:r>
      <w:r w:rsidR="00EA4488" w:rsidRPr="001A52C5">
        <w:rPr>
          <w:rFonts w:asciiTheme="minorEastAsia" w:eastAsiaTheme="minorEastAsia" w:hAnsiTheme="minorEastAsia" w:cs="Times New Roman"/>
          <w:b/>
          <w:color w:val="FF0000"/>
          <w:kern w:val="2"/>
          <w:sz w:val="28"/>
          <w:szCs w:val="28"/>
        </w:rPr>
        <w:t>.</w:t>
      </w:r>
      <w:r w:rsidR="007D1342" w:rsidRPr="001A52C5">
        <w:rPr>
          <w:rFonts w:asciiTheme="minorEastAsia" w:eastAsiaTheme="minorEastAsia" w:hAnsiTheme="minorEastAsia" w:cs="Times New Roman"/>
          <w:b/>
          <w:color w:val="FF0000"/>
          <w:kern w:val="2"/>
          <w:sz w:val="28"/>
          <w:szCs w:val="28"/>
        </w:rPr>
        <w:t>(D)</w:t>
      </w:r>
      <w:r w:rsidR="007D1342" w:rsidRPr="001A52C5">
        <w:rPr>
          <w:rFonts w:asciiTheme="minorEastAsia" w:eastAsiaTheme="minorEastAsia" w:hAnsiTheme="minorEastAsia" w:cs="Times New Roman"/>
          <w:b/>
          <w:kern w:val="2"/>
          <w:sz w:val="28"/>
          <w:szCs w:val="28"/>
        </w:rPr>
        <w:t>關於利率的風險結構，下列何者</w:t>
      </w:r>
      <w:r w:rsidR="007D1342" w:rsidRPr="001A52C5">
        <w:rPr>
          <w:rFonts w:asciiTheme="minorEastAsia" w:eastAsiaTheme="minorEastAsia" w:hAnsiTheme="minorEastAsia" w:cs="Times New Roman" w:hint="eastAsia"/>
          <w:b/>
          <w:kern w:val="2"/>
          <w:sz w:val="28"/>
          <w:szCs w:val="28"/>
        </w:rPr>
        <w:t>正確</w:t>
      </w:r>
      <w:r w:rsidR="007D1342" w:rsidRPr="001A52C5">
        <w:rPr>
          <w:rFonts w:asciiTheme="minorEastAsia" w:eastAsiaTheme="minorEastAsia" w:hAnsiTheme="minorEastAsia" w:cs="Times New Roman"/>
          <w:b/>
          <w:kern w:val="2"/>
          <w:sz w:val="28"/>
          <w:szCs w:val="28"/>
        </w:rPr>
        <w:t>？</w:t>
      </w:r>
    </w:p>
    <w:p w:rsidR="008750DD" w:rsidRDefault="007D1342"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(A)違約風險越高，債權人要求的利率就越</w:t>
      </w:r>
      <w:r w:rsidRPr="001A52C5">
        <w:rPr>
          <w:rFonts w:asciiTheme="minorEastAsia" w:eastAsiaTheme="minorEastAsia" w:hAnsiTheme="minorEastAsia" w:cs="Times New Roman" w:hint="eastAsia"/>
          <w:b/>
          <w:kern w:val="2"/>
          <w:sz w:val="28"/>
          <w:szCs w:val="28"/>
        </w:rPr>
        <w:t>低</w:t>
      </w:r>
      <w:r w:rsidRPr="001A52C5">
        <w:rPr>
          <w:rFonts w:asciiTheme="minorEastAsia" w:eastAsiaTheme="minorEastAsia" w:hAnsiTheme="minorEastAsia" w:cs="Times New Roman"/>
          <w:b/>
          <w:kern w:val="2"/>
          <w:sz w:val="28"/>
          <w:szCs w:val="28"/>
        </w:rPr>
        <w:t xml:space="preserve"> </w:t>
      </w:r>
    </w:p>
    <w:p w:rsidR="008750DD" w:rsidRDefault="007D1342"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(B)從違約風險的角度來看，公司債利率與公債利率的差距</w:t>
      </w:r>
      <w:r w:rsidRPr="001A52C5">
        <w:rPr>
          <w:rFonts w:asciiTheme="minorEastAsia" w:eastAsiaTheme="minorEastAsia" w:hAnsiTheme="minorEastAsia" w:cs="Times New Roman" w:hint="eastAsia"/>
          <w:b/>
          <w:kern w:val="2"/>
          <w:sz w:val="28"/>
          <w:szCs w:val="28"/>
        </w:rPr>
        <w:t>為0</w:t>
      </w:r>
      <w:r w:rsidRPr="001A52C5">
        <w:rPr>
          <w:rFonts w:asciiTheme="minorEastAsia" w:eastAsiaTheme="minorEastAsia" w:hAnsiTheme="minorEastAsia" w:cs="Times New Roman"/>
          <w:b/>
          <w:kern w:val="2"/>
          <w:sz w:val="28"/>
          <w:szCs w:val="28"/>
        </w:rPr>
        <w:t xml:space="preserve"> </w:t>
      </w:r>
    </w:p>
    <w:p w:rsidR="008750DD" w:rsidRDefault="007D1342"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(C)流動性較高的債券其利率較</w:t>
      </w:r>
      <w:r w:rsidRPr="001A52C5">
        <w:rPr>
          <w:rFonts w:asciiTheme="minorEastAsia" w:eastAsiaTheme="minorEastAsia" w:hAnsiTheme="minorEastAsia" w:cs="Times New Roman" w:hint="eastAsia"/>
          <w:b/>
          <w:kern w:val="2"/>
          <w:sz w:val="28"/>
          <w:szCs w:val="28"/>
        </w:rPr>
        <w:t>高</w:t>
      </w:r>
      <w:r w:rsidRPr="001A52C5">
        <w:rPr>
          <w:rFonts w:asciiTheme="minorEastAsia" w:eastAsiaTheme="minorEastAsia" w:hAnsiTheme="minorEastAsia" w:cs="Times New Roman"/>
          <w:b/>
          <w:kern w:val="2"/>
          <w:sz w:val="28"/>
          <w:szCs w:val="28"/>
        </w:rPr>
        <w:t>，而流動性較低的債券其利率較</w:t>
      </w:r>
      <w:r w:rsidRPr="001A52C5">
        <w:rPr>
          <w:rFonts w:asciiTheme="minorEastAsia" w:eastAsiaTheme="minorEastAsia" w:hAnsiTheme="minorEastAsia" w:cs="Times New Roman" w:hint="eastAsia"/>
          <w:b/>
          <w:kern w:val="2"/>
          <w:sz w:val="28"/>
          <w:szCs w:val="28"/>
        </w:rPr>
        <w:t>低</w:t>
      </w:r>
      <w:r w:rsidRPr="001A52C5">
        <w:rPr>
          <w:rFonts w:asciiTheme="minorEastAsia" w:eastAsiaTheme="minorEastAsia" w:hAnsiTheme="minorEastAsia" w:cs="Times New Roman"/>
          <w:b/>
          <w:kern w:val="2"/>
          <w:sz w:val="28"/>
          <w:szCs w:val="28"/>
        </w:rPr>
        <w:t xml:space="preserve"> </w:t>
      </w:r>
    </w:p>
    <w:p w:rsidR="00F10B17" w:rsidRDefault="007D1342" w:rsidP="00F10B17">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D)地方政府公債的違約風險較中央政府公債為高，且流動性低於中央政府公債，照理說，地方政府公債的利率應該高於中央政府公債；但美國過去80年來至少有40年，地方政府公債的利率低於中央政府公債。要解釋這種現象必須從兩者之間的租稅負擔著手</w:t>
      </w:r>
      <w:r w:rsidRPr="001A52C5">
        <w:rPr>
          <w:rFonts w:asciiTheme="minorEastAsia" w:eastAsiaTheme="minorEastAsia" w:hAnsiTheme="minorEastAsia" w:cs="Times New Roman" w:hint="eastAsia"/>
          <w:b/>
          <w:kern w:val="2"/>
          <w:sz w:val="28"/>
          <w:szCs w:val="28"/>
        </w:rPr>
        <w:t xml:space="preserve"> </w:t>
      </w:r>
    </w:p>
    <w:p w:rsidR="007D1342" w:rsidRPr="00F10B17" w:rsidRDefault="007D1342" w:rsidP="00F10B17">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color w:val="FF0000"/>
          <w:kern w:val="2"/>
          <w:sz w:val="28"/>
          <w:szCs w:val="28"/>
        </w:rPr>
        <w:t>(p.116-120</w:t>
      </w:r>
      <w:r w:rsidR="00F10B17">
        <w:rPr>
          <w:rFonts w:asciiTheme="minorEastAsia" w:eastAsiaTheme="minorEastAsia" w:hAnsiTheme="minorEastAsia" w:cs="Times New Roman" w:hint="eastAsia"/>
          <w:b/>
          <w:color w:val="FF0000"/>
          <w:kern w:val="2"/>
          <w:sz w:val="28"/>
          <w:szCs w:val="28"/>
        </w:rPr>
        <w:t>，第4章第六節</w:t>
      </w:r>
      <w:r w:rsidRPr="001A52C5">
        <w:rPr>
          <w:rFonts w:asciiTheme="minorEastAsia" w:eastAsiaTheme="minorEastAsia" w:hAnsiTheme="minorEastAsia" w:cs="Times New Roman"/>
          <w:b/>
          <w:color w:val="FF0000"/>
          <w:kern w:val="2"/>
          <w:sz w:val="28"/>
          <w:szCs w:val="28"/>
        </w:rPr>
        <w:t>)</w:t>
      </w:r>
    </w:p>
    <w:p w:rsidR="0080261B" w:rsidRDefault="0080261B" w:rsidP="007D1342">
      <w:pPr>
        <w:widowControl w:val="0"/>
        <w:ind w:left="480"/>
        <w:jc w:val="both"/>
        <w:rPr>
          <w:rFonts w:asciiTheme="minorEastAsia" w:eastAsiaTheme="minorEastAsia" w:hAnsiTheme="minorEastAsia" w:cs="Times New Roman"/>
          <w:b/>
          <w:kern w:val="2"/>
          <w:sz w:val="28"/>
          <w:szCs w:val="28"/>
        </w:rPr>
      </w:pPr>
    </w:p>
    <w:p w:rsidR="00C22E56" w:rsidRPr="001A52C5" w:rsidRDefault="00C22E56" w:rsidP="007D1342">
      <w:pPr>
        <w:widowControl w:val="0"/>
        <w:ind w:left="480"/>
        <w:jc w:val="both"/>
        <w:rPr>
          <w:rFonts w:asciiTheme="minorEastAsia" w:eastAsiaTheme="minorEastAsia" w:hAnsiTheme="minorEastAsia" w:cs="Times New Roman" w:hint="eastAsia"/>
          <w:b/>
          <w:kern w:val="2"/>
          <w:sz w:val="28"/>
          <w:szCs w:val="28"/>
        </w:rPr>
      </w:pPr>
    </w:p>
    <w:p w:rsidR="008750DD" w:rsidRDefault="00C866B8" w:rsidP="00EA4488">
      <w:pPr>
        <w:widowControl w:val="0"/>
        <w:jc w:val="both"/>
        <w:rPr>
          <w:rFonts w:asciiTheme="minorEastAsia" w:eastAsiaTheme="minorEastAsia" w:hAnsiTheme="minorEastAsia" w:cs="Times New Roman"/>
          <w:b/>
          <w:color w:val="000000" w:themeColor="text1"/>
          <w:kern w:val="2"/>
          <w:sz w:val="28"/>
          <w:szCs w:val="28"/>
        </w:rPr>
      </w:pPr>
      <w:r>
        <w:rPr>
          <w:rFonts w:asciiTheme="minorEastAsia" w:eastAsiaTheme="minorEastAsia" w:hAnsiTheme="minorEastAsia" w:cs="Times New Roman"/>
          <w:b/>
          <w:color w:val="FF0000"/>
          <w:kern w:val="2"/>
          <w:sz w:val="28"/>
          <w:szCs w:val="28"/>
        </w:rPr>
        <w:t>5</w:t>
      </w:r>
      <w:r w:rsidR="00EA4488" w:rsidRPr="001A52C5">
        <w:rPr>
          <w:rFonts w:asciiTheme="minorEastAsia" w:eastAsiaTheme="minorEastAsia" w:hAnsiTheme="minorEastAsia" w:cs="Times New Roman"/>
          <w:b/>
          <w:color w:val="FF0000"/>
          <w:kern w:val="2"/>
          <w:sz w:val="28"/>
          <w:szCs w:val="28"/>
        </w:rPr>
        <w:t>.</w:t>
      </w:r>
      <w:r w:rsidR="007D1342" w:rsidRPr="001A52C5">
        <w:rPr>
          <w:rFonts w:asciiTheme="minorEastAsia" w:eastAsiaTheme="minorEastAsia" w:hAnsiTheme="minorEastAsia" w:cs="Times New Roman" w:hint="eastAsia"/>
          <w:b/>
          <w:color w:val="FF0000"/>
          <w:kern w:val="2"/>
          <w:sz w:val="28"/>
          <w:szCs w:val="28"/>
        </w:rPr>
        <w:t>(</w:t>
      </w:r>
      <w:r w:rsidR="007D1342" w:rsidRPr="001A52C5">
        <w:rPr>
          <w:rFonts w:asciiTheme="minorEastAsia" w:eastAsiaTheme="minorEastAsia" w:hAnsiTheme="minorEastAsia" w:cs="Times New Roman"/>
          <w:b/>
          <w:color w:val="FF0000"/>
          <w:kern w:val="2"/>
          <w:sz w:val="28"/>
          <w:szCs w:val="28"/>
        </w:rPr>
        <w:t>B)</w:t>
      </w:r>
      <w:r w:rsidR="007D1342" w:rsidRPr="001A52C5">
        <w:rPr>
          <w:rFonts w:asciiTheme="minorEastAsia" w:eastAsiaTheme="minorEastAsia" w:hAnsiTheme="minorEastAsia" w:cs="Times New Roman" w:hint="eastAsia"/>
          <w:b/>
          <w:color w:val="000000" w:themeColor="text1"/>
          <w:kern w:val="2"/>
          <w:sz w:val="28"/>
          <w:szCs w:val="28"/>
        </w:rPr>
        <w:t>關於利率的期間結構，下列何者有誤？</w:t>
      </w:r>
    </w:p>
    <w:p w:rsidR="008750DD" w:rsidRDefault="007D1342" w:rsidP="00EA4488">
      <w:pPr>
        <w:widowControl w:val="0"/>
        <w:jc w:val="both"/>
        <w:rPr>
          <w:rFonts w:asciiTheme="minorEastAsia" w:eastAsiaTheme="minorEastAsia" w:hAnsiTheme="minorEastAsia" w:cs="Times New Roman"/>
          <w:b/>
          <w:color w:val="000000" w:themeColor="text1"/>
          <w:kern w:val="2"/>
          <w:sz w:val="28"/>
          <w:szCs w:val="28"/>
        </w:rPr>
      </w:pPr>
      <w:r w:rsidRPr="001A52C5">
        <w:rPr>
          <w:rFonts w:asciiTheme="minorEastAsia" w:eastAsiaTheme="minorEastAsia" w:hAnsiTheme="minorEastAsia" w:cs="Times New Roman" w:hint="eastAsia"/>
          <w:b/>
          <w:color w:val="000000" w:themeColor="text1"/>
          <w:kern w:val="2"/>
          <w:sz w:val="28"/>
          <w:szCs w:val="28"/>
        </w:rPr>
        <w:t>(</w:t>
      </w:r>
      <w:r w:rsidRPr="001A52C5">
        <w:rPr>
          <w:rFonts w:asciiTheme="minorEastAsia" w:eastAsiaTheme="minorEastAsia" w:hAnsiTheme="minorEastAsia" w:cs="Times New Roman"/>
          <w:b/>
          <w:color w:val="000000" w:themeColor="text1"/>
          <w:kern w:val="2"/>
          <w:sz w:val="28"/>
          <w:szCs w:val="28"/>
        </w:rPr>
        <w:t>A)</w:t>
      </w:r>
      <w:r w:rsidRPr="001A52C5">
        <w:rPr>
          <w:rFonts w:asciiTheme="minorEastAsia" w:eastAsiaTheme="minorEastAsia" w:hAnsiTheme="minorEastAsia" w:cs="Times New Roman" w:hint="eastAsia"/>
          <w:b/>
          <w:color w:val="000000" w:themeColor="text1"/>
          <w:kern w:val="2"/>
          <w:sz w:val="28"/>
          <w:szCs w:val="28"/>
        </w:rPr>
        <w:t>預期理論說明</w:t>
      </w:r>
      <w:proofErr w:type="gramStart"/>
      <w:r w:rsidRPr="001A52C5">
        <w:rPr>
          <w:rFonts w:asciiTheme="minorEastAsia" w:eastAsiaTheme="minorEastAsia" w:hAnsiTheme="minorEastAsia" w:cs="Times New Roman" w:hint="eastAsia"/>
          <w:b/>
          <w:color w:val="000000" w:themeColor="text1"/>
          <w:kern w:val="2"/>
          <w:sz w:val="28"/>
          <w:szCs w:val="28"/>
        </w:rPr>
        <w:t>殖</w:t>
      </w:r>
      <w:proofErr w:type="gramEnd"/>
      <w:r w:rsidRPr="001A52C5">
        <w:rPr>
          <w:rFonts w:asciiTheme="minorEastAsia" w:eastAsiaTheme="minorEastAsia" w:hAnsiTheme="minorEastAsia" w:cs="Times New Roman" w:hint="eastAsia"/>
          <w:b/>
          <w:color w:val="000000" w:themeColor="text1"/>
          <w:kern w:val="2"/>
          <w:sz w:val="28"/>
          <w:szCs w:val="28"/>
        </w:rPr>
        <w:t xml:space="preserve">利率曲線的形狀決定於人們對未來利率的預期 </w:t>
      </w:r>
    </w:p>
    <w:p w:rsidR="008750DD" w:rsidRDefault="007D1342" w:rsidP="00EA4488">
      <w:pPr>
        <w:widowControl w:val="0"/>
        <w:jc w:val="both"/>
        <w:rPr>
          <w:rFonts w:asciiTheme="minorEastAsia" w:eastAsiaTheme="minorEastAsia" w:hAnsiTheme="minorEastAsia" w:cs="Times New Roman"/>
          <w:b/>
          <w:color w:val="000000" w:themeColor="text1"/>
          <w:kern w:val="2"/>
          <w:sz w:val="28"/>
          <w:szCs w:val="28"/>
        </w:rPr>
      </w:pPr>
      <w:r w:rsidRPr="001A52C5">
        <w:rPr>
          <w:rFonts w:asciiTheme="minorEastAsia" w:eastAsiaTheme="minorEastAsia" w:hAnsiTheme="minorEastAsia" w:cs="Times New Roman"/>
          <w:b/>
          <w:color w:val="000000" w:themeColor="text1"/>
          <w:kern w:val="2"/>
          <w:sz w:val="28"/>
          <w:szCs w:val="28"/>
        </w:rPr>
        <w:t>(B)</w:t>
      </w:r>
      <w:r w:rsidRPr="001A52C5">
        <w:rPr>
          <w:rFonts w:asciiTheme="minorEastAsia" w:eastAsiaTheme="minorEastAsia" w:hAnsiTheme="minorEastAsia" w:cs="Times New Roman" w:hint="eastAsia"/>
          <w:b/>
          <w:color w:val="000000" w:themeColor="text1"/>
          <w:kern w:val="2"/>
          <w:sz w:val="28"/>
          <w:szCs w:val="28"/>
        </w:rPr>
        <w:t>流動性貼水理論認為長期債券的利率等於目前的短期利率和預期未來短期利率的平均數而已，沒有其他因素了</w:t>
      </w:r>
      <w:r w:rsidRPr="001A52C5">
        <w:rPr>
          <w:rFonts w:asciiTheme="minorEastAsia" w:eastAsiaTheme="minorEastAsia" w:hAnsiTheme="minorEastAsia" w:cs="Times New Roman"/>
          <w:b/>
          <w:color w:val="000000" w:themeColor="text1"/>
          <w:kern w:val="2"/>
          <w:sz w:val="28"/>
          <w:szCs w:val="28"/>
        </w:rPr>
        <w:t xml:space="preserve"> </w:t>
      </w:r>
    </w:p>
    <w:p w:rsidR="008750DD" w:rsidRDefault="007D1342" w:rsidP="00EA4488">
      <w:pPr>
        <w:widowControl w:val="0"/>
        <w:jc w:val="both"/>
        <w:rPr>
          <w:rFonts w:asciiTheme="minorEastAsia" w:eastAsiaTheme="minorEastAsia" w:hAnsiTheme="minorEastAsia" w:cs="Times New Roman"/>
          <w:b/>
          <w:color w:val="000000" w:themeColor="text1"/>
          <w:kern w:val="2"/>
          <w:sz w:val="28"/>
          <w:szCs w:val="28"/>
        </w:rPr>
      </w:pPr>
      <w:r w:rsidRPr="001A52C5">
        <w:rPr>
          <w:rFonts w:asciiTheme="minorEastAsia" w:eastAsiaTheme="minorEastAsia" w:hAnsiTheme="minorEastAsia" w:cs="Times New Roman"/>
          <w:b/>
          <w:color w:val="000000" w:themeColor="text1"/>
          <w:kern w:val="2"/>
          <w:sz w:val="28"/>
          <w:szCs w:val="28"/>
        </w:rPr>
        <w:t>(C)</w:t>
      </w:r>
      <w:r w:rsidRPr="001A52C5">
        <w:rPr>
          <w:rFonts w:asciiTheme="minorEastAsia" w:eastAsiaTheme="minorEastAsia" w:hAnsiTheme="minorEastAsia" w:cs="Times New Roman" w:hint="eastAsia"/>
          <w:b/>
          <w:color w:val="000000" w:themeColor="text1"/>
          <w:kern w:val="2"/>
          <w:sz w:val="28"/>
          <w:szCs w:val="28"/>
        </w:rPr>
        <w:t xml:space="preserve">假設各種債券的違約風險、流動性、與租稅負擔都相同，但期限不同，此時期限不同的債券，其到期期限與利率的關係，稱為利率的期間結構 </w:t>
      </w:r>
    </w:p>
    <w:p w:rsidR="00F10B17" w:rsidRDefault="007D1342" w:rsidP="00EA4488">
      <w:pPr>
        <w:widowControl w:val="0"/>
        <w:jc w:val="both"/>
        <w:rPr>
          <w:rFonts w:asciiTheme="minorEastAsia" w:eastAsiaTheme="minorEastAsia" w:hAnsiTheme="minorEastAsia" w:cs="Times New Roman"/>
          <w:b/>
          <w:color w:val="000000" w:themeColor="text1"/>
          <w:kern w:val="2"/>
          <w:sz w:val="28"/>
          <w:szCs w:val="28"/>
        </w:rPr>
      </w:pPr>
      <w:r w:rsidRPr="001A52C5">
        <w:rPr>
          <w:rFonts w:asciiTheme="minorEastAsia" w:eastAsiaTheme="minorEastAsia" w:hAnsiTheme="minorEastAsia" w:cs="Times New Roman"/>
          <w:b/>
          <w:color w:val="000000" w:themeColor="text1"/>
          <w:kern w:val="2"/>
          <w:sz w:val="28"/>
          <w:szCs w:val="28"/>
        </w:rPr>
        <w:t>(D)</w:t>
      </w:r>
      <w:r w:rsidRPr="001A52C5">
        <w:rPr>
          <w:rFonts w:asciiTheme="minorEastAsia" w:eastAsiaTheme="minorEastAsia" w:hAnsiTheme="minorEastAsia" w:cs="Times New Roman" w:hint="eastAsia"/>
          <w:b/>
          <w:color w:val="000000" w:themeColor="text1"/>
          <w:kern w:val="2"/>
          <w:sz w:val="28"/>
          <w:szCs w:val="28"/>
        </w:rPr>
        <w:t>市場區隔理論認為不同期限債券的市場，</w:t>
      </w:r>
      <w:proofErr w:type="gramStart"/>
      <w:r w:rsidRPr="001A52C5">
        <w:rPr>
          <w:rFonts w:asciiTheme="minorEastAsia" w:eastAsiaTheme="minorEastAsia" w:hAnsiTheme="minorEastAsia" w:cs="Times New Roman" w:hint="eastAsia"/>
          <w:b/>
          <w:color w:val="000000" w:themeColor="text1"/>
          <w:kern w:val="2"/>
          <w:sz w:val="28"/>
          <w:szCs w:val="28"/>
        </w:rPr>
        <w:t>彼此間是分離</w:t>
      </w:r>
      <w:proofErr w:type="gramEnd"/>
      <w:r w:rsidRPr="001A52C5">
        <w:rPr>
          <w:rFonts w:asciiTheme="minorEastAsia" w:eastAsiaTheme="minorEastAsia" w:hAnsiTheme="minorEastAsia" w:cs="Times New Roman" w:hint="eastAsia"/>
          <w:b/>
          <w:color w:val="000000" w:themeColor="text1"/>
          <w:kern w:val="2"/>
          <w:sz w:val="28"/>
          <w:szCs w:val="28"/>
        </w:rPr>
        <w:t xml:space="preserve">且有所區隔的 </w:t>
      </w:r>
    </w:p>
    <w:p w:rsidR="00327FE6" w:rsidRPr="001A52C5" w:rsidRDefault="007D1342"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hint="eastAsia"/>
          <w:b/>
          <w:color w:val="FF0000"/>
          <w:kern w:val="2"/>
          <w:sz w:val="28"/>
          <w:szCs w:val="28"/>
        </w:rPr>
        <w:t>(</w:t>
      </w:r>
      <w:r w:rsidRPr="001A52C5">
        <w:rPr>
          <w:rFonts w:asciiTheme="minorEastAsia" w:eastAsiaTheme="minorEastAsia" w:hAnsiTheme="minorEastAsia" w:cs="Times New Roman"/>
          <w:b/>
          <w:color w:val="FF0000"/>
          <w:kern w:val="2"/>
          <w:sz w:val="28"/>
          <w:szCs w:val="28"/>
        </w:rPr>
        <w:t>p.121-127</w:t>
      </w:r>
      <w:r w:rsidR="00F10B17">
        <w:rPr>
          <w:rFonts w:asciiTheme="minorEastAsia" w:eastAsiaTheme="minorEastAsia" w:hAnsiTheme="minorEastAsia" w:cs="Times New Roman" w:hint="eastAsia"/>
          <w:b/>
          <w:color w:val="FF0000"/>
          <w:kern w:val="2"/>
          <w:sz w:val="28"/>
          <w:szCs w:val="28"/>
        </w:rPr>
        <w:t>，第4章第七節</w:t>
      </w:r>
      <w:r w:rsidRPr="001A52C5">
        <w:rPr>
          <w:rFonts w:asciiTheme="minorEastAsia" w:eastAsiaTheme="minorEastAsia" w:hAnsiTheme="minorEastAsia" w:cs="Times New Roman"/>
          <w:b/>
          <w:color w:val="FF0000"/>
          <w:kern w:val="2"/>
          <w:sz w:val="28"/>
          <w:szCs w:val="28"/>
        </w:rPr>
        <w:t>)</w:t>
      </w:r>
    </w:p>
    <w:p w:rsidR="0080261B" w:rsidRPr="001A52C5" w:rsidRDefault="0080261B" w:rsidP="0080261B">
      <w:pPr>
        <w:widowControl w:val="0"/>
        <w:jc w:val="both"/>
        <w:rPr>
          <w:rFonts w:asciiTheme="minorEastAsia" w:eastAsiaTheme="minorEastAsia" w:hAnsiTheme="minorEastAsia" w:cs="Times New Roman"/>
          <w:b/>
          <w:kern w:val="2"/>
          <w:sz w:val="28"/>
          <w:szCs w:val="28"/>
        </w:rPr>
      </w:pPr>
    </w:p>
    <w:p w:rsidR="008750DD" w:rsidRDefault="00C866B8" w:rsidP="00EA4488">
      <w:pPr>
        <w:widowControl w:val="0"/>
        <w:jc w:val="both"/>
        <w:rPr>
          <w:rFonts w:asciiTheme="minorEastAsia" w:eastAsiaTheme="minorEastAsia" w:hAnsiTheme="minorEastAsia" w:cs="Times New Roman"/>
          <w:b/>
          <w:kern w:val="2"/>
          <w:sz w:val="28"/>
          <w:szCs w:val="28"/>
        </w:rPr>
      </w:pPr>
      <w:r>
        <w:rPr>
          <w:rFonts w:asciiTheme="minorEastAsia" w:eastAsiaTheme="minorEastAsia" w:hAnsiTheme="minorEastAsia" w:cs="Times New Roman"/>
          <w:b/>
          <w:color w:val="FF0000"/>
          <w:kern w:val="2"/>
          <w:sz w:val="28"/>
          <w:szCs w:val="28"/>
        </w:rPr>
        <w:lastRenderedPageBreak/>
        <w:t>6</w:t>
      </w:r>
      <w:r w:rsidR="00EA4488" w:rsidRPr="001A52C5">
        <w:rPr>
          <w:rFonts w:asciiTheme="minorEastAsia" w:eastAsiaTheme="minorEastAsia" w:hAnsiTheme="minorEastAsia" w:cs="Times New Roman"/>
          <w:b/>
          <w:color w:val="FF0000"/>
          <w:kern w:val="2"/>
          <w:sz w:val="28"/>
          <w:szCs w:val="28"/>
        </w:rPr>
        <w:t>.</w:t>
      </w:r>
      <w:r w:rsidR="007D1342" w:rsidRPr="001A52C5">
        <w:rPr>
          <w:rFonts w:asciiTheme="minorEastAsia" w:eastAsiaTheme="minorEastAsia" w:hAnsiTheme="minorEastAsia" w:cs="Times New Roman"/>
          <w:b/>
          <w:color w:val="FF0000"/>
          <w:kern w:val="2"/>
          <w:sz w:val="28"/>
          <w:szCs w:val="28"/>
        </w:rPr>
        <w:t>(C)</w:t>
      </w:r>
      <w:r w:rsidR="007D1342" w:rsidRPr="001A52C5">
        <w:rPr>
          <w:rFonts w:asciiTheme="minorEastAsia" w:eastAsiaTheme="minorEastAsia" w:hAnsiTheme="minorEastAsia" w:cs="Times New Roman"/>
          <w:b/>
          <w:kern w:val="2"/>
          <w:sz w:val="28"/>
          <w:szCs w:val="28"/>
        </w:rPr>
        <w:t>在流動性偏好理論中，請問下列</w:t>
      </w:r>
      <w:r w:rsidR="007D1342" w:rsidRPr="001A52C5">
        <w:rPr>
          <w:rFonts w:asciiTheme="minorEastAsia" w:eastAsiaTheme="minorEastAsia" w:hAnsiTheme="minorEastAsia" w:cs="Times New Roman" w:hint="eastAsia"/>
          <w:b/>
          <w:kern w:val="2"/>
          <w:sz w:val="28"/>
          <w:szCs w:val="28"/>
        </w:rPr>
        <w:t>關於均衡利率變動的敘述，何者有誤？</w:t>
      </w:r>
    </w:p>
    <w:p w:rsidR="008750DD" w:rsidRDefault="007D1342"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(A)</w:t>
      </w:r>
      <w:r w:rsidRPr="001A52C5">
        <w:rPr>
          <w:rFonts w:asciiTheme="minorEastAsia" w:eastAsiaTheme="minorEastAsia" w:hAnsiTheme="minorEastAsia" w:cs="Times New Roman" w:hint="eastAsia"/>
          <w:b/>
          <w:kern w:val="2"/>
          <w:sz w:val="28"/>
          <w:szCs w:val="28"/>
        </w:rPr>
        <w:t>當貨幣給增加時，利率將會下降</w:t>
      </w:r>
      <w:r w:rsidRPr="001A52C5">
        <w:rPr>
          <w:rFonts w:asciiTheme="minorEastAsia" w:eastAsiaTheme="minorEastAsia" w:hAnsiTheme="minorEastAsia" w:cs="Times New Roman"/>
          <w:b/>
          <w:kern w:val="2"/>
          <w:sz w:val="28"/>
          <w:szCs w:val="28"/>
        </w:rPr>
        <w:t xml:space="preserve"> </w:t>
      </w:r>
    </w:p>
    <w:p w:rsidR="008750DD" w:rsidRDefault="007D1342"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(B)</w:t>
      </w:r>
      <w:r w:rsidRPr="001A52C5">
        <w:rPr>
          <w:rFonts w:asciiTheme="minorEastAsia" w:eastAsiaTheme="minorEastAsia" w:hAnsiTheme="minorEastAsia" w:cs="Times New Roman" w:hint="eastAsia"/>
          <w:b/>
          <w:kern w:val="2"/>
          <w:sz w:val="28"/>
          <w:szCs w:val="28"/>
        </w:rPr>
        <w:t>所得增加時，貨幣需求將會增加，導致利率水準上升</w:t>
      </w:r>
      <w:r w:rsidRPr="001A52C5">
        <w:rPr>
          <w:rFonts w:asciiTheme="minorEastAsia" w:eastAsiaTheme="minorEastAsia" w:hAnsiTheme="minorEastAsia" w:cs="Times New Roman"/>
          <w:b/>
          <w:kern w:val="2"/>
          <w:sz w:val="28"/>
          <w:szCs w:val="28"/>
        </w:rPr>
        <w:t xml:space="preserve"> </w:t>
      </w:r>
    </w:p>
    <w:p w:rsidR="00C22E56" w:rsidRDefault="007D1342"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(C)</w:t>
      </w:r>
      <w:r w:rsidRPr="001A52C5">
        <w:rPr>
          <w:rFonts w:asciiTheme="minorEastAsia" w:eastAsiaTheme="minorEastAsia" w:hAnsiTheme="minorEastAsia" w:cs="Times New Roman" w:hint="eastAsia"/>
          <w:b/>
          <w:kern w:val="2"/>
          <w:sz w:val="28"/>
          <w:szCs w:val="28"/>
        </w:rPr>
        <w:t>物價水準上升時，貨幣需求將會下降，利率也會下降</w:t>
      </w:r>
      <w:r w:rsidRPr="001A52C5">
        <w:rPr>
          <w:rFonts w:asciiTheme="minorEastAsia" w:eastAsiaTheme="minorEastAsia" w:hAnsiTheme="minorEastAsia" w:cs="Times New Roman"/>
          <w:b/>
          <w:kern w:val="2"/>
          <w:sz w:val="28"/>
          <w:szCs w:val="28"/>
        </w:rPr>
        <w:t xml:space="preserve"> </w:t>
      </w:r>
    </w:p>
    <w:p w:rsidR="00147960" w:rsidRPr="001A52C5" w:rsidRDefault="007D1342"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color w:val="FF0000"/>
          <w:kern w:val="2"/>
          <w:sz w:val="28"/>
          <w:szCs w:val="28"/>
        </w:rPr>
        <w:t>(p.112-113</w:t>
      </w:r>
      <w:r w:rsidR="00C22E56">
        <w:rPr>
          <w:rFonts w:asciiTheme="minorEastAsia" w:eastAsiaTheme="minorEastAsia" w:hAnsiTheme="minorEastAsia" w:cs="Times New Roman" w:hint="eastAsia"/>
          <w:b/>
          <w:color w:val="FF0000"/>
          <w:kern w:val="2"/>
          <w:sz w:val="28"/>
          <w:szCs w:val="28"/>
        </w:rPr>
        <w:t>，第4章第五節</w:t>
      </w:r>
      <w:r w:rsidRPr="001A52C5">
        <w:rPr>
          <w:rFonts w:asciiTheme="minorEastAsia" w:eastAsiaTheme="minorEastAsia" w:hAnsiTheme="minorEastAsia" w:cs="Times New Roman"/>
          <w:b/>
          <w:color w:val="FF0000"/>
          <w:kern w:val="2"/>
          <w:sz w:val="28"/>
          <w:szCs w:val="28"/>
        </w:rPr>
        <w:t>)</w:t>
      </w:r>
    </w:p>
    <w:p w:rsidR="00327FE6" w:rsidRPr="001A52C5" w:rsidRDefault="00327FE6" w:rsidP="00327FE6">
      <w:pPr>
        <w:widowControl w:val="0"/>
        <w:jc w:val="both"/>
        <w:rPr>
          <w:rFonts w:asciiTheme="minorEastAsia" w:eastAsiaTheme="minorEastAsia" w:hAnsiTheme="minorEastAsia" w:cs="Times New Roman"/>
          <w:b/>
          <w:kern w:val="2"/>
          <w:sz w:val="28"/>
          <w:szCs w:val="28"/>
        </w:rPr>
      </w:pPr>
    </w:p>
    <w:p w:rsidR="00CC4231" w:rsidRPr="001A52C5" w:rsidRDefault="00CC4231" w:rsidP="00327FE6">
      <w:pPr>
        <w:widowControl w:val="0"/>
        <w:jc w:val="both"/>
        <w:rPr>
          <w:rFonts w:asciiTheme="minorEastAsia" w:eastAsiaTheme="minorEastAsia" w:hAnsiTheme="minorEastAsia" w:cs="Times New Roman"/>
          <w:b/>
          <w:kern w:val="2"/>
          <w:sz w:val="28"/>
          <w:szCs w:val="28"/>
        </w:rPr>
      </w:pPr>
    </w:p>
    <w:p w:rsidR="00ED6C1A" w:rsidRDefault="008750DD" w:rsidP="00EA4488">
      <w:pPr>
        <w:widowControl w:val="0"/>
        <w:jc w:val="both"/>
        <w:rPr>
          <w:rFonts w:asciiTheme="minorEastAsia" w:eastAsiaTheme="minorEastAsia" w:hAnsiTheme="minorEastAsia" w:cs="Times New Roman"/>
          <w:b/>
          <w:kern w:val="2"/>
          <w:sz w:val="28"/>
          <w:szCs w:val="28"/>
        </w:rPr>
      </w:pPr>
      <w:r>
        <w:rPr>
          <w:rFonts w:asciiTheme="minorEastAsia" w:eastAsiaTheme="minorEastAsia" w:hAnsiTheme="minorEastAsia" w:cs="Times New Roman"/>
          <w:b/>
          <w:color w:val="FF0000"/>
          <w:kern w:val="2"/>
          <w:sz w:val="28"/>
          <w:szCs w:val="28"/>
        </w:rPr>
        <w:t>7</w:t>
      </w:r>
      <w:r w:rsidR="00EA4488" w:rsidRPr="001A52C5">
        <w:rPr>
          <w:rFonts w:asciiTheme="minorEastAsia" w:eastAsiaTheme="minorEastAsia" w:hAnsiTheme="minorEastAsia" w:cs="Times New Roman"/>
          <w:b/>
          <w:color w:val="FF0000"/>
          <w:kern w:val="2"/>
          <w:sz w:val="28"/>
          <w:szCs w:val="28"/>
        </w:rPr>
        <w:t>.</w:t>
      </w:r>
      <w:r w:rsidR="00CC4231" w:rsidRPr="001A52C5">
        <w:rPr>
          <w:rFonts w:asciiTheme="minorEastAsia" w:eastAsiaTheme="minorEastAsia" w:hAnsiTheme="minorEastAsia" w:cs="Times New Roman"/>
          <w:b/>
          <w:color w:val="FF0000"/>
          <w:kern w:val="2"/>
          <w:sz w:val="28"/>
          <w:szCs w:val="28"/>
        </w:rPr>
        <w:t>(</w:t>
      </w:r>
      <w:r w:rsidR="00E415A0">
        <w:rPr>
          <w:rFonts w:asciiTheme="minorEastAsia" w:eastAsiaTheme="minorEastAsia" w:hAnsiTheme="minorEastAsia" w:cs="Times New Roman"/>
          <w:b/>
          <w:color w:val="FF0000"/>
          <w:kern w:val="2"/>
          <w:sz w:val="28"/>
          <w:szCs w:val="28"/>
        </w:rPr>
        <w:t>C</w:t>
      </w:r>
      <w:r w:rsidR="00CC4231" w:rsidRPr="001A52C5">
        <w:rPr>
          <w:rFonts w:asciiTheme="minorEastAsia" w:eastAsiaTheme="minorEastAsia" w:hAnsiTheme="minorEastAsia" w:cs="Times New Roman"/>
          <w:b/>
          <w:color w:val="FF0000"/>
          <w:kern w:val="2"/>
          <w:sz w:val="28"/>
          <w:szCs w:val="28"/>
        </w:rPr>
        <w:t>)</w:t>
      </w:r>
      <w:r w:rsidR="00CC4231" w:rsidRPr="001A52C5">
        <w:rPr>
          <w:rFonts w:asciiTheme="minorEastAsia" w:eastAsiaTheme="minorEastAsia" w:hAnsiTheme="minorEastAsia" w:cs="Times New Roman"/>
          <w:b/>
          <w:kern w:val="2"/>
          <w:sz w:val="28"/>
          <w:szCs w:val="28"/>
        </w:rPr>
        <w:t>關於到期收益率敘述，下列何者有</w:t>
      </w:r>
      <w:r w:rsidR="00CC4231" w:rsidRPr="001A52C5">
        <w:rPr>
          <w:rFonts w:asciiTheme="minorEastAsia" w:eastAsiaTheme="minorEastAsia" w:hAnsiTheme="minorEastAsia" w:cs="Times New Roman" w:hint="eastAsia"/>
          <w:b/>
          <w:kern w:val="2"/>
          <w:sz w:val="28"/>
          <w:szCs w:val="28"/>
        </w:rPr>
        <w:t>誤</w:t>
      </w:r>
      <w:r w:rsidR="00ED6C1A">
        <w:rPr>
          <w:rFonts w:asciiTheme="minorEastAsia" w:eastAsiaTheme="minorEastAsia" w:hAnsiTheme="minorEastAsia" w:cs="Times New Roman" w:hint="eastAsia"/>
          <w:b/>
          <w:kern w:val="2"/>
          <w:sz w:val="28"/>
          <w:szCs w:val="28"/>
        </w:rPr>
        <w:t>？</w:t>
      </w:r>
    </w:p>
    <w:p w:rsidR="00ED6C1A" w:rsidRDefault="00CC4231"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(A)</w:t>
      </w:r>
      <w:r w:rsidR="00E415A0" w:rsidRPr="001A52C5">
        <w:rPr>
          <w:rFonts w:asciiTheme="minorEastAsia" w:eastAsiaTheme="minorEastAsia" w:hAnsiTheme="minorEastAsia" w:cs="Times New Roman"/>
          <w:b/>
          <w:kern w:val="2"/>
          <w:sz w:val="28"/>
          <w:szCs w:val="28"/>
        </w:rPr>
        <w:t>若以</w:t>
      </w:r>
      <w:proofErr w:type="gramStart"/>
      <w:r w:rsidR="00E415A0" w:rsidRPr="001A52C5">
        <w:rPr>
          <w:rFonts w:asciiTheme="minorEastAsia" w:eastAsiaTheme="minorEastAsia" w:hAnsiTheme="minorEastAsia" w:cs="Times New Roman"/>
          <w:b/>
          <w:kern w:val="2"/>
          <w:sz w:val="28"/>
          <w:szCs w:val="28"/>
        </w:rPr>
        <w:t>現值法計算</w:t>
      </w:r>
      <w:proofErr w:type="gramEnd"/>
      <w:r w:rsidR="00E415A0" w:rsidRPr="001A52C5">
        <w:rPr>
          <w:rFonts w:asciiTheme="minorEastAsia" w:eastAsiaTheme="minorEastAsia" w:hAnsiTheme="minorEastAsia" w:cs="Times New Roman"/>
          <w:b/>
          <w:kern w:val="2"/>
          <w:sz w:val="28"/>
          <w:szCs w:val="28"/>
        </w:rPr>
        <w:t>到期收益率，則債券的價格和收益率呈現</w:t>
      </w:r>
      <w:r w:rsidR="00E415A0" w:rsidRPr="001A52C5">
        <w:rPr>
          <w:rFonts w:asciiTheme="minorEastAsia" w:eastAsiaTheme="minorEastAsia" w:hAnsiTheme="minorEastAsia" w:cs="Times New Roman" w:hint="eastAsia"/>
          <w:b/>
          <w:kern w:val="2"/>
          <w:sz w:val="28"/>
          <w:szCs w:val="28"/>
        </w:rPr>
        <w:t>反</w:t>
      </w:r>
      <w:r w:rsidR="00E415A0" w:rsidRPr="001A52C5">
        <w:rPr>
          <w:rFonts w:asciiTheme="minorEastAsia" w:eastAsiaTheme="minorEastAsia" w:hAnsiTheme="minorEastAsia" w:cs="Times New Roman"/>
          <w:b/>
          <w:kern w:val="2"/>
          <w:sz w:val="28"/>
          <w:szCs w:val="28"/>
        </w:rPr>
        <w:t>向變動的關係</w:t>
      </w:r>
    </w:p>
    <w:p w:rsidR="00ED6C1A" w:rsidRDefault="00CC4231"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(B)若以</w:t>
      </w:r>
      <w:proofErr w:type="gramStart"/>
      <w:r w:rsidRPr="001A52C5">
        <w:rPr>
          <w:rFonts w:asciiTheme="minorEastAsia" w:eastAsiaTheme="minorEastAsia" w:hAnsiTheme="minorEastAsia" w:cs="Times New Roman"/>
          <w:b/>
          <w:kern w:val="2"/>
          <w:sz w:val="28"/>
          <w:szCs w:val="28"/>
        </w:rPr>
        <w:t>現值法計算</w:t>
      </w:r>
      <w:proofErr w:type="gramEnd"/>
      <w:r w:rsidRPr="001A52C5">
        <w:rPr>
          <w:rFonts w:asciiTheme="minorEastAsia" w:eastAsiaTheme="minorEastAsia" w:hAnsiTheme="minorEastAsia" w:cs="Times New Roman"/>
          <w:b/>
          <w:kern w:val="2"/>
          <w:sz w:val="28"/>
          <w:szCs w:val="28"/>
        </w:rPr>
        <w:t>到期收益率，則收益率</w:t>
      </w:r>
      <w:r w:rsidRPr="001A52C5">
        <w:rPr>
          <w:rFonts w:asciiTheme="minorEastAsia" w:eastAsiaTheme="minorEastAsia" w:hAnsiTheme="minorEastAsia" w:cs="Times New Roman" w:hint="eastAsia"/>
          <w:b/>
          <w:kern w:val="2"/>
          <w:sz w:val="28"/>
          <w:szCs w:val="28"/>
        </w:rPr>
        <w:t>大</w:t>
      </w:r>
      <w:r w:rsidRPr="001A52C5">
        <w:rPr>
          <w:rFonts w:asciiTheme="minorEastAsia" w:eastAsiaTheme="minorEastAsia" w:hAnsiTheme="minorEastAsia" w:cs="Times New Roman"/>
          <w:b/>
          <w:kern w:val="2"/>
          <w:sz w:val="28"/>
          <w:szCs w:val="28"/>
        </w:rPr>
        <w:t>於票面利率時，債券的價格</w:t>
      </w:r>
      <w:r w:rsidRPr="001A52C5">
        <w:rPr>
          <w:rFonts w:asciiTheme="minorEastAsia" w:eastAsiaTheme="minorEastAsia" w:hAnsiTheme="minorEastAsia" w:cs="Times New Roman" w:hint="eastAsia"/>
          <w:b/>
          <w:kern w:val="2"/>
          <w:sz w:val="28"/>
          <w:szCs w:val="28"/>
        </w:rPr>
        <w:t>將低於</w:t>
      </w:r>
      <w:r w:rsidRPr="001A52C5">
        <w:rPr>
          <w:rFonts w:asciiTheme="minorEastAsia" w:eastAsiaTheme="minorEastAsia" w:hAnsiTheme="minorEastAsia" w:cs="Times New Roman"/>
          <w:b/>
          <w:kern w:val="2"/>
          <w:sz w:val="28"/>
          <w:szCs w:val="28"/>
        </w:rPr>
        <w:t>面額</w:t>
      </w:r>
      <w:r w:rsidRPr="001A52C5">
        <w:rPr>
          <w:rFonts w:asciiTheme="minorEastAsia" w:eastAsiaTheme="minorEastAsia" w:hAnsiTheme="minorEastAsia" w:cs="Times New Roman" w:hint="eastAsia"/>
          <w:b/>
          <w:kern w:val="2"/>
          <w:sz w:val="28"/>
          <w:szCs w:val="28"/>
        </w:rPr>
        <w:t xml:space="preserve"> </w:t>
      </w:r>
    </w:p>
    <w:p w:rsidR="00ED6C1A" w:rsidRDefault="00CC4231"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(C)</w:t>
      </w:r>
      <w:r w:rsidR="00E415A0" w:rsidRPr="001A52C5">
        <w:rPr>
          <w:rFonts w:asciiTheme="minorEastAsia" w:eastAsiaTheme="minorEastAsia" w:hAnsiTheme="minorEastAsia" w:cs="Times New Roman"/>
          <w:b/>
          <w:kern w:val="2"/>
          <w:sz w:val="28"/>
          <w:szCs w:val="28"/>
        </w:rPr>
        <w:t>若以近似值法計算到期收益率，當買進價格</w:t>
      </w:r>
      <w:r w:rsidR="00E415A0" w:rsidRPr="001A52C5">
        <w:rPr>
          <w:rFonts w:asciiTheme="minorEastAsia" w:eastAsiaTheme="minorEastAsia" w:hAnsiTheme="minorEastAsia" w:cs="Times New Roman" w:hint="eastAsia"/>
          <w:b/>
          <w:kern w:val="2"/>
          <w:sz w:val="28"/>
          <w:szCs w:val="28"/>
        </w:rPr>
        <w:t>等於</w:t>
      </w:r>
      <w:r w:rsidR="00E415A0" w:rsidRPr="001A52C5">
        <w:rPr>
          <w:rFonts w:asciiTheme="minorEastAsia" w:eastAsiaTheme="minorEastAsia" w:hAnsiTheme="minorEastAsia" w:cs="Times New Roman"/>
          <w:b/>
          <w:kern w:val="2"/>
          <w:sz w:val="28"/>
          <w:szCs w:val="28"/>
        </w:rPr>
        <w:t>面額，</w:t>
      </w:r>
      <w:r w:rsidR="00E415A0" w:rsidRPr="001A52C5">
        <w:rPr>
          <w:rFonts w:asciiTheme="minorEastAsia" w:eastAsiaTheme="minorEastAsia" w:hAnsiTheme="minorEastAsia" w:cs="Times New Roman" w:hint="eastAsia"/>
          <w:b/>
          <w:kern w:val="2"/>
          <w:sz w:val="28"/>
          <w:szCs w:val="28"/>
        </w:rPr>
        <w:t xml:space="preserve">且一直持有至到期時，到期收益率 </w:t>
      </w:r>
      <w:r w:rsidR="00E415A0" w:rsidRPr="001A52C5">
        <w:rPr>
          <w:rFonts w:asciiTheme="minorEastAsia" w:eastAsiaTheme="minorEastAsia" w:hAnsiTheme="minorEastAsia" w:cs="Times New Roman"/>
          <w:b/>
          <w:kern w:val="2"/>
          <w:sz w:val="28"/>
          <w:szCs w:val="28"/>
        </w:rPr>
        <w:t xml:space="preserve">&lt; </w:t>
      </w:r>
      <w:r w:rsidR="00E415A0" w:rsidRPr="001A52C5">
        <w:rPr>
          <w:rFonts w:asciiTheme="minorEastAsia" w:eastAsiaTheme="minorEastAsia" w:hAnsiTheme="minorEastAsia" w:cs="Times New Roman" w:hint="eastAsia"/>
          <w:b/>
          <w:kern w:val="2"/>
          <w:sz w:val="28"/>
          <w:szCs w:val="28"/>
        </w:rPr>
        <w:t xml:space="preserve">當期收益率 </w:t>
      </w:r>
      <w:r w:rsidR="00E415A0" w:rsidRPr="001A52C5">
        <w:rPr>
          <w:rFonts w:asciiTheme="minorEastAsia" w:eastAsiaTheme="minorEastAsia" w:hAnsiTheme="minorEastAsia" w:cs="Times New Roman"/>
          <w:b/>
          <w:kern w:val="2"/>
          <w:sz w:val="28"/>
          <w:szCs w:val="28"/>
        </w:rPr>
        <w:t xml:space="preserve">&lt; </w:t>
      </w:r>
      <w:r w:rsidR="00E415A0" w:rsidRPr="001A52C5">
        <w:rPr>
          <w:rFonts w:asciiTheme="minorEastAsia" w:eastAsiaTheme="minorEastAsia" w:hAnsiTheme="minorEastAsia" w:cs="Times New Roman" w:hint="eastAsia"/>
          <w:b/>
          <w:kern w:val="2"/>
          <w:sz w:val="28"/>
          <w:szCs w:val="28"/>
        </w:rPr>
        <w:t>票面利率</w:t>
      </w:r>
    </w:p>
    <w:p w:rsidR="00ED6C1A" w:rsidRDefault="00CC4231"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kern w:val="2"/>
          <w:sz w:val="28"/>
          <w:szCs w:val="28"/>
        </w:rPr>
        <w:t>(D)</w:t>
      </w:r>
      <w:bookmarkStart w:id="0" w:name="_GoBack"/>
      <w:bookmarkEnd w:id="0"/>
      <w:r w:rsidR="00E415A0" w:rsidRPr="001A52C5">
        <w:rPr>
          <w:rFonts w:asciiTheme="minorEastAsia" w:eastAsiaTheme="minorEastAsia" w:hAnsiTheme="minorEastAsia" w:cs="Times New Roman"/>
          <w:b/>
          <w:kern w:val="2"/>
          <w:sz w:val="28"/>
          <w:szCs w:val="28"/>
        </w:rPr>
        <w:t>若以近似值法計算到期收益率，當買進價格低於面額，具有資本利得時，則到期收益率 &gt; 當期收益率 &gt; 票面利率</w:t>
      </w:r>
    </w:p>
    <w:p w:rsidR="00ED6C1A" w:rsidRDefault="00CC4231" w:rsidP="00EA4488">
      <w:pPr>
        <w:widowControl w:val="0"/>
        <w:jc w:val="both"/>
        <w:rPr>
          <w:rFonts w:asciiTheme="minorEastAsia" w:eastAsiaTheme="minorEastAsia" w:hAnsiTheme="minorEastAsia" w:cs="Times New Roman"/>
          <w:b/>
          <w:color w:val="FF0000"/>
          <w:kern w:val="2"/>
          <w:sz w:val="28"/>
          <w:szCs w:val="28"/>
        </w:rPr>
      </w:pPr>
      <w:r w:rsidRPr="001A52C5">
        <w:rPr>
          <w:rFonts w:asciiTheme="minorEastAsia" w:eastAsiaTheme="minorEastAsia" w:hAnsiTheme="minorEastAsia" w:cs="Times New Roman"/>
          <w:b/>
          <w:kern w:val="2"/>
          <w:sz w:val="28"/>
          <w:szCs w:val="28"/>
        </w:rPr>
        <w:t>(E)</w:t>
      </w:r>
      <w:r w:rsidR="00E415A0" w:rsidRPr="001A52C5">
        <w:rPr>
          <w:rFonts w:asciiTheme="minorEastAsia" w:eastAsiaTheme="minorEastAsia" w:hAnsiTheme="minorEastAsia" w:cs="Times New Roman"/>
          <w:b/>
          <w:kern w:val="2"/>
          <w:sz w:val="28"/>
          <w:szCs w:val="28"/>
        </w:rPr>
        <w:t>利用近似值法計算到期收益率時，分為當期收益率與資本利得 (損失) 率</w:t>
      </w:r>
    </w:p>
    <w:p w:rsidR="00CC4231" w:rsidRPr="001A52C5" w:rsidRDefault="00CC4231" w:rsidP="00EA4488">
      <w:pPr>
        <w:widowControl w:val="0"/>
        <w:jc w:val="both"/>
        <w:rPr>
          <w:rFonts w:asciiTheme="minorEastAsia" w:eastAsiaTheme="minorEastAsia" w:hAnsiTheme="minorEastAsia" w:cs="Times New Roman"/>
          <w:b/>
          <w:kern w:val="2"/>
          <w:sz w:val="28"/>
          <w:szCs w:val="28"/>
        </w:rPr>
      </w:pPr>
      <w:r w:rsidRPr="001A52C5">
        <w:rPr>
          <w:rFonts w:asciiTheme="minorEastAsia" w:eastAsiaTheme="minorEastAsia" w:hAnsiTheme="minorEastAsia" w:cs="Times New Roman"/>
          <w:b/>
          <w:color w:val="FF0000"/>
          <w:kern w:val="2"/>
          <w:sz w:val="28"/>
          <w:szCs w:val="28"/>
        </w:rPr>
        <w:t>(p.93-95</w:t>
      </w:r>
      <w:r w:rsidR="00C22E56">
        <w:rPr>
          <w:rFonts w:asciiTheme="minorEastAsia" w:eastAsiaTheme="minorEastAsia" w:hAnsiTheme="minorEastAsia" w:cs="Times New Roman" w:hint="eastAsia"/>
          <w:b/>
          <w:color w:val="FF0000"/>
          <w:kern w:val="2"/>
          <w:sz w:val="28"/>
          <w:szCs w:val="28"/>
        </w:rPr>
        <w:t>，第4章第一節</w:t>
      </w:r>
      <w:r w:rsidRPr="001A52C5">
        <w:rPr>
          <w:rFonts w:asciiTheme="minorEastAsia" w:eastAsiaTheme="minorEastAsia" w:hAnsiTheme="minorEastAsia" w:cs="Times New Roman"/>
          <w:b/>
          <w:color w:val="FF0000"/>
          <w:kern w:val="2"/>
          <w:sz w:val="28"/>
          <w:szCs w:val="28"/>
        </w:rPr>
        <w:t>)</w:t>
      </w:r>
    </w:p>
    <w:p w:rsidR="00CC4231" w:rsidRPr="0080261B" w:rsidRDefault="00CC4231" w:rsidP="0080261B">
      <w:pPr>
        <w:widowControl w:val="0"/>
        <w:jc w:val="both"/>
        <w:rPr>
          <w:rFonts w:ascii="Times New Roman" w:eastAsia="標楷體" w:hAnsi="Times New Roman" w:cs="Times New Roman"/>
          <w:kern w:val="2"/>
          <w:szCs w:val="22"/>
        </w:rPr>
      </w:pPr>
    </w:p>
    <w:p w:rsidR="00FE15AE" w:rsidRDefault="00FE15AE" w:rsidP="0080261B">
      <w:pPr>
        <w:widowControl w:val="0"/>
        <w:jc w:val="both"/>
        <w:rPr>
          <w:rFonts w:ascii="Times New Roman" w:eastAsia="標楷體" w:hAnsi="Times New Roman" w:cs="Times New Roman"/>
          <w:kern w:val="2"/>
          <w:szCs w:val="22"/>
        </w:rPr>
      </w:pPr>
    </w:p>
    <w:p w:rsidR="00611B5C" w:rsidRPr="004A6F6D" w:rsidRDefault="00611B5C" w:rsidP="00611B5C">
      <w:pPr>
        <w:widowControl w:val="0"/>
        <w:spacing w:line="360" w:lineRule="auto"/>
        <w:jc w:val="both"/>
        <w:rPr>
          <w:rFonts w:ascii="Times New Roman" w:eastAsia="標楷體" w:hAnsi="Times New Roman" w:cs="Times New Roman"/>
          <w:kern w:val="2"/>
          <w:sz w:val="28"/>
          <w:szCs w:val="28"/>
        </w:rPr>
      </w:pPr>
    </w:p>
    <w:sectPr w:rsidR="00611B5C" w:rsidRPr="004A6F6D" w:rsidSect="00B71EF4">
      <w:pgSz w:w="16838" w:h="11906" w:orient="landscape"/>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EF4" w:rsidRDefault="00B71EF4" w:rsidP="00B71EF4">
      <w:r>
        <w:separator/>
      </w:r>
    </w:p>
  </w:endnote>
  <w:endnote w:type="continuationSeparator" w:id="0">
    <w:p w:rsidR="00B71EF4" w:rsidRDefault="00B71EF4" w:rsidP="00B7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EF4" w:rsidRDefault="00B71EF4" w:rsidP="00B71EF4">
      <w:r>
        <w:separator/>
      </w:r>
    </w:p>
  </w:footnote>
  <w:footnote w:type="continuationSeparator" w:id="0">
    <w:p w:rsidR="00B71EF4" w:rsidRDefault="00B71EF4" w:rsidP="00B71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3A18"/>
    <w:multiLevelType w:val="multilevel"/>
    <w:tmpl w:val="E7ECEB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4B9444C"/>
    <w:multiLevelType w:val="multilevel"/>
    <w:tmpl w:val="9BC2D2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7371808"/>
    <w:multiLevelType w:val="multilevel"/>
    <w:tmpl w:val="51744E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B5048C2"/>
    <w:multiLevelType w:val="multilevel"/>
    <w:tmpl w:val="DC566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91A65A4"/>
    <w:multiLevelType w:val="multilevel"/>
    <w:tmpl w:val="1B0CDD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6D06036"/>
    <w:multiLevelType w:val="multilevel"/>
    <w:tmpl w:val="9B8009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F023CF5"/>
    <w:multiLevelType w:val="multilevel"/>
    <w:tmpl w:val="74AA0D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8225B4F"/>
    <w:multiLevelType w:val="multilevel"/>
    <w:tmpl w:val="5F8CD1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F5206B5"/>
    <w:multiLevelType w:val="hybridMultilevel"/>
    <w:tmpl w:val="AB20582C"/>
    <w:lvl w:ilvl="0" w:tplc="22847658">
      <w:start w:val="1"/>
      <w:numFmt w:val="decim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81C5585"/>
    <w:multiLevelType w:val="multilevel"/>
    <w:tmpl w:val="51D6E7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B3022DE"/>
    <w:multiLevelType w:val="multilevel"/>
    <w:tmpl w:val="C90E9B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D1F581F"/>
    <w:multiLevelType w:val="hybridMultilevel"/>
    <w:tmpl w:val="D0ACE87E"/>
    <w:lvl w:ilvl="0" w:tplc="D32A8160">
      <w:start w:val="1"/>
      <w:numFmt w:val="decimal"/>
      <w:lvlText w:val="%1."/>
      <w:lvlJc w:val="left"/>
      <w:pPr>
        <w:ind w:left="480" w:hanging="480"/>
      </w:pPr>
      <w:rPr>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9"/>
  </w:num>
  <w:num w:numId="3">
    <w:abstractNumId w:val="3"/>
  </w:num>
  <w:num w:numId="4">
    <w:abstractNumId w:val="0"/>
  </w:num>
  <w:num w:numId="5">
    <w:abstractNumId w:val="5"/>
  </w:num>
  <w:num w:numId="6">
    <w:abstractNumId w:val="4"/>
  </w:num>
  <w:num w:numId="7">
    <w:abstractNumId w:val="2"/>
  </w:num>
  <w:num w:numId="8">
    <w:abstractNumId w:val="7"/>
  </w:num>
  <w:num w:numId="9">
    <w:abstractNumId w:val="10"/>
  </w:num>
  <w:num w:numId="10">
    <w:abstractNumId w:val="6"/>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F4"/>
    <w:rsid w:val="00147960"/>
    <w:rsid w:val="001646C6"/>
    <w:rsid w:val="001A52C5"/>
    <w:rsid w:val="00287636"/>
    <w:rsid w:val="00327FE6"/>
    <w:rsid w:val="00376BA5"/>
    <w:rsid w:val="004570F4"/>
    <w:rsid w:val="004A6F6D"/>
    <w:rsid w:val="00611B5C"/>
    <w:rsid w:val="006D5170"/>
    <w:rsid w:val="007627F6"/>
    <w:rsid w:val="007C681B"/>
    <w:rsid w:val="007D1342"/>
    <w:rsid w:val="0080261B"/>
    <w:rsid w:val="00865883"/>
    <w:rsid w:val="008750DD"/>
    <w:rsid w:val="008F38EB"/>
    <w:rsid w:val="0092146E"/>
    <w:rsid w:val="00940E0F"/>
    <w:rsid w:val="00A76806"/>
    <w:rsid w:val="00B01733"/>
    <w:rsid w:val="00B71EF4"/>
    <w:rsid w:val="00BD02C0"/>
    <w:rsid w:val="00BE6DDD"/>
    <w:rsid w:val="00C0296A"/>
    <w:rsid w:val="00C22E56"/>
    <w:rsid w:val="00C866B8"/>
    <w:rsid w:val="00CA5619"/>
    <w:rsid w:val="00CC4231"/>
    <w:rsid w:val="00CC527F"/>
    <w:rsid w:val="00E415A0"/>
    <w:rsid w:val="00EA4488"/>
    <w:rsid w:val="00ED6C1A"/>
    <w:rsid w:val="00F10B17"/>
    <w:rsid w:val="00FC11B9"/>
    <w:rsid w:val="00FE15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DA8E863"/>
  <w15:chartTrackingRefBased/>
  <w15:docId w15:val="{CB7F339F-9942-44F7-BAE7-DF1A734A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csstabs">
    <w:name w:val="csstabs"/>
    <w:basedOn w:val="a"/>
    <w:pPr>
      <w:spacing w:before="100" w:beforeAutospacing="1" w:after="100" w:afterAutospacing="1" w:line="384" w:lineRule="atLeast"/>
    </w:pPr>
    <w:rPr>
      <w:rFonts w:ascii="微軟正黑體" w:eastAsia="微軟正黑體" w:hAnsi="微軟正黑體"/>
      <w:b/>
      <w:bCs/>
      <w:color w:val="FFFFFF"/>
    </w:rPr>
  </w:style>
  <w:style w:type="paragraph" w:customStyle="1" w:styleId="csstbbodybg">
    <w:name w:val="csstbbodybg"/>
    <w:basedOn w:val="a"/>
    <w:pPr>
      <w:shd w:val="clear" w:color="auto" w:fill="07AEB0"/>
      <w:spacing w:before="100" w:beforeAutospacing="1" w:after="100" w:afterAutospacing="1"/>
    </w:pPr>
    <w:rPr>
      <w:color w:val="ECECEC"/>
    </w:rPr>
  </w:style>
  <w:style w:type="paragraph" w:customStyle="1" w:styleId="csstbbugie5">
    <w:name w:val="csstbbugie5"/>
    <w:basedOn w:val="a"/>
    <w:pPr>
      <w:shd w:val="clear" w:color="auto" w:fill="07AEB0"/>
      <w:spacing w:before="100" w:beforeAutospacing="1" w:after="100" w:afterAutospacing="1"/>
    </w:pPr>
  </w:style>
  <w:style w:type="paragraph" w:customStyle="1" w:styleId="csstbbtn">
    <w:name w:val="csstbbtn"/>
    <w:basedOn w:val="a"/>
    <w:pPr>
      <w:spacing w:before="100" w:beforeAutospacing="1" w:after="100" w:afterAutospacing="1"/>
    </w:pPr>
  </w:style>
  <w:style w:type="paragraph" w:customStyle="1" w:styleId="csstoolbar">
    <w:name w:val="csstoolbar"/>
    <w:basedOn w:val="a"/>
    <w:pPr>
      <w:shd w:val="clear" w:color="auto" w:fill="07AEB0"/>
      <w:spacing w:before="100" w:beforeAutospacing="1" w:after="100" w:afterAutospacing="1"/>
    </w:pPr>
  </w:style>
  <w:style w:type="paragraph" w:customStyle="1" w:styleId="csstbhead">
    <w:name w:val="csstbhead"/>
    <w:basedOn w:val="a"/>
    <w:pPr>
      <w:shd w:val="clear" w:color="auto" w:fill="FFFFFF"/>
      <w:spacing w:before="100" w:beforeAutospacing="1" w:after="100" w:afterAutospacing="1" w:line="450" w:lineRule="atLeast"/>
    </w:pPr>
    <w:rPr>
      <w:rFonts w:ascii="微軟正黑體" w:eastAsia="微軟正黑體" w:hAnsi="微軟正黑體"/>
      <w:b/>
      <w:bCs/>
      <w:color w:val="000000"/>
      <w:spacing w:val="15"/>
    </w:rPr>
  </w:style>
  <w:style w:type="paragraph" w:customStyle="1" w:styleId="csstbtable">
    <w:name w:val="csstbtable"/>
    <w:basedOn w:val="a"/>
    <w:pPr>
      <w:pBdr>
        <w:top w:val="single" w:sz="2" w:space="0" w:color="FFFFFF"/>
        <w:left w:val="single" w:sz="2" w:space="0" w:color="FFFFFF"/>
        <w:bottom w:val="single" w:sz="2" w:space="0" w:color="FFFFFF"/>
        <w:right w:val="single" w:sz="2" w:space="0" w:color="FFFFFF"/>
      </w:pBdr>
      <w:shd w:val="clear" w:color="auto" w:fill="ECECEC"/>
      <w:spacing w:before="100" w:beforeAutospacing="1" w:after="100" w:afterAutospacing="1"/>
    </w:pPr>
  </w:style>
  <w:style w:type="paragraph" w:customStyle="1" w:styleId="csstbtr">
    <w:name w:val="csstbtr"/>
    <w:basedOn w:val="a"/>
    <w:pPr>
      <w:pBdr>
        <w:left w:val="single" w:sz="2" w:space="6" w:color="CCCCE6"/>
        <w:right w:val="single" w:sz="2" w:space="2" w:color="CCCCE6"/>
      </w:pBdr>
      <w:shd w:val="clear" w:color="auto" w:fill="FFFFFF"/>
      <w:spacing w:before="100" w:beforeAutospacing="1" w:after="100" w:afterAutospacing="1"/>
    </w:pPr>
    <w:rPr>
      <w:color w:val="000000"/>
    </w:rPr>
  </w:style>
  <w:style w:type="paragraph" w:customStyle="1" w:styleId="csstbtd">
    <w:name w:val="csstbtd"/>
    <w:basedOn w:val="a"/>
    <w:pPr>
      <w:pBdr>
        <w:left w:val="single" w:sz="2" w:space="8" w:color="07AEB0"/>
        <w:right w:val="single" w:sz="2" w:space="8" w:color="07AEB0"/>
      </w:pBdr>
      <w:shd w:val="clear" w:color="auto" w:fill="07AEB0"/>
      <w:spacing w:before="100" w:beforeAutospacing="1" w:after="100" w:afterAutospacing="1" w:line="360" w:lineRule="atLeast"/>
    </w:pPr>
    <w:rPr>
      <w:rFonts w:ascii="微軟正黑體" w:eastAsia="微軟正黑體" w:hAnsi="微軟正黑體"/>
      <w:b/>
      <w:bCs/>
      <w:color w:val="000000"/>
      <w:spacing w:val="15"/>
    </w:rPr>
  </w:style>
  <w:style w:type="paragraph" w:customStyle="1" w:styleId="csstbfocus">
    <w:name w:val="csstbfocus"/>
    <w:basedOn w:val="a"/>
    <w:pPr>
      <w:pBdr>
        <w:top w:val="single" w:sz="6" w:space="0" w:color="FFFFFF"/>
        <w:left w:val="single" w:sz="6" w:space="2" w:color="FFFFFF"/>
        <w:bottom w:val="single" w:sz="6" w:space="1" w:color="FFFFFF"/>
        <w:right w:val="single" w:sz="6" w:space="2" w:color="FFFFFF"/>
      </w:pBdr>
      <w:shd w:val="clear" w:color="auto" w:fill="FFFFFF"/>
      <w:spacing w:before="100" w:beforeAutospacing="1" w:after="100" w:afterAutospacing="1" w:line="360" w:lineRule="atLeast"/>
    </w:pPr>
    <w:rPr>
      <w:rFonts w:ascii="微軟正黑體" w:eastAsia="微軟正黑體" w:hAnsi="微軟正黑體"/>
      <w:b/>
      <w:bCs/>
      <w:color w:val="07AEB0"/>
      <w:spacing w:val="15"/>
    </w:rPr>
  </w:style>
  <w:style w:type="paragraph" w:customStyle="1" w:styleId="csstbfocusfromto">
    <w:name w:val="csstbfocusfromto"/>
    <w:basedOn w:val="a"/>
    <w:pPr>
      <w:pBdr>
        <w:top w:val="single" w:sz="6" w:space="0" w:color="FFFFFF"/>
        <w:left w:val="single" w:sz="6" w:space="2" w:color="FFFFFF"/>
        <w:bottom w:val="single" w:sz="6" w:space="1" w:color="FFFFFF"/>
        <w:right w:val="single" w:sz="6" w:space="2" w:color="FFFFFF"/>
      </w:pBdr>
      <w:shd w:val="clear" w:color="auto" w:fill="FFFFFF"/>
      <w:spacing w:before="100" w:beforeAutospacing="1" w:after="100" w:afterAutospacing="1" w:line="480" w:lineRule="atLeast"/>
    </w:pPr>
    <w:rPr>
      <w:rFonts w:ascii="微軟正黑體" w:eastAsia="微軟正黑體" w:hAnsi="微軟正黑體"/>
      <w:b/>
      <w:bCs/>
      <w:color w:val="07AEB0"/>
      <w:spacing w:val="15"/>
    </w:rPr>
  </w:style>
  <w:style w:type="paragraph" w:customStyle="1" w:styleId="csstbblur">
    <w:name w:val="csstbblur"/>
    <w:basedOn w:val="a"/>
    <w:pPr>
      <w:pBdr>
        <w:top w:val="single" w:sz="6" w:space="0" w:color="07AEB0"/>
        <w:left w:val="single" w:sz="6" w:space="2" w:color="07AEB0"/>
        <w:bottom w:val="single" w:sz="6" w:space="1" w:color="07AEB0"/>
        <w:right w:val="single" w:sz="6" w:space="2" w:color="07AEB0"/>
      </w:pBdr>
      <w:shd w:val="clear" w:color="auto" w:fill="07AEB0"/>
      <w:spacing w:line="360" w:lineRule="atLeast"/>
      <w:ind w:left="30" w:right="30"/>
    </w:pPr>
    <w:rPr>
      <w:rFonts w:ascii="微軟正黑體" w:eastAsia="微軟正黑體" w:hAnsi="微軟正黑體"/>
      <w:color w:val="FFFFFF"/>
      <w:spacing w:val="15"/>
    </w:rPr>
  </w:style>
  <w:style w:type="paragraph" w:customStyle="1" w:styleId="csstable">
    <w:name w:val="csstable"/>
    <w:basedOn w:val="a"/>
    <w:pPr>
      <w:pBdr>
        <w:top w:val="single" w:sz="6" w:space="0" w:color="1BCDD1"/>
        <w:left w:val="single" w:sz="6" w:space="0" w:color="1BCDD1"/>
        <w:bottom w:val="single" w:sz="6" w:space="0" w:color="1BCDD1"/>
        <w:right w:val="single" w:sz="6" w:space="0" w:color="1BCDD1"/>
      </w:pBdr>
      <w:shd w:val="clear" w:color="auto" w:fill="DDDDDD"/>
      <w:spacing w:before="100" w:beforeAutospacing="1" w:after="100" w:afterAutospacing="1"/>
    </w:pPr>
  </w:style>
  <w:style w:type="paragraph" w:customStyle="1" w:styleId="csstrhelp">
    <w:name w:val="csstrhelp"/>
    <w:basedOn w:val="a"/>
    <w:pPr>
      <w:shd w:val="clear" w:color="auto" w:fill="C0C0C0"/>
      <w:spacing w:before="100" w:beforeAutospacing="1" w:after="100" w:afterAutospacing="1" w:line="384" w:lineRule="atLeast"/>
    </w:pPr>
    <w:rPr>
      <w:rFonts w:ascii="微軟正黑體" w:eastAsia="微軟正黑體" w:hAnsi="微軟正黑體"/>
      <w:b/>
      <w:bCs/>
      <w:color w:val="FFFFFF"/>
    </w:rPr>
  </w:style>
  <w:style w:type="paragraph" w:customStyle="1" w:styleId="csstrhead">
    <w:name w:val="csstrhead"/>
    <w:basedOn w:val="a"/>
    <w:pPr>
      <w:shd w:val="clear" w:color="auto" w:fill="0DB9BB"/>
      <w:spacing w:before="100" w:beforeAutospacing="1" w:after="100" w:afterAutospacing="1" w:line="384" w:lineRule="atLeast"/>
    </w:pPr>
    <w:rPr>
      <w:rFonts w:ascii="微軟正黑體" w:eastAsia="微軟正黑體" w:hAnsi="微軟正黑體"/>
      <w:color w:val="FFFFFF"/>
    </w:rPr>
  </w:style>
  <w:style w:type="paragraph" w:customStyle="1" w:styleId="csstrevn">
    <w:name w:val="csstrevn"/>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odd">
    <w:name w:val="csstrodd"/>
    <w:basedOn w:val="a"/>
    <w:pPr>
      <w:shd w:val="clear" w:color="auto" w:fill="ECECEC"/>
      <w:spacing w:before="100" w:beforeAutospacing="1" w:after="100" w:afterAutospacing="1" w:line="432" w:lineRule="atLeast"/>
    </w:pPr>
    <w:rPr>
      <w:rFonts w:ascii="微軟正黑體" w:eastAsia="微軟正黑體" w:hAnsi="微軟正黑體"/>
      <w:color w:val="000000"/>
    </w:rPr>
  </w:style>
  <w:style w:type="paragraph" w:customStyle="1" w:styleId="learn-path-stress">
    <w:name w:val="learn-path-stress"/>
    <w:basedOn w:val="a"/>
    <w:pPr>
      <w:shd w:val="clear" w:color="auto" w:fill="FFFF99"/>
      <w:spacing w:before="100" w:beforeAutospacing="1" w:after="100" w:afterAutospacing="1" w:line="552" w:lineRule="atLeast"/>
    </w:pPr>
    <w:rPr>
      <w:b/>
      <w:bCs/>
      <w:sz w:val="31"/>
      <w:szCs w:val="31"/>
    </w:rPr>
  </w:style>
  <w:style w:type="paragraph" w:customStyle="1" w:styleId="cssinput">
    <w:name w:val="cssinput"/>
    <w:basedOn w:val="a"/>
    <w:pPr>
      <w:pBdr>
        <w:top w:val="single" w:sz="6" w:space="0" w:color="DCDCDC"/>
        <w:left w:val="single" w:sz="6" w:space="2" w:color="DCDCDC"/>
        <w:bottom w:val="single" w:sz="6" w:space="0" w:color="DCDCDC"/>
        <w:right w:val="single" w:sz="6" w:space="0" w:color="DCDCDC"/>
      </w:pBdr>
      <w:shd w:val="clear" w:color="auto" w:fill="FFFFFF"/>
      <w:spacing w:before="100" w:beforeAutospacing="1" w:after="100" w:afterAutospacing="1"/>
    </w:pPr>
    <w:rPr>
      <w:rFonts w:ascii="微軟正黑體" w:eastAsia="微軟正黑體" w:hAnsi="微軟正黑體"/>
      <w:color w:val="242424"/>
    </w:rPr>
  </w:style>
  <w:style w:type="paragraph" w:customStyle="1" w:styleId="cssbtn">
    <w:name w:val="cssbtn"/>
    <w:basedOn w:val="a"/>
    <w:pPr>
      <w:pBdr>
        <w:top w:val="single" w:sz="6" w:space="0" w:color="05AAAC"/>
        <w:left w:val="single" w:sz="6" w:space="0" w:color="05AAAC"/>
        <w:bottom w:val="single" w:sz="6" w:space="0" w:color="05AAAC"/>
        <w:right w:val="single" w:sz="6" w:space="0" w:color="05AAAC"/>
      </w:pBdr>
      <w:shd w:val="clear" w:color="auto" w:fill="17CACE"/>
      <w:spacing w:before="100" w:beforeAutospacing="1" w:after="100" w:afterAutospacing="1"/>
    </w:pPr>
    <w:rPr>
      <w:rFonts w:ascii="微軟正黑體" w:eastAsia="微軟正黑體" w:hAnsi="微軟正黑體"/>
      <w:color w:val="FFFFFF"/>
    </w:rPr>
  </w:style>
  <w:style w:type="paragraph" w:customStyle="1" w:styleId="cssbtndisabled">
    <w:name w:val="cssbtn[disabled]"/>
    <w:basedOn w:val="a"/>
    <w:pPr>
      <w:pBdr>
        <w:top w:val="single" w:sz="6" w:space="0" w:color="DCDCDC"/>
        <w:left w:val="single" w:sz="6" w:space="0" w:color="DCDCDC"/>
        <w:bottom w:val="single" w:sz="6" w:space="0" w:color="DCDCDC"/>
        <w:right w:val="single" w:sz="6" w:space="0" w:color="DCDCDC"/>
      </w:pBdr>
      <w:shd w:val="clear" w:color="auto" w:fill="F9F9F9"/>
      <w:spacing w:before="100" w:beforeAutospacing="1" w:after="100" w:afterAutospacing="1"/>
    </w:pPr>
    <w:rPr>
      <w:rFonts w:ascii="微軟正黑體" w:eastAsia="微軟正黑體" w:hAnsi="微軟正黑體"/>
      <w:color w:val="C0C0C0"/>
    </w:rPr>
  </w:style>
  <w:style w:type="paragraph" w:customStyle="1" w:styleId="cssanchor">
    <w:name w:val="cssanchor"/>
    <w:basedOn w:val="a"/>
    <w:pPr>
      <w:spacing w:before="100" w:beforeAutospacing="1" w:after="100" w:afterAutospacing="1" w:line="384" w:lineRule="atLeast"/>
    </w:pPr>
    <w:rPr>
      <w:rFonts w:ascii="微軟正黑體" w:eastAsia="微軟正黑體" w:hAnsi="微軟正黑體"/>
      <w:color w:val="242424"/>
    </w:rPr>
  </w:style>
  <w:style w:type="paragraph" w:customStyle="1" w:styleId="cssul">
    <w:name w:val="cssul"/>
    <w:basedOn w:val="a"/>
    <w:pPr>
      <w:spacing w:before="100" w:beforeAutospacing="1"/>
    </w:pPr>
  </w:style>
  <w:style w:type="paragraph" w:customStyle="1" w:styleId="cssol">
    <w:name w:val="cssol"/>
    <w:basedOn w:val="a"/>
    <w:pPr>
      <w:spacing w:before="100" w:beforeAutospacing="1"/>
      <w:ind w:left="150"/>
    </w:pPr>
  </w:style>
  <w:style w:type="paragraph" w:customStyle="1" w:styleId="csscalebg01">
    <w:name w:val="csscalebg01"/>
    <w:basedOn w:val="a"/>
    <w:pPr>
      <w:shd w:val="clear" w:color="auto" w:fill="ECECEC"/>
      <w:spacing w:before="100" w:beforeAutospacing="1" w:after="100" w:afterAutospacing="1"/>
    </w:pPr>
  </w:style>
  <w:style w:type="paragraph" w:customStyle="1" w:styleId="csscalebg02">
    <w:name w:val="csscalebg02"/>
    <w:basedOn w:val="a"/>
    <w:pPr>
      <w:shd w:val="clear" w:color="auto" w:fill="F5CCF6"/>
      <w:spacing w:before="100" w:beforeAutospacing="1" w:after="100" w:afterAutospacing="1"/>
    </w:pPr>
  </w:style>
  <w:style w:type="paragraph" w:customStyle="1" w:styleId="csscalefont01">
    <w:name w:val="csscalefont01"/>
    <w:basedOn w:val="a"/>
    <w:pPr>
      <w:spacing w:before="100" w:beforeAutospacing="1" w:after="100" w:afterAutospacing="1" w:line="384" w:lineRule="atLeast"/>
    </w:pPr>
    <w:rPr>
      <w:rFonts w:ascii="微軟正黑體" w:eastAsia="微軟正黑體" w:hAnsi="微軟正黑體"/>
      <w:color w:val="FF0000"/>
      <w:spacing w:val="15"/>
    </w:rPr>
  </w:style>
  <w:style w:type="paragraph" w:customStyle="1" w:styleId="csscalefont02">
    <w:name w:val="csscalefont02"/>
    <w:basedOn w:val="a"/>
    <w:pPr>
      <w:spacing w:before="100" w:beforeAutospacing="1" w:after="100" w:afterAutospacing="1" w:line="384" w:lineRule="atLeast"/>
    </w:pPr>
    <w:rPr>
      <w:rFonts w:ascii="微軟正黑體" w:eastAsia="微軟正黑體" w:hAnsi="微軟正黑體"/>
      <w:color w:val="00A930"/>
      <w:spacing w:val="15"/>
    </w:rPr>
  </w:style>
  <w:style w:type="paragraph" w:customStyle="1" w:styleId="csscalefont03">
    <w:name w:val="csscalefont03"/>
    <w:basedOn w:val="a"/>
    <w:pPr>
      <w:spacing w:before="100" w:beforeAutospacing="1" w:after="100" w:afterAutospacing="1" w:line="384" w:lineRule="atLeast"/>
    </w:pPr>
    <w:rPr>
      <w:rFonts w:ascii="微軟正黑體" w:eastAsia="微軟正黑體" w:hAnsi="微軟正黑體"/>
      <w:color w:val="C0C0C0"/>
      <w:spacing w:val="15"/>
    </w:rPr>
  </w:style>
  <w:style w:type="paragraph" w:customStyle="1" w:styleId="csscalefont04">
    <w:name w:val="csscalefont04"/>
    <w:basedOn w:val="a"/>
    <w:pPr>
      <w:shd w:val="clear" w:color="auto" w:fill="E2D19F"/>
      <w:spacing w:before="100" w:beforeAutospacing="1" w:after="100" w:afterAutospacing="1" w:line="384" w:lineRule="atLeast"/>
    </w:pPr>
    <w:rPr>
      <w:rFonts w:ascii="微軟正黑體" w:eastAsia="微軟正黑體" w:hAnsi="微軟正黑體"/>
      <w:color w:val="BC8AD7"/>
      <w:spacing w:val="15"/>
    </w:rPr>
  </w:style>
  <w:style w:type="paragraph" w:customStyle="1" w:styleId="cssfont01">
    <w:name w:val="cssfont01"/>
    <w:basedOn w:val="a"/>
    <w:pPr>
      <w:spacing w:before="100" w:beforeAutospacing="1" w:after="100" w:afterAutospacing="1" w:line="384" w:lineRule="atLeast"/>
    </w:pPr>
    <w:rPr>
      <w:rFonts w:ascii="微軟正黑體" w:eastAsia="微軟正黑體" w:hAnsi="微軟正黑體"/>
      <w:color w:val="008F29"/>
      <w:spacing w:val="15"/>
    </w:rPr>
  </w:style>
  <w:style w:type="paragraph" w:customStyle="1" w:styleId="cssmyhead">
    <w:name w:val="cssmyhead"/>
    <w:basedOn w:val="a"/>
    <w:pPr>
      <w:shd w:val="clear" w:color="auto" w:fill="0DB9BB"/>
      <w:spacing w:before="100" w:beforeAutospacing="1" w:after="100" w:afterAutospacing="1" w:line="384" w:lineRule="atLeast"/>
    </w:pPr>
    <w:rPr>
      <w:rFonts w:ascii="微軟正黑體" w:eastAsia="微軟正黑體" w:hAnsi="微軟正黑體"/>
      <w:b/>
      <w:bCs/>
      <w:color w:val="FFFFFF"/>
      <w:spacing w:val="15"/>
    </w:rPr>
  </w:style>
  <w:style w:type="paragraph" w:customStyle="1" w:styleId="box01">
    <w:name w:val="box01"/>
    <w:basedOn w:val="a"/>
    <w:pPr>
      <w:pBdr>
        <w:top w:val="single" w:sz="6" w:space="0" w:color="1BCDD1"/>
        <w:left w:val="single" w:sz="6" w:space="0" w:color="1BCDD1"/>
        <w:bottom w:val="single" w:sz="6" w:space="0" w:color="1BCDD1"/>
        <w:right w:val="single" w:sz="6" w:space="0" w:color="1BCDD1"/>
      </w:pBdr>
      <w:shd w:val="clear" w:color="auto" w:fill="DDDDDD"/>
      <w:spacing w:before="100" w:beforeAutospacing="1" w:after="100" w:afterAutospacing="1"/>
    </w:pPr>
  </w:style>
  <w:style w:type="paragraph" w:customStyle="1" w:styleId="box02">
    <w:name w:val="box02"/>
    <w:basedOn w:val="a"/>
    <w:pPr>
      <w:pBdr>
        <w:top w:val="single" w:sz="6" w:space="0" w:color="A0B5D3"/>
        <w:left w:val="single" w:sz="6" w:space="0" w:color="A0B5D3"/>
        <w:bottom w:val="single" w:sz="6" w:space="0" w:color="A0B5D3"/>
        <w:right w:val="single" w:sz="6" w:space="0" w:color="A0B5D3"/>
      </w:pBdr>
      <w:shd w:val="clear" w:color="auto" w:fill="FFFFFF"/>
      <w:spacing w:before="100" w:beforeAutospacing="1" w:after="100" w:afterAutospacing="1"/>
    </w:pPr>
    <w:rPr>
      <w:color w:val="000000"/>
    </w:rPr>
  </w:style>
  <w:style w:type="paragraph" w:customStyle="1" w:styleId="box03">
    <w:name w:val="box03"/>
    <w:basedOn w:val="a"/>
    <w:pPr>
      <w:pBdr>
        <w:top w:val="single" w:sz="6" w:space="0" w:color="A0B5D3"/>
        <w:left w:val="single" w:sz="6" w:space="0" w:color="A0B5D3"/>
        <w:bottom w:val="single" w:sz="6" w:space="0" w:color="A0B5D3"/>
        <w:right w:val="single" w:sz="6" w:space="0" w:color="A0B5D3"/>
      </w:pBdr>
      <w:shd w:val="clear" w:color="auto" w:fill="D0D0D0"/>
      <w:spacing w:before="100" w:beforeAutospacing="1" w:after="100" w:afterAutospacing="1"/>
    </w:pPr>
    <w:rPr>
      <w:color w:val="000000"/>
    </w:rPr>
  </w:style>
  <w:style w:type="paragraph" w:customStyle="1" w:styleId="box04">
    <w:name w:val="box04"/>
    <w:basedOn w:val="a"/>
    <w:pPr>
      <w:pBdr>
        <w:top w:val="single" w:sz="6" w:space="0" w:color="7070B8"/>
        <w:left w:val="single" w:sz="6" w:space="0" w:color="7070B8"/>
        <w:right w:val="single" w:sz="6" w:space="0" w:color="7070B8"/>
      </w:pBdr>
      <w:shd w:val="clear" w:color="auto" w:fill="E4E2F3"/>
      <w:spacing w:before="100" w:beforeAutospacing="1" w:after="100" w:afterAutospacing="1"/>
    </w:pPr>
  </w:style>
  <w:style w:type="paragraph" w:customStyle="1" w:styleId="box05">
    <w:name w:val="box05"/>
    <w:basedOn w:val="a"/>
    <w:pPr>
      <w:pBdr>
        <w:left w:val="single" w:sz="6" w:space="0" w:color="7070B8"/>
        <w:bottom w:val="single" w:sz="6" w:space="0" w:color="7070B8"/>
        <w:right w:val="single" w:sz="6" w:space="0" w:color="7070B8"/>
      </w:pBdr>
      <w:shd w:val="clear" w:color="auto" w:fill="E4E2F3"/>
      <w:spacing w:before="100" w:beforeAutospacing="1" w:after="100" w:afterAutospacing="1"/>
    </w:pPr>
  </w:style>
  <w:style w:type="paragraph" w:customStyle="1" w:styleId="box06">
    <w:name w:val="box06"/>
    <w:basedOn w:val="a"/>
    <w:pPr>
      <w:pBdr>
        <w:left w:val="single" w:sz="6" w:space="0" w:color="7070B8"/>
        <w:right w:val="single" w:sz="6" w:space="0" w:color="7070B8"/>
      </w:pBdr>
      <w:shd w:val="clear" w:color="auto" w:fill="E4E2F3"/>
      <w:spacing w:before="100" w:beforeAutospacing="1" w:after="100" w:afterAutospacing="1"/>
    </w:pPr>
  </w:style>
  <w:style w:type="paragraph" w:customStyle="1" w:styleId="bg01">
    <w:name w:val="bg01"/>
    <w:basedOn w:val="a"/>
    <w:pPr>
      <w:shd w:val="clear" w:color="auto" w:fill="E3E9F2"/>
      <w:spacing w:before="100" w:beforeAutospacing="1" w:after="100" w:afterAutospacing="1"/>
    </w:pPr>
  </w:style>
  <w:style w:type="paragraph" w:customStyle="1" w:styleId="bg02">
    <w:name w:val="bg02"/>
    <w:basedOn w:val="a"/>
    <w:pPr>
      <w:shd w:val="clear" w:color="auto" w:fill="0DB9BB"/>
      <w:spacing w:before="100" w:beforeAutospacing="1" w:after="100" w:afterAutospacing="1" w:line="450" w:lineRule="atLeast"/>
    </w:pPr>
    <w:rPr>
      <w:rFonts w:ascii="微軟正黑體" w:eastAsia="微軟正黑體" w:hAnsi="微軟正黑體"/>
      <w:color w:val="FFFFFF"/>
    </w:rPr>
  </w:style>
  <w:style w:type="paragraph" w:customStyle="1" w:styleId="bg03">
    <w:name w:val="bg03"/>
    <w:basedOn w:val="a"/>
    <w:pPr>
      <w:shd w:val="clear" w:color="auto" w:fill="FFFFFF"/>
      <w:spacing w:before="100" w:beforeAutospacing="1" w:after="100" w:afterAutospacing="1" w:line="360" w:lineRule="atLeast"/>
    </w:pPr>
    <w:rPr>
      <w:rFonts w:ascii="微軟正黑體" w:eastAsia="微軟正黑體" w:hAnsi="微軟正黑體"/>
      <w:color w:val="000000"/>
    </w:rPr>
  </w:style>
  <w:style w:type="paragraph" w:customStyle="1" w:styleId="bg04">
    <w:name w:val="bg04"/>
    <w:basedOn w:val="a"/>
    <w:pPr>
      <w:shd w:val="clear" w:color="auto" w:fill="F9F9F9"/>
      <w:spacing w:before="100" w:beforeAutospacing="1" w:after="100" w:afterAutospacing="1" w:line="360" w:lineRule="atLeast"/>
    </w:pPr>
    <w:rPr>
      <w:rFonts w:ascii="微軟正黑體" w:eastAsia="微軟正黑體" w:hAnsi="微軟正黑體"/>
      <w:color w:val="000000"/>
    </w:rPr>
  </w:style>
  <w:style w:type="paragraph" w:customStyle="1" w:styleId="bg05">
    <w:name w:val="bg05"/>
    <w:basedOn w:val="a"/>
    <w:pPr>
      <w:shd w:val="clear" w:color="auto" w:fill="8CAAE6"/>
      <w:spacing w:before="100" w:beforeAutospacing="1" w:after="100" w:afterAutospacing="1"/>
    </w:pPr>
    <w:rPr>
      <w:color w:val="000000"/>
    </w:rPr>
  </w:style>
  <w:style w:type="paragraph" w:customStyle="1" w:styleId="bg06">
    <w:name w:val="bg06"/>
    <w:basedOn w:val="a"/>
    <w:pPr>
      <w:shd w:val="clear" w:color="auto" w:fill="E6E6FA"/>
      <w:spacing w:before="100" w:beforeAutospacing="1" w:after="100" w:afterAutospacing="1"/>
    </w:pPr>
    <w:rPr>
      <w:color w:val="000000"/>
    </w:rPr>
  </w:style>
  <w:style w:type="paragraph" w:customStyle="1" w:styleId="bg07">
    <w:name w:val="bg07"/>
    <w:basedOn w:val="a"/>
    <w:pPr>
      <w:shd w:val="clear" w:color="auto" w:fill="FFA07A"/>
      <w:spacing w:before="100" w:beforeAutospacing="1" w:after="100" w:afterAutospacing="1"/>
    </w:pPr>
    <w:rPr>
      <w:color w:val="000000"/>
    </w:rPr>
  </w:style>
  <w:style w:type="paragraph" w:customStyle="1" w:styleId="bg08">
    <w:name w:val="bg08"/>
    <w:basedOn w:val="a"/>
    <w:pPr>
      <w:shd w:val="clear" w:color="auto" w:fill="E6EEFD"/>
      <w:spacing w:before="100" w:beforeAutospacing="1" w:after="100" w:afterAutospacing="1"/>
    </w:pPr>
  </w:style>
  <w:style w:type="paragraph" w:customStyle="1" w:styleId="font01">
    <w:name w:val="font01"/>
    <w:basedOn w:val="a"/>
    <w:pPr>
      <w:spacing w:before="100" w:beforeAutospacing="1" w:after="100" w:afterAutospacing="1" w:line="384" w:lineRule="atLeast"/>
    </w:pPr>
    <w:rPr>
      <w:rFonts w:ascii="微軟正黑體" w:eastAsia="微軟正黑體" w:hAnsi="微軟正黑體"/>
      <w:color w:val="000000"/>
    </w:rPr>
  </w:style>
  <w:style w:type="paragraph" w:customStyle="1" w:styleId="font02">
    <w:name w:val="font02"/>
    <w:basedOn w:val="a"/>
    <w:pPr>
      <w:spacing w:before="100" w:beforeAutospacing="1" w:after="100" w:afterAutospacing="1" w:line="384" w:lineRule="atLeast"/>
    </w:pPr>
    <w:rPr>
      <w:b/>
      <w:bCs/>
      <w:color w:val="000000"/>
      <w:spacing w:val="30"/>
    </w:rPr>
  </w:style>
  <w:style w:type="paragraph" w:customStyle="1" w:styleId="font03">
    <w:name w:val="font03"/>
    <w:basedOn w:val="a"/>
    <w:pPr>
      <w:spacing w:before="100" w:beforeAutospacing="1" w:after="100" w:afterAutospacing="1" w:line="432" w:lineRule="atLeast"/>
    </w:pPr>
    <w:rPr>
      <w:rFonts w:ascii="Tahoma" w:hAnsi="Tahoma" w:cs="Tahoma"/>
      <w:b/>
      <w:bCs/>
      <w:color w:val="000000"/>
      <w:spacing w:val="15"/>
      <w:sz w:val="29"/>
      <w:szCs w:val="29"/>
    </w:rPr>
  </w:style>
  <w:style w:type="paragraph" w:customStyle="1" w:styleId="font04">
    <w:name w:val="font04"/>
    <w:basedOn w:val="a"/>
    <w:pPr>
      <w:spacing w:before="100" w:beforeAutospacing="1" w:after="100" w:afterAutospacing="1" w:line="384" w:lineRule="atLeast"/>
    </w:pPr>
    <w:rPr>
      <w:color w:val="FF0000"/>
      <w:spacing w:val="30"/>
    </w:rPr>
  </w:style>
  <w:style w:type="paragraph" w:customStyle="1" w:styleId="font05">
    <w:name w:val="font05"/>
    <w:basedOn w:val="a"/>
    <w:pPr>
      <w:spacing w:before="100" w:beforeAutospacing="1" w:after="100" w:afterAutospacing="1" w:line="432" w:lineRule="atLeast"/>
    </w:pPr>
    <w:rPr>
      <w:rFonts w:ascii="Tahoma" w:hAnsi="Tahoma" w:cs="Tahoma"/>
      <w:color w:val="003366"/>
      <w:spacing w:val="15"/>
      <w:sz w:val="29"/>
      <w:szCs w:val="29"/>
    </w:rPr>
  </w:style>
  <w:style w:type="paragraph" w:customStyle="1" w:styleId="font06">
    <w:name w:val="font06"/>
    <w:basedOn w:val="a"/>
    <w:pPr>
      <w:spacing w:before="100" w:beforeAutospacing="1" w:after="100" w:afterAutospacing="1"/>
    </w:pPr>
    <w:rPr>
      <w:color w:val="7878AA"/>
      <w:spacing w:val="15"/>
    </w:rPr>
  </w:style>
  <w:style w:type="paragraph" w:customStyle="1" w:styleId="linkfnt01">
    <w:name w:val="link_fnt01"/>
    <w:basedOn w:val="a"/>
    <w:pPr>
      <w:spacing w:before="100" w:beforeAutospacing="1" w:after="100" w:afterAutospacing="1" w:line="384" w:lineRule="atLeast"/>
    </w:pPr>
    <w:rPr>
      <w:rFonts w:ascii="Tahoma" w:hAnsi="Tahoma" w:cs="Tahoma"/>
      <w:color w:val="006699"/>
      <w:spacing w:val="15"/>
    </w:rPr>
  </w:style>
  <w:style w:type="paragraph" w:customStyle="1" w:styleId="color01">
    <w:name w:val="color01"/>
    <w:basedOn w:val="a"/>
    <w:pPr>
      <w:spacing w:before="100" w:beforeAutospacing="1" w:after="100" w:afterAutospacing="1"/>
    </w:pPr>
    <w:rPr>
      <w:color w:val="FF0000"/>
    </w:rPr>
  </w:style>
  <w:style w:type="paragraph" w:customStyle="1" w:styleId="color02">
    <w:name w:val="color02"/>
    <w:basedOn w:val="a"/>
    <w:pPr>
      <w:spacing w:before="100" w:beforeAutospacing="1" w:after="100" w:afterAutospacing="1"/>
    </w:pPr>
    <w:rPr>
      <w:color w:val="008000"/>
    </w:rPr>
  </w:style>
  <w:style w:type="paragraph" w:customStyle="1" w:styleId="color03">
    <w:name w:val="color03"/>
    <w:basedOn w:val="a"/>
    <w:pPr>
      <w:spacing w:before="100" w:beforeAutospacing="1" w:after="100" w:afterAutospacing="1"/>
    </w:pPr>
    <w:rPr>
      <w:color w:val="0000FF"/>
    </w:rPr>
  </w:style>
  <w:style w:type="paragraph" w:customStyle="1" w:styleId="color04">
    <w:name w:val="color04"/>
    <w:basedOn w:val="a"/>
    <w:pPr>
      <w:spacing w:before="100" w:beforeAutospacing="1" w:after="100" w:afterAutospacing="1"/>
    </w:pPr>
    <w:rPr>
      <w:color w:val="000000"/>
    </w:rPr>
  </w:style>
  <w:style w:type="paragraph" w:customStyle="1" w:styleId="button01">
    <w:name w:val="button01"/>
    <w:basedOn w:val="a"/>
    <w:pPr>
      <w:pBdr>
        <w:top w:val="single" w:sz="6" w:space="0" w:color="05AAAC"/>
        <w:left w:val="single" w:sz="6" w:space="0" w:color="05AAAC"/>
        <w:bottom w:val="single" w:sz="6" w:space="0" w:color="05AAAC"/>
        <w:right w:val="single" w:sz="6" w:space="0" w:color="05AAAC"/>
      </w:pBdr>
      <w:shd w:val="clear" w:color="auto" w:fill="17CACE"/>
      <w:spacing w:before="100" w:beforeAutospacing="1" w:after="100" w:afterAutospacing="1"/>
    </w:pPr>
    <w:rPr>
      <w:rFonts w:ascii="微軟正黑體" w:eastAsia="微軟正黑體" w:hAnsi="微軟正黑體"/>
      <w:color w:val="FFFFFF"/>
    </w:rPr>
  </w:style>
  <w:style w:type="paragraph" w:customStyle="1" w:styleId="button01disabled">
    <w:name w:val="button01[disabled]"/>
    <w:basedOn w:val="a"/>
    <w:pPr>
      <w:pBdr>
        <w:top w:val="single" w:sz="6" w:space="0" w:color="DCDCDC"/>
        <w:left w:val="single" w:sz="6" w:space="0" w:color="DCDCDC"/>
        <w:bottom w:val="single" w:sz="6" w:space="0" w:color="DCDCDC"/>
        <w:right w:val="single" w:sz="6" w:space="0" w:color="DCDCDC"/>
      </w:pBdr>
      <w:shd w:val="clear" w:color="auto" w:fill="F9F9F9"/>
      <w:spacing w:before="100" w:beforeAutospacing="1" w:after="100" w:afterAutospacing="1"/>
    </w:pPr>
    <w:rPr>
      <w:rFonts w:ascii="微軟正黑體" w:eastAsia="微軟正黑體" w:hAnsi="微軟正黑體"/>
      <w:color w:val="C0C0C0"/>
    </w:rPr>
  </w:style>
  <w:style w:type="paragraph" w:customStyle="1" w:styleId="node-lcms">
    <w:name w:val="node-lcms"/>
    <w:basedOn w:val="a"/>
    <w:pPr>
      <w:spacing w:before="100" w:beforeAutospacing="1" w:after="100" w:afterAutospacing="1"/>
      <w:ind w:left="120"/>
    </w:pPr>
  </w:style>
  <w:style w:type="paragraph" w:customStyle="1" w:styleId="cketop">
    <w:name w:val="cke_top"/>
    <w:basedOn w:val="a"/>
    <w:pPr>
      <w:spacing w:before="100" w:beforeAutospacing="1" w:after="100" w:afterAutospacing="1"/>
    </w:pPr>
  </w:style>
  <w:style w:type="paragraph" w:customStyle="1" w:styleId="ckecontents">
    <w:name w:val="cke_contents"/>
    <w:basedOn w:val="a"/>
    <w:pPr>
      <w:spacing w:before="100" w:beforeAutospacing="1" w:after="100" w:afterAutospacing="1"/>
    </w:pPr>
  </w:style>
  <w:style w:type="paragraph" w:customStyle="1" w:styleId="ckebottom">
    <w:name w:val="cke_bottom"/>
    <w:basedOn w:val="a"/>
    <w:pPr>
      <w:spacing w:before="100" w:beforeAutospacing="1" w:after="100" w:afterAutospacing="1"/>
    </w:pPr>
  </w:style>
  <w:style w:type="paragraph" w:customStyle="1" w:styleId="cssanchor1">
    <w:name w:val="cssanchor1"/>
    <w:basedOn w:val="a"/>
    <w:pPr>
      <w:spacing w:before="100" w:beforeAutospacing="1" w:after="100" w:afterAutospacing="1" w:line="384" w:lineRule="atLeast"/>
    </w:pPr>
    <w:rPr>
      <w:rFonts w:ascii="微軟正黑體" w:eastAsia="微軟正黑體" w:hAnsi="微軟正黑體"/>
      <w:b/>
      <w:bCs/>
      <w:color w:val="FFFFFF"/>
    </w:rPr>
  </w:style>
  <w:style w:type="paragraph" w:customStyle="1" w:styleId="cssanchor2">
    <w:name w:val="cssanchor2"/>
    <w:basedOn w:val="a"/>
    <w:pPr>
      <w:spacing w:before="100" w:beforeAutospacing="1" w:after="100" w:afterAutospacing="1" w:line="384" w:lineRule="atLeast"/>
    </w:pPr>
    <w:rPr>
      <w:rFonts w:ascii="微軟正黑體" w:eastAsia="微軟正黑體" w:hAnsi="微軟正黑體"/>
      <w:b/>
      <w:bCs/>
      <w:color w:val="FFFFFF"/>
      <w:u w:val="single"/>
    </w:rPr>
  </w:style>
  <w:style w:type="paragraph" w:customStyle="1" w:styleId="csstrevn1">
    <w:name w:val="csstrevn1"/>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evn2">
    <w:name w:val="csstrevn2"/>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evn3">
    <w:name w:val="csstrevn3"/>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ketop1">
    <w:name w:val="cke_top1"/>
    <w:basedOn w:val="a"/>
    <w:pPr>
      <w:spacing w:before="100" w:beforeAutospacing="1" w:after="100" w:afterAutospacing="1"/>
    </w:pPr>
  </w:style>
  <w:style w:type="paragraph" w:customStyle="1" w:styleId="ckecontents1">
    <w:name w:val="cke_contents1"/>
    <w:basedOn w:val="a"/>
    <w:pPr>
      <w:spacing w:before="100" w:beforeAutospacing="1" w:after="100" w:afterAutospacing="1"/>
    </w:pPr>
  </w:style>
  <w:style w:type="paragraph" w:customStyle="1" w:styleId="ckebottom1">
    <w:name w:val="cke_bottom1"/>
    <w:basedOn w:val="a"/>
    <w:pPr>
      <w:spacing w:before="100" w:beforeAutospacing="1" w:after="100" w:afterAutospacing="1"/>
    </w:p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表單的頂端 字元"/>
    <w:basedOn w:val="a0"/>
    <w:link w:val="z-"/>
    <w:uiPriority w:val="99"/>
    <w:semiHidden/>
    <w:rPr>
      <w:rFonts w:ascii="Arial" w:eastAsia="新細明體"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表單的底部 字元"/>
    <w:basedOn w:val="a0"/>
    <w:link w:val="z-1"/>
    <w:uiPriority w:val="99"/>
    <w:semiHidden/>
    <w:rPr>
      <w:rFonts w:ascii="Arial" w:eastAsia="新細明體" w:hAnsi="Arial" w:cs="Arial"/>
      <w:vanish/>
      <w:sz w:val="16"/>
      <w:szCs w:val="16"/>
    </w:rPr>
  </w:style>
  <w:style w:type="paragraph" w:styleId="a3">
    <w:name w:val="header"/>
    <w:basedOn w:val="a"/>
    <w:link w:val="a4"/>
    <w:uiPriority w:val="99"/>
    <w:unhideWhenUsed/>
    <w:rsid w:val="00B71EF4"/>
    <w:pPr>
      <w:tabs>
        <w:tab w:val="center" w:pos="4153"/>
        <w:tab w:val="right" w:pos="8306"/>
      </w:tabs>
      <w:snapToGrid w:val="0"/>
    </w:pPr>
    <w:rPr>
      <w:sz w:val="20"/>
      <w:szCs w:val="20"/>
    </w:rPr>
  </w:style>
  <w:style w:type="character" w:customStyle="1" w:styleId="a4">
    <w:name w:val="頁首 字元"/>
    <w:basedOn w:val="a0"/>
    <w:link w:val="a3"/>
    <w:uiPriority w:val="99"/>
    <w:rsid w:val="00B71EF4"/>
    <w:rPr>
      <w:rFonts w:ascii="新細明體" w:eastAsia="新細明體" w:hAnsi="新細明體" w:cs="新細明體"/>
    </w:rPr>
  </w:style>
  <w:style w:type="paragraph" w:styleId="a5">
    <w:name w:val="footer"/>
    <w:basedOn w:val="a"/>
    <w:link w:val="a6"/>
    <w:uiPriority w:val="99"/>
    <w:unhideWhenUsed/>
    <w:rsid w:val="00B71EF4"/>
    <w:pPr>
      <w:tabs>
        <w:tab w:val="center" w:pos="4153"/>
        <w:tab w:val="right" w:pos="8306"/>
      </w:tabs>
      <w:snapToGrid w:val="0"/>
    </w:pPr>
    <w:rPr>
      <w:sz w:val="20"/>
      <w:szCs w:val="20"/>
    </w:rPr>
  </w:style>
  <w:style w:type="character" w:customStyle="1" w:styleId="a6">
    <w:name w:val="頁尾 字元"/>
    <w:basedOn w:val="a0"/>
    <w:link w:val="a5"/>
    <w:uiPriority w:val="99"/>
    <w:rsid w:val="00B71EF4"/>
    <w:rPr>
      <w:rFonts w:ascii="新細明體" w:eastAsia="新細明體" w:hAnsi="新細明體" w:cs="新細明體"/>
    </w:rPr>
  </w:style>
  <w:style w:type="paragraph" w:styleId="a7">
    <w:name w:val="List Paragraph"/>
    <w:basedOn w:val="a"/>
    <w:uiPriority w:val="34"/>
    <w:qFormat/>
    <w:rsid w:val="00CC423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wmf"/><Relationship Id="rId18"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1.gif"/><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3.xml"/><Relationship Id="rId10" Type="http://schemas.openxmlformats.org/officeDocument/2006/relationships/control" Target="activeX/activeX1.xm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4.xml"/><Relationship Id="rId22"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1111</Words>
  <Characters>734</Characters>
  <Application>Microsoft Office Word</Application>
  <DocSecurity>0</DocSecurity>
  <Lines>6</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2025-07-27T06:12:00Z</dcterms:created>
  <dcterms:modified xsi:type="dcterms:W3CDTF">2025-08-02T03:03:00Z</dcterms:modified>
</cp:coreProperties>
</file>