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6F6F6"/>
  <w:body>
    <w:tbl>
      <w:tblPr>
        <w:tblW w:w="14250" w:type="dxa"/>
        <w:tblCellSpacing w:w="0" w:type="dxa"/>
        <w:tblCellMar>
          <w:left w:w="0" w:type="dxa"/>
          <w:right w:w="0" w:type="dxa"/>
        </w:tblCellMar>
        <w:tblLook w:val="04A0" w:firstRow="1" w:lastRow="0" w:firstColumn="1" w:lastColumn="0" w:noHBand="0" w:noVBand="1"/>
      </w:tblPr>
      <w:tblGrid>
        <w:gridCol w:w="14250"/>
      </w:tblGrid>
      <w:tr w:rsidR="0002142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90"/>
              <w:gridCol w:w="960"/>
              <w:gridCol w:w="420"/>
              <w:gridCol w:w="12480"/>
            </w:tblGrid>
            <w:tr w:rsidR="00021427">
              <w:trPr>
                <w:tblCellSpacing w:w="0" w:type="dxa"/>
              </w:trPr>
              <w:tc>
                <w:tcPr>
                  <w:tcW w:w="0" w:type="auto"/>
                  <w:vAlign w:val="center"/>
                  <w:hideMark/>
                </w:tcPr>
                <w:p w:rsidR="00021427" w:rsidRDefault="00943E1D">
                  <w:r>
                    <w:rPr>
                      <w:noProof/>
                    </w:rPr>
                    <w:drawing>
                      <wp:inline distT="0" distB="0" distL="0" distR="0">
                        <wp:extent cx="238125" cy="285750"/>
                        <wp:effectExtent l="0" t="0" r="9525" b="0"/>
                        <wp:docPr id="1" name="ImgL1" descr="title_on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1" descr="title_on_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p>
              </w:tc>
              <w:tc>
                <w:tcPr>
                  <w:tcW w:w="0" w:type="auto"/>
                  <w:noWrap/>
                  <w:tcMar>
                    <w:top w:w="0" w:type="dxa"/>
                    <w:left w:w="0" w:type="dxa"/>
                    <w:bottom w:w="60" w:type="dxa"/>
                    <w:right w:w="0" w:type="dxa"/>
                  </w:tcMar>
                  <w:vAlign w:val="bottom"/>
                  <w:hideMark/>
                </w:tcPr>
                <w:p w:rsidR="00021427" w:rsidRDefault="00943E1D">
                  <w:pPr>
                    <w:spacing w:line="384" w:lineRule="atLeast"/>
                    <w:jc w:val="center"/>
                    <w:rPr>
                      <w:rFonts w:ascii="微軟正黑體" w:eastAsia="微軟正黑體" w:hAnsi="微軟正黑體"/>
                      <w:b/>
                      <w:bCs/>
                      <w:color w:val="FFFFFF"/>
                    </w:rPr>
                  </w:pPr>
                  <w:r>
                    <w:rPr>
                      <w:rFonts w:ascii="微軟正黑體" w:eastAsia="微軟正黑體" w:hAnsi="微軟正黑體" w:hint="eastAsia"/>
                      <w:b/>
                      <w:bCs/>
                      <w:color w:val="FFFFFF"/>
                    </w:rPr>
                    <w:t xml:space="preserve">試卷內容 </w:t>
                  </w:r>
                </w:p>
              </w:tc>
              <w:tc>
                <w:tcPr>
                  <w:tcW w:w="0" w:type="auto"/>
                  <w:vAlign w:val="center"/>
                  <w:hideMark/>
                </w:tcPr>
                <w:p w:rsidR="00021427" w:rsidRDefault="00943E1D">
                  <w:r>
                    <w:rPr>
                      <w:noProof/>
                    </w:rPr>
                    <w:drawing>
                      <wp:inline distT="0" distB="0" distL="0" distR="0">
                        <wp:extent cx="266700" cy="285750"/>
                        <wp:effectExtent l="0" t="0" r="0" b="0"/>
                        <wp:docPr id="2" name="ImgR1" descr="title_on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1" descr="title_on_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5000" w:type="pct"/>
                  <w:vAlign w:val="center"/>
                  <w:hideMark/>
                </w:tcPr>
                <w:p w:rsidR="00021427" w:rsidRDefault="00943E1D">
                  <w:r>
                    <w:t xml:space="preserve">  </w:t>
                  </w:r>
                </w:p>
              </w:tc>
            </w:tr>
          </w:tbl>
          <w:p w:rsidR="00021427" w:rsidRDefault="00021427"/>
        </w:tc>
      </w:tr>
      <w:tr w:rsidR="00021427">
        <w:trPr>
          <w:tblCellSpacing w:w="0" w:type="dxa"/>
          <w:hidden/>
        </w:trPr>
        <w:tc>
          <w:tcPr>
            <w:tcW w:w="0" w:type="auto"/>
            <w:shd w:val="clear" w:color="auto" w:fill="E3E9F2"/>
            <w:hideMark/>
          </w:tcPr>
          <w:p w:rsidR="00021427" w:rsidRDefault="00943E1D">
            <w:pPr>
              <w:pStyle w:val="z-"/>
            </w:pPr>
            <w:r>
              <w:rPr>
                <w:rFonts w:hint="eastAsia"/>
              </w:rPr>
              <w:t>表單的頂端</w:t>
            </w:r>
          </w:p>
          <w:p w:rsidR="00021427" w:rsidRDefault="00943E1D">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in;height:17.75pt" o:ole="">
                  <v:imagedata r:id="rId9" o:title=""/>
                </v:shape>
                <w:control r:id="rId10" w:name="DefaultOcxName" w:shapeid="_x0000_i1052"/>
              </w:object>
            </w:r>
            <w:r>
              <w:object w:dxaOrig="225" w:dyaOrig="225">
                <v:shape id="_x0000_i1055" type="#_x0000_t75" style="width:1in;height:17.75pt" o:ole="">
                  <v:imagedata r:id="rId9" o:title=""/>
                </v:shape>
                <w:control r:id="rId11" w:name="DefaultOcxName1" w:shapeid="_x0000_i1055"/>
              </w:object>
            </w:r>
            <w:r>
              <w:object w:dxaOrig="225" w:dyaOrig="225">
                <v:shape id="_x0000_i1058" type="#_x0000_t75" style="width:1in;height:17.75pt" o:ole="">
                  <v:imagedata r:id="rId9" o:title=""/>
                </v:shape>
                <w:control r:id="rId12" w:name="DefaultOcxName2" w:shapeid="_x0000_i1058"/>
              </w:object>
            </w:r>
          </w:p>
          <w:tbl>
            <w:tblPr>
              <w:tblW w:w="5000" w:type="pct"/>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4234"/>
            </w:tblGrid>
            <w:tr w:rsidR="00021427">
              <w:trPr>
                <w:tblCellSpacing w:w="7" w:type="dxa"/>
              </w:trPr>
              <w:tc>
                <w:tcPr>
                  <w:tcW w:w="0" w:type="auto"/>
                  <w:shd w:val="clear" w:color="auto" w:fill="C0C0C0"/>
                  <w:vAlign w:val="center"/>
                  <w:hideMark/>
                </w:tcPr>
                <w:p w:rsidR="00021427" w:rsidRDefault="00943E1D">
                  <w:pPr>
                    <w:spacing w:line="384" w:lineRule="atLeast"/>
                    <w:rPr>
                      <w:rFonts w:ascii="微軟正黑體" w:eastAsia="微軟正黑體" w:hAnsi="微軟正黑體"/>
                      <w:color w:val="000000"/>
                    </w:rPr>
                  </w:pPr>
                  <w:r>
                    <w:rPr>
                      <w:rFonts w:ascii="微軟正黑體" w:eastAsia="微軟正黑體" w:hAnsi="微軟正黑體" w:hint="eastAsia"/>
                      <w:color w:val="000000"/>
                    </w:rPr>
                    <w:t>單選題</w:t>
                  </w:r>
                </w:p>
              </w:tc>
            </w:tr>
            <w:tr w:rsidR="00021427">
              <w:trPr>
                <w:tblCellSpacing w:w="7" w:type="dxa"/>
              </w:trPr>
              <w:tc>
                <w:tcPr>
                  <w:tcW w:w="0" w:type="auto"/>
                  <w:shd w:val="clear" w:color="auto" w:fill="DDDDDD"/>
                  <w:vAlign w:val="center"/>
                  <w:hideMark/>
                </w:tcPr>
                <w:tbl>
                  <w:tblPr>
                    <w:tblW w:w="5000" w:type="pct"/>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505"/>
                    <w:gridCol w:w="176"/>
                    <w:gridCol w:w="4206"/>
                    <w:gridCol w:w="8183"/>
                  </w:tblGrid>
                  <w:tr w:rsidR="00021427">
                    <w:trPr>
                      <w:tblCellSpacing w:w="7" w:type="dxa"/>
                    </w:trPr>
                    <w:tc>
                      <w:tcPr>
                        <w:tcW w:w="0" w:type="auto"/>
                        <w:shd w:val="clear" w:color="auto" w:fill="FFFFFF"/>
                        <w:noWrap/>
                        <w:hideMark/>
                      </w:tcPr>
                      <w:p w:rsidR="00021427" w:rsidRDefault="00943E1D">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FFFFF"/>
                        <w:noWrap/>
                        <w:hideMark/>
                      </w:tcPr>
                      <w:p w:rsidR="00021427" w:rsidRDefault="00943E1D">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FFFFF"/>
                        <w:vAlign w:val="center"/>
                        <w:hideMark/>
                      </w:tcPr>
                      <w:p w:rsidR="00021427" w:rsidRDefault="00943E1D">
                        <w:pPr>
                          <w:spacing w:line="360" w:lineRule="atLeast"/>
                          <w:rPr>
                            <w:rFonts w:ascii="微軟正黑體" w:eastAsia="微軟正黑體" w:hAnsi="微軟正黑體"/>
                            <w:color w:val="000000"/>
                          </w:rPr>
                        </w:pPr>
                        <w:r>
                          <w:rPr>
                            <w:rFonts w:ascii="微軟正黑體" w:eastAsia="微軟正黑體" w:hAnsi="微軟正黑體" w:hint="eastAsia"/>
                            <w:color w:val="000000"/>
                          </w:rPr>
                          <w:t xml:space="preserve">1. 美國聯邦政府核准設立的國家銀行，與州政府核准的州立銀行並存的銀行制度，稱為： </w:t>
                        </w:r>
                      </w:p>
                      <w:p w:rsidR="00021427" w:rsidRDefault="00943E1D">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61" type="#_x0000_t75" style="width:20.55pt;height:19.65pt" o:ole="">
                              <v:imagedata r:id="rId13" o:title=""/>
                            </v:shape>
                            <w:control r:id="rId14" w:name="DefaultOcxName3" w:shapeid="_x0000_i1061"/>
                          </w:object>
                        </w:r>
                        <w:r>
                          <w:rPr>
                            <w:rFonts w:ascii="微軟正黑體" w:eastAsia="微軟正黑體" w:hAnsi="微軟正黑體" w:hint="eastAsia"/>
                            <w:color w:val="000000"/>
                          </w:rPr>
                          <w:t>單一銀行制度</w:t>
                        </w:r>
                      </w:p>
                      <w:p w:rsidR="00021427" w:rsidRDefault="00943E1D">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64" type="#_x0000_t75" style="width:20.55pt;height:19.65pt" o:ole="">
                              <v:imagedata r:id="rId13" o:title=""/>
                            </v:shape>
                            <w:control r:id="rId15" w:name="DefaultOcxName4" w:shapeid="_x0000_i1064"/>
                          </w:object>
                        </w:r>
                        <w:r>
                          <w:rPr>
                            <w:rFonts w:ascii="微軟正黑體" w:eastAsia="微軟正黑體" w:hAnsi="微軟正黑體" w:hint="eastAsia"/>
                            <w:color w:val="000000"/>
                          </w:rPr>
                          <w:t>分支銀行制度</w:t>
                        </w:r>
                      </w:p>
                      <w:p w:rsidR="00021427" w:rsidRDefault="00943E1D">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v:shape id="_x0000_i1067" type="#_x0000_t75" style="width:20.55pt;height:19.65pt" o:ole="">
                              <v:imagedata r:id="rId13" o:title=""/>
                            </v:shape>
                            <w:control r:id="rId16" w:name="DefaultOcxName5" w:shapeid="_x0000_i1067"/>
                          </w:object>
                        </w:r>
                        <w:r>
                          <w:rPr>
                            <w:rFonts w:ascii="微軟正黑體" w:eastAsia="微軟正黑體" w:hAnsi="微軟正黑體" w:hint="eastAsia"/>
                            <w:color w:val="000000"/>
                          </w:rPr>
                          <w:t>雙軌銀行制度</w:t>
                        </w:r>
                      </w:p>
                      <w:p w:rsidR="00021427" w:rsidRDefault="00943E1D">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0" type="#_x0000_t75" style="width:20.55pt;height:19.65pt" o:ole="">
                              <v:imagedata r:id="rId13" o:title=""/>
                            </v:shape>
                            <w:control r:id="rId17" w:name="DefaultOcxName6" w:shapeid="_x0000_i1070"/>
                          </w:object>
                        </w:r>
                        <w:r>
                          <w:rPr>
                            <w:rFonts w:ascii="微軟正黑體" w:eastAsia="微軟正黑體" w:hAnsi="微軟正黑體" w:hint="eastAsia"/>
                            <w:color w:val="000000"/>
                          </w:rPr>
                          <w:t>連鎖銀行制度</w:t>
                        </w:r>
                      </w:p>
                      <w:p w:rsidR="00021427" w:rsidRDefault="00943E1D">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3" type="#_x0000_t75" style="width:20.55pt;height:19.65pt" o:ole="">
                              <v:imagedata r:id="rId13" o:title=""/>
                            </v:shape>
                            <w:control r:id="rId18" w:name="DefaultOcxName7" w:shapeid="_x0000_i1073"/>
                          </w:object>
                        </w:r>
                        <w:r>
                          <w:rPr>
                            <w:rFonts w:ascii="微軟正黑體" w:eastAsia="微軟正黑體" w:hAnsi="微軟正黑體" w:hint="eastAsia"/>
                            <w:color w:val="000000"/>
                          </w:rPr>
                          <w:t>聯邦準備銀行制度</w:t>
                        </w:r>
                      </w:p>
                    </w:tc>
                    <w:tc>
                      <w:tcPr>
                        <w:tcW w:w="0" w:type="auto"/>
                        <w:shd w:val="clear" w:color="auto" w:fill="FFFFFF"/>
                        <w:vAlign w:val="center"/>
                        <w:hideMark/>
                      </w:tcPr>
                      <w:p w:rsidR="00021427" w:rsidRDefault="00943E1D">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在美國，聯邦政府核准營業執照的銀行，稱為國家銀行或聯邦立案銀行。由州政府核准營業執照的銀行，稱為州立銀行。這種國家銀行與州立銀行並存的制度，稱為「雙軌銀行制度」。</w:t>
                        </w:r>
                        <w:r w:rsidR="0019065E">
                          <w:rPr>
                            <w:rFonts w:ascii="微軟正黑體" w:eastAsia="微軟正黑體" w:hAnsi="微軟正黑體" w:hint="eastAsia"/>
                            <w:color w:val="000000"/>
                          </w:rPr>
                          <w:t>(第5章第二節</w:t>
                        </w:r>
                        <w:r w:rsidR="0019065E">
                          <w:rPr>
                            <w:rFonts w:ascii="微軟正黑體" w:eastAsia="微軟正黑體" w:hAnsi="微軟正黑體"/>
                            <w:color w:val="000000"/>
                          </w:rPr>
                          <w:t>)</w:t>
                        </w:r>
                      </w:p>
                    </w:tc>
                  </w:tr>
                  <w:tr w:rsidR="00021427">
                    <w:trPr>
                      <w:tblCellSpacing w:w="7" w:type="dxa"/>
                    </w:trPr>
                    <w:tc>
                      <w:tcPr>
                        <w:tcW w:w="0" w:type="auto"/>
                        <w:shd w:val="clear" w:color="auto" w:fill="F9F9F9"/>
                        <w:noWrap/>
                        <w:hideMark/>
                      </w:tcPr>
                      <w:p w:rsidR="00021427" w:rsidRDefault="00943E1D">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9F9F9"/>
                        <w:noWrap/>
                        <w:hideMark/>
                      </w:tcPr>
                      <w:p w:rsidR="00021427" w:rsidRDefault="00943E1D">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021427" w:rsidRDefault="00F640C0">
                        <w:pPr>
                          <w:spacing w:line="360" w:lineRule="atLeast"/>
                          <w:rPr>
                            <w:rFonts w:ascii="微軟正黑體" w:eastAsia="微軟正黑體" w:hAnsi="微軟正黑體"/>
                            <w:color w:val="000000"/>
                          </w:rPr>
                        </w:pPr>
                        <w:r>
                          <w:rPr>
                            <w:rFonts w:ascii="微軟正黑體" w:eastAsia="微軟正黑體" w:hAnsi="微軟正黑體"/>
                            <w:color w:val="000000"/>
                          </w:rPr>
                          <w:t>2</w:t>
                        </w:r>
                        <w:r w:rsidR="00943E1D">
                          <w:rPr>
                            <w:rFonts w:ascii="微軟正黑體" w:eastAsia="微軟正黑體" w:hAnsi="微軟正黑體" w:hint="eastAsia"/>
                            <w:color w:val="000000"/>
                          </w:rPr>
                          <w:t xml:space="preserve">. 下列何者屬金融整合的「外部因素」？ </w:t>
                        </w:r>
                      </w:p>
                      <w:p w:rsidR="00021427" w:rsidRDefault="00943E1D">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6" type="#_x0000_t75" style="width:20.55pt;height:19.65pt" o:ole="">
                              <v:imagedata r:id="rId13" o:title=""/>
                            </v:shape>
                            <w:control r:id="rId19" w:name="DefaultOcxName28" w:shapeid="_x0000_i1076"/>
                          </w:object>
                        </w:r>
                        <w:r>
                          <w:rPr>
                            <w:rFonts w:ascii="微軟正黑體" w:eastAsia="微軟正黑體" w:hAnsi="微軟正黑體" w:hint="eastAsia"/>
                            <w:color w:val="000000"/>
                          </w:rPr>
                          <w:t>降低成本</w:t>
                        </w:r>
                      </w:p>
                      <w:p w:rsidR="00021427" w:rsidRDefault="00943E1D">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9" type="#_x0000_t75" style="width:20.55pt;height:19.65pt" o:ole="">
                              <v:imagedata r:id="rId13" o:title=""/>
                            </v:shape>
                            <w:control r:id="rId20" w:name="DefaultOcxName29" w:shapeid="_x0000_i1079"/>
                          </w:object>
                        </w:r>
                        <w:r>
                          <w:rPr>
                            <w:rFonts w:ascii="微軟正黑體" w:eastAsia="微軟正黑體" w:hAnsi="微軟正黑體" w:hint="eastAsia"/>
                            <w:color w:val="000000"/>
                          </w:rPr>
                          <w:t>增加營收</w:t>
                        </w:r>
                      </w:p>
                      <w:p w:rsidR="00021427" w:rsidRDefault="00943E1D">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82" type="#_x0000_t75" style="width:20.55pt;height:19.65pt" o:ole="">
                              <v:imagedata r:id="rId13" o:title=""/>
                            </v:shape>
                            <w:control r:id="rId21" w:name="DefaultOcxName30" w:shapeid="_x0000_i1082"/>
                          </w:object>
                        </w:r>
                        <w:r>
                          <w:rPr>
                            <w:rFonts w:ascii="微軟正黑體" w:eastAsia="微軟正黑體" w:hAnsi="微軟正黑體" w:hint="eastAsia"/>
                            <w:color w:val="000000"/>
                          </w:rPr>
                          <w:t>增加市場占有率</w:t>
                        </w:r>
                      </w:p>
                      <w:p w:rsidR="00021427" w:rsidRDefault="00943E1D">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85" type="#_x0000_t75" style="width:20.55pt;height:19.65pt" o:ole="">
                              <v:imagedata r:id="rId13" o:title=""/>
                            </v:shape>
                            <w:control r:id="rId22" w:name="DefaultOcxName31" w:shapeid="_x0000_i1085"/>
                          </w:object>
                        </w:r>
                        <w:r>
                          <w:rPr>
                            <w:rFonts w:ascii="微軟正黑體" w:eastAsia="微軟正黑體" w:hAnsi="微軟正黑體" w:hint="eastAsia"/>
                            <w:color w:val="000000"/>
                          </w:rPr>
                          <w:t>多角化降低風險</w:t>
                        </w:r>
                      </w:p>
                      <w:p w:rsidR="00021427" w:rsidRDefault="00943E1D">
                        <w:pPr>
                          <w:numPr>
                            <w:ilvl w:val="0"/>
                            <w:numId w:val="6"/>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v:shape id="_x0000_i1088" type="#_x0000_t75" style="width:20.55pt;height:19.65pt" o:ole="">
                              <v:imagedata r:id="rId13" o:title=""/>
                            </v:shape>
                            <w:control r:id="rId23" w:name="DefaultOcxName32" w:shapeid="_x0000_i1088"/>
                          </w:object>
                        </w:r>
                        <w:r>
                          <w:rPr>
                            <w:rFonts w:ascii="微軟正黑體" w:eastAsia="微軟正黑體" w:hAnsi="微軟正黑體" w:hint="eastAsia"/>
                            <w:color w:val="000000"/>
                          </w:rPr>
                          <w:t>管制合併法令的解除</w:t>
                        </w:r>
                      </w:p>
                    </w:tc>
                    <w:tc>
                      <w:tcPr>
                        <w:tcW w:w="0" w:type="auto"/>
                        <w:shd w:val="clear" w:color="auto" w:fill="F9F9F9"/>
                        <w:vAlign w:val="center"/>
                        <w:hideMark/>
                      </w:tcPr>
                      <w:p w:rsidR="00021427" w:rsidRDefault="00943E1D">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(A)降低成本、(B)增加營收、(C)增加市場占有率及(D)多角化降低</w:t>
                        </w:r>
                        <w:proofErr w:type="gramStart"/>
                        <w:r>
                          <w:rPr>
                            <w:rFonts w:ascii="微軟正黑體" w:eastAsia="微軟正黑體" w:hAnsi="微軟正黑體" w:hint="eastAsia"/>
                            <w:color w:val="000000"/>
                          </w:rPr>
                          <w:t>風險均是金融</w:t>
                        </w:r>
                        <w:proofErr w:type="gramEnd"/>
                        <w:r>
                          <w:rPr>
                            <w:rFonts w:ascii="微軟正黑體" w:eastAsia="微軟正黑體" w:hAnsi="微軟正黑體" w:hint="eastAsia"/>
                            <w:color w:val="000000"/>
                          </w:rPr>
                          <w:t>整合的「內部因素」，只有(E)管制合併法令的解除為金融整合的「外部因素」。</w:t>
                        </w:r>
                        <w:r w:rsidR="001E3FD5">
                          <w:rPr>
                            <w:rFonts w:ascii="微軟正黑體" w:eastAsia="微軟正黑體" w:hAnsi="微軟正黑體" w:hint="eastAsia"/>
                            <w:color w:val="000000"/>
                          </w:rPr>
                          <w:t>(第5章第五節</w:t>
                        </w:r>
                        <w:r w:rsidR="001E3FD5">
                          <w:rPr>
                            <w:rFonts w:ascii="微軟正黑體" w:eastAsia="微軟正黑體" w:hAnsi="微軟正黑體"/>
                            <w:color w:val="000000"/>
                          </w:rPr>
                          <w:t>)</w:t>
                        </w:r>
                      </w:p>
                    </w:tc>
                  </w:tr>
                </w:tbl>
                <w:p w:rsidR="00021427" w:rsidRDefault="00021427"/>
              </w:tc>
            </w:tr>
            <w:tr w:rsidR="00021427">
              <w:trPr>
                <w:tblCellSpacing w:w="7" w:type="dxa"/>
              </w:trPr>
              <w:tc>
                <w:tcPr>
                  <w:tcW w:w="0" w:type="auto"/>
                  <w:shd w:val="clear" w:color="auto" w:fill="DDDDDD"/>
                  <w:vAlign w:val="center"/>
                  <w:hideMark/>
                </w:tcPr>
                <w:p w:rsidR="00021427" w:rsidRDefault="00021427">
                  <w:pPr>
                    <w:rPr>
                      <w:rFonts w:ascii="Times New Roman" w:eastAsia="Times New Roman" w:hAnsi="Times New Roman" w:cs="Times New Roman"/>
                      <w:sz w:val="20"/>
                      <w:szCs w:val="20"/>
                    </w:rPr>
                  </w:pPr>
                </w:p>
              </w:tc>
            </w:tr>
          </w:tbl>
          <w:p w:rsidR="00021427" w:rsidRDefault="00943E1D">
            <w:pPr>
              <w:pStyle w:val="z-1"/>
            </w:pPr>
            <w:r>
              <w:rPr>
                <w:rFonts w:hint="eastAsia"/>
              </w:rPr>
              <w:t>表單的底部</w:t>
            </w:r>
          </w:p>
          <w:p w:rsidR="00021427" w:rsidRDefault="00021427"/>
        </w:tc>
      </w:tr>
    </w:tbl>
    <w:p w:rsidR="00021427" w:rsidRDefault="00021427"/>
    <w:p w:rsidR="00886BAD" w:rsidRPr="00886BAD" w:rsidRDefault="00F640C0" w:rsidP="00886BAD">
      <w:pPr>
        <w:spacing w:line="360" w:lineRule="auto"/>
        <w:jc w:val="both"/>
        <w:rPr>
          <w:rFonts w:asciiTheme="minorEastAsia" w:eastAsiaTheme="minorEastAsia" w:hAnsiTheme="minorEastAsia" w:cs="Times New Roman" w:hint="eastAsia"/>
          <w:b/>
          <w:sz w:val="28"/>
          <w:szCs w:val="28"/>
        </w:rPr>
      </w:pPr>
      <w:r w:rsidRPr="00886BAD">
        <w:rPr>
          <w:rFonts w:asciiTheme="minorEastAsia" w:eastAsiaTheme="minorEastAsia" w:hAnsiTheme="minorEastAsia" w:cs="Times New Roman"/>
          <w:b/>
          <w:color w:val="FF0000"/>
          <w:sz w:val="28"/>
          <w:szCs w:val="28"/>
        </w:rPr>
        <w:t>3.</w:t>
      </w:r>
      <w:r w:rsidR="000643E9" w:rsidRPr="00886BAD">
        <w:rPr>
          <w:rFonts w:asciiTheme="minorEastAsia" w:eastAsiaTheme="minorEastAsia" w:hAnsiTheme="minorEastAsia" w:cs="Times New Roman"/>
          <w:b/>
          <w:color w:val="FF0000"/>
          <w:sz w:val="28"/>
          <w:szCs w:val="28"/>
        </w:rPr>
        <w:t>(</w:t>
      </w:r>
      <w:r w:rsidR="003B5042">
        <w:rPr>
          <w:rFonts w:asciiTheme="minorEastAsia" w:eastAsiaTheme="minorEastAsia" w:hAnsiTheme="minorEastAsia" w:cs="Times New Roman"/>
          <w:b/>
          <w:color w:val="FF0000"/>
          <w:sz w:val="28"/>
          <w:szCs w:val="28"/>
        </w:rPr>
        <w:t>D</w:t>
      </w:r>
      <w:r w:rsidR="000643E9" w:rsidRPr="00886BAD">
        <w:rPr>
          <w:rFonts w:asciiTheme="minorEastAsia" w:eastAsiaTheme="minorEastAsia" w:hAnsiTheme="minorEastAsia" w:cs="Times New Roman"/>
          <w:b/>
          <w:color w:val="FF0000"/>
          <w:sz w:val="28"/>
          <w:szCs w:val="28"/>
        </w:rPr>
        <w:t>)</w:t>
      </w:r>
      <w:r w:rsidR="000643E9" w:rsidRPr="00886BAD">
        <w:rPr>
          <w:rFonts w:asciiTheme="minorEastAsia" w:eastAsiaTheme="minorEastAsia" w:hAnsiTheme="minorEastAsia" w:cs="Times New Roman"/>
          <w:b/>
          <w:sz w:val="28"/>
          <w:szCs w:val="28"/>
        </w:rPr>
        <w:t>銀行業務綜合化將產生一些問題或缺點，下列敘述何者有誤</w:t>
      </w:r>
      <w:r w:rsidR="00886BAD" w:rsidRPr="00886BAD">
        <w:rPr>
          <w:rFonts w:asciiTheme="minorEastAsia" w:eastAsiaTheme="minorEastAsia" w:hAnsiTheme="minorEastAsia" w:cs="Times New Roman" w:hint="eastAsia"/>
          <w:b/>
          <w:sz w:val="28"/>
          <w:szCs w:val="28"/>
        </w:rPr>
        <w:t>？</w:t>
      </w:r>
    </w:p>
    <w:p w:rsidR="00886BAD" w:rsidRPr="00886BAD" w:rsidRDefault="000643E9" w:rsidP="00886BAD">
      <w:pPr>
        <w:spacing w:line="360" w:lineRule="auto"/>
        <w:jc w:val="both"/>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(A)</w:t>
      </w:r>
      <w:r w:rsidR="003B5042" w:rsidRPr="003B5042">
        <w:rPr>
          <w:rFonts w:asciiTheme="minorEastAsia" w:eastAsiaTheme="minorEastAsia" w:hAnsiTheme="minorEastAsia" w:cs="Times New Roman" w:hint="eastAsia"/>
          <w:b/>
          <w:sz w:val="28"/>
          <w:szCs w:val="28"/>
        </w:rPr>
        <w:t xml:space="preserve"> </w:t>
      </w:r>
      <w:r w:rsidR="003B5042" w:rsidRPr="00886BAD">
        <w:rPr>
          <w:rFonts w:asciiTheme="minorEastAsia" w:eastAsiaTheme="minorEastAsia" w:hAnsiTheme="minorEastAsia" w:cs="Times New Roman" w:hint="eastAsia"/>
          <w:b/>
          <w:sz w:val="28"/>
          <w:szCs w:val="28"/>
        </w:rPr>
        <w:t>銀行兼營證券、保險等業務，</w:t>
      </w:r>
      <w:r w:rsidR="003B5042" w:rsidRPr="00886BAD">
        <w:rPr>
          <w:rFonts w:asciiTheme="minorEastAsia" w:eastAsiaTheme="minorEastAsia" w:hAnsiTheme="minorEastAsia" w:cs="Times New Roman"/>
          <w:b/>
          <w:sz w:val="28"/>
          <w:szCs w:val="28"/>
        </w:rPr>
        <w:t>由於業務不熟悉或市場過度競爭，可能提高經營風險</w:t>
      </w:r>
    </w:p>
    <w:p w:rsidR="00886BAD" w:rsidRPr="00886BAD" w:rsidRDefault="000643E9" w:rsidP="00886BAD">
      <w:pPr>
        <w:spacing w:line="360" w:lineRule="auto"/>
        <w:jc w:val="both"/>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(B)</w:t>
      </w:r>
      <w:r w:rsidRPr="00886BAD">
        <w:rPr>
          <w:rFonts w:asciiTheme="minorEastAsia" w:eastAsiaTheme="minorEastAsia" w:hAnsiTheme="minorEastAsia" w:cs="Times New Roman" w:hint="eastAsia"/>
          <w:b/>
          <w:sz w:val="28"/>
          <w:szCs w:val="28"/>
        </w:rPr>
        <w:t xml:space="preserve">經營多種業務，由於不同業務之風險種類與型態不同，造成內部及外部控制上的困難 </w:t>
      </w:r>
    </w:p>
    <w:p w:rsidR="00886BAD" w:rsidRPr="00886BAD" w:rsidRDefault="000643E9" w:rsidP="00886BAD">
      <w:pPr>
        <w:spacing w:line="360" w:lineRule="auto"/>
        <w:jc w:val="both"/>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(C)</w:t>
      </w:r>
      <w:r w:rsidR="003B5042" w:rsidRPr="00886BAD">
        <w:rPr>
          <w:rFonts w:asciiTheme="minorEastAsia" w:eastAsiaTheme="minorEastAsia" w:hAnsiTheme="minorEastAsia" w:cs="Times New Roman"/>
          <w:b/>
          <w:sz w:val="28"/>
          <w:szCs w:val="28"/>
        </w:rPr>
        <w:t>當發生虧損或經營困難時，將產生骨牌效應，引發金融危機</w:t>
      </w:r>
    </w:p>
    <w:p w:rsidR="00670A3E" w:rsidRDefault="000643E9" w:rsidP="00886BAD">
      <w:pPr>
        <w:spacing w:line="360" w:lineRule="auto"/>
        <w:jc w:val="both"/>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(D)</w:t>
      </w:r>
      <w:r w:rsidR="003B5042" w:rsidRPr="00886BAD">
        <w:rPr>
          <w:rFonts w:asciiTheme="minorEastAsia" w:eastAsiaTheme="minorEastAsia" w:hAnsiTheme="minorEastAsia" w:cs="Times New Roman"/>
          <w:b/>
          <w:sz w:val="28"/>
          <w:szCs w:val="28"/>
        </w:rPr>
        <w:t>不同業務的主管機關可能不同，</w:t>
      </w:r>
      <w:r w:rsidR="003B5042" w:rsidRPr="00886BAD">
        <w:rPr>
          <w:rFonts w:asciiTheme="minorEastAsia" w:eastAsiaTheme="minorEastAsia" w:hAnsiTheme="minorEastAsia" w:cs="Times New Roman" w:hint="eastAsia"/>
          <w:b/>
          <w:sz w:val="28"/>
          <w:szCs w:val="28"/>
        </w:rPr>
        <w:t>將使</w:t>
      </w:r>
      <w:r w:rsidR="003B5042" w:rsidRPr="00886BAD">
        <w:rPr>
          <w:rFonts w:asciiTheme="minorEastAsia" w:eastAsiaTheme="minorEastAsia" w:hAnsiTheme="minorEastAsia" w:cs="Times New Roman"/>
          <w:b/>
          <w:sz w:val="28"/>
          <w:szCs w:val="28"/>
        </w:rPr>
        <w:t>合併監理</w:t>
      </w:r>
      <w:r w:rsidR="003B5042" w:rsidRPr="00886BAD">
        <w:rPr>
          <w:rFonts w:asciiTheme="minorEastAsia" w:eastAsiaTheme="minorEastAsia" w:hAnsiTheme="minorEastAsia" w:cs="Times New Roman" w:hint="eastAsia"/>
          <w:b/>
          <w:sz w:val="28"/>
          <w:szCs w:val="28"/>
        </w:rPr>
        <w:t>得以</w:t>
      </w:r>
      <w:r w:rsidR="003B5042" w:rsidRPr="00886BAD">
        <w:rPr>
          <w:rFonts w:asciiTheme="minorEastAsia" w:eastAsiaTheme="minorEastAsia" w:hAnsiTheme="minorEastAsia" w:cs="Times New Roman"/>
          <w:b/>
          <w:sz w:val="28"/>
          <w:szCs w:val="28"/>
        </w:rPr>
        <w:t>有效執行</w:t>
      </w:r>
    </w:p>
    <w:p w:rsidR="00886BAD" w:rsidRPr="00886BAD" w:rsidRDefault="000643E9" w:rsidP="00886BAD">
      <w:pPr>
        <w:spacing w:line="360" w:lineRule="auto"/>
        <w:jc w:val="both"/>
        <w:rPr>
          <w:rFonts w:asciiTheme="minorEastAsia" w:eastAsiaTheme="minorEastAsia" w:hAnsiTheme="minorEastAsia" w:cs="Times New Roman"/>
          <w:b/>
          <w:color w:val="FF0000"/>
          <w:sz w:val="28"/>
          <w:szCs w:val="28"/>
        </w:rPr>
      </w:pPr>
      <w:r w:rsidRPr="00886BAD">
        <w:rPr>
          <w:rFonts w:asciiTheme="minorEastAsia" w:eastAsiaTheme="minorEastAsia" w:hAnsiTheme="minorEastAsia" w:cs="Times New Roman"/>
          <w:b/>
          <w:sz w:val="28"/>
          <w:szCs w:val="28"/>
        </w:rPr>
        <w:t>(E)</w:t>
      </w:r>
      <w:r w:rsidR="003B5042" w:rsidRPr="00886BAD">
        <w:rPr>
          <w:rFonts w:asciiTheme="minorEastAsia" w:eastAsiaTheme="minorEastAsia" w:hAnsiTheme="minorEastAsia" w:cs="Times New Roman"/>
          <w:b/>
          <w:sz w:val="28"/>
          <w:szCs w:val="28"/>
        </w:rPr>
        <w:t>經濟勢力過於集中，銀行透過購</w:t>
      </w:r>
      <w:proofErr w:type="gramStart"/>
      <w:r w:rsidR="003B5042" w:rsidRPr="00886BAD">
        <w:rPr>
          <w:rFonts w:asciiTheme="minorEastAsia" w:eastAsiaTheme="minorEastAsia" w:hAnsiTheme="minorEastAsia" w:cs="Times New Roman"/>
          <w:b/>
          <w:sz w:val="28"/>
          <w:szCs w:val="28"/>
        </w:rPr>
        <w:t>併</w:t>
      </w:r>
      <w:proofErr w:type="gramEnd"/>
      <w:r w:rsidR="003B5042" w:rsidRPr="00886BAD">
        <w:rPr>
          <w:rFonts w:asciiTheme="minorEastAsia" w:eastAsiaTheme="minorEastAsia" w:hAnsiTheme="minorEastAsia" w:cs="Times New Roman"/>
          <w:b/>
          <w:sz w:val="28"/>
          <w:szCs w:val="28"/>
        </w:rPr>
        <w:t>或聯合的手段，壟斷市場</w:t>
      </w:r>
    </w:p>
    <w:p w:rsidR="000643E9" w:rsidRPr="00886BAD" w:rsidRDefault="000643E9" w:rsidP="00886BAD">
      <w:pPr>
        <w:spacing w:line="360" w:lineRule="auto"/>
        <w:jc w:val="both"/>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color w:val="FF0000"/>
          <w:sz w:val="28"/>
          <w:szCs w:val="28"/>
        </w:rPr>
        <w:t>(p.147-148</w:t>
      </w:r>
      <w:r w:rsidR="00670A3E">
        <w:rPr>
          <w:rFonts w:asciiTheme="minorEastAsia" w:eastAsiaTheme="minorEastAsia" w:hAnsiTheme="minorEastAsia" w:cs="Times New Roman" w:hint="eastAsia"/>
          <w:b/>
          <w:color w:val="FF0000"/>
          <w:sz w:val="28"/>
          <w:szCs w:val="28"/>
        </w:rPr>
        <w:t>，第5章第四節</w:t>
      </w:r>
      <w:r w:rsidRPr="00886BAD">
        <w:rPr>
          <w:rFonts w:asciiTheme="minorEastAsia" w:eastAsiaTheme="minorEastAsia" w:hAnsiTheme="minorEastAsia" w:cs="Times New Roman"/>
          <w:b/>
          <w:color w:val="FF0000"/>
          <w:sz w:val="28"/>
          <w:szCs w:val="28"/>
        </w:rPr>
        <w:t>)</w:t>
      </w:r>
    </w:p>
    <w:p w:rsidR="000643E9" w:rsidRPr="00886BAD" w:rsidRDefault="000643E9" w:rsidP="00886BAD">
      <w:pPr>
        <w:spacing w:line="360" w:lineRule="auto"/>
        <w:rPr>
          <w:rFonts w:asciiTheme="minorEastAsia" w:eastAsiaTheme="minorEastAsia" w:hAnsiTheme="minorEastAsia" w:hint="eastAsia"/>
          <w:b/>
        </w:rPr>
      </w:pPr>
    </w:p>
    <w:p w:rsidR="00886BAD" w:rsidRPr="00886BAD" w:rsidRDefault="00F640C0"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color w:val="FF0000"/>
          <w:sz w:val="28"/>
          <w:szCs w:val="28"/>
        </w:rPr>
        <w:t>4.</w:t>
      </w:r>
      <w:r w:rsidR="000643E9" w:rsidRPr="00886BAD">
        <w:rPr>
          <w:rFonts w:asciiTheme="minorEastAsia" w:eastAsiaTheme="minorEastAsia" w:hAnsiTheme="minorEastAsia" w:cs="Times New Roman"/>
          <w:b/>
          <w:color w:val="FF0000"/>
          <w:sz w:val="28"/>
          <w:szCs w:val="28"/>
        </w:rPr>
        <w:t>(</w:t>
      </w:r>
      <w:r w:rsidR="005E7B49">
        <w:rPr>
          <w:rFonts w:asciiTheme="minorEastAsia" w:eastAsiaTheme="minorEastAsia" w:hAnsiTheme="minorEastAsia" w:cs="Times New Roman"/>
          <w:b/>
          <w:color w:val="FF0000"/>
          <w:sz w:val="28"/>
          <w:szCs w:val="28"/>
        </w:rPr>
        <w:t>C</w:t>
      </w:r>
      <w:r w:rsidR="000643E9" w:rsidRPr="00886BAD">
        <w:rPr>
          <w:rFonts w:asciiTheme="minorEastAsia" w:eastAsiaTheme="minorEastAsia" w:hAnsiTheme="minorEastAsia" w:cs="Times New Roman"/>
          <w:b/>
          <w:color w:val="FF0000"/>
          <w:sz w:val="28"/>
          <w:szCs w:val="28"/>
        </w:rPr>
        <w:t>)</w:t>
      </w:r>
      <w:r w:rsidR="000643E9" w:rsidRPr="00886BAD">
        <w:rPr>
          <w:rFonts w:asciiTheme="minorEastAsia" w:eastAsiaTheme="minorEastAsia" w:hAnsiTheme="minorEastAsia" w:cs="Times New Roman"/>
          <w:b/>
          <w:sz w:val="28"/>
          <w:szCs w:val="28"/>
        </w:rPr>
        <w:t>關於金融整合對整體金融體系的衝擊，下列何者</w:t>
      </w:r>
      <w:r w:rsidR="000643E9" w:rsidRPr="00886BAD">
        <w:rPr>
          <w:rFonts w:asciiTheme="minorEastAsia" w:eastAsiaTheme="minorEastAsia" w:hAnsiTheme="minorEastAsia" w:cs="Times New Roman" w:hint="eastAsia"/>
          <w:b/>
          <w:sz w:val="28"/>
          <w:szCs w:val="28"/>
        </w:rPr>
        <w:t>正確</w:t>
      </w:r>
      <w:r w:rsidR="00886BAD" w:rsidRPr="00886BAD">
        <w:rPr>
          <w:rFonts w:asciiTheme="minorEastAsia" w:eastAsiaTheme="minorEastAsia" w:hAnsiTheme="minorEastAsia" w:cs="Times New Roman" w:hint="eastAsia"/>
          <w:b/>
          <w:sz w:val="28"/>
          <w:szCs w:val="28"/>
        </w:rPr>
        <w:t>？</w:t>
      </w:r>
    </w:p>
    <w:p w:rsidR="00886BAD" w:rsidRPr="00886BAD" w:rsidRDefault="000643E9"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(A)</w:t>
      </w:r>
      <w:bookmarkStart w:id="0" w:name="_GoBack"/>
      <w:bookmarkEnd w:id="0"/>
      <w:r w:rsidR="005E7B49" w:rsidRPr="00886BAD">
        <w:rPr>
          <w:rFonts w:asciiTheme="minorEastAsia" w:eastAsiaTheme="minorEastAsia" w:hAnsiTheme="minorEastAsia" w:cs="Times New Roman"/>
          <w:b/>
          <w:sz w:val="28"/>
          <w:szCs w:val="28"/>
        </w:rPr>
        <w:t>市場集中度</w:t>
      </w:r>
      <w:r w:rsidR="005E7B49" w:rsidRPr="00886BAD">
        <w:rPr>
          <w:rFonts w:asciiTheme="minorEastAsia" w:eastAsiaTheme="minorEastAsia" w:hAnsiTheme="minorEastAsia" w:cs="Times New Roman" w:hint="eastAsia"/>
          <w:b/>
          <w:sz w:val="28"/>
          <w:szCs w:val="28"/>
        </w:rPr>
        <w:t>下降</w:t>
      </w:r>
      <w:r w:rsidR="005E7B49" w:rsidRPr="00886BAD">
        <w:rPr>
          <w:rFonts w:asciiTheme="minorEastAsia" w:eastAsiaTheme="minorEastAsia" w:hAnsiTheme="minorEastAsia" w:cs="Times New Roman"/>
          <w:b/>
          <w:sz w:val="28"/>
          <w:szCs w:val="28"/>
        </w:rPr>
        <w:t>，金融機構提供的服務品質</w:t>
      </w:r>
      <w:r w:rsidR="005E7B49" w:rsidRPr="00886BAD">
        <w:rPr>
          <w:rFonts w:asciiTheme="minorEastAsia" w:eastAsiaTheme="minorEastAsia" w:hAnsiTheme="minorEastAsia" w:cs="Times New Roman" w:hint="eastAsia"/>
          <w:b/>
          <w:sz w:val="28"/>
          <w:szCs w:val="28"/>
        </w:rPr>
        <w:t>提高</w:t>
      </w:r>
      <w:r w:rsidR="005E7B49" w:rsidRPr="00886BAD">
        <w:rPr>
          <w:rFonts w:asciiTheme="minorEastAsia" w:eastAsiaTheme="minorEastAsia" w:hAnsiTheme="minorEastAsia" w:cs="Times New Roman"/>
          <w:b/>
          <w:sz w:val="28"/>
          <w:szCs w:val="28"/>
        </w:rPr>
        <w:t>，對消費者</w:t>
      </w:r>
      <w:r w:rsidR="005E7B49" w:rsidRPr="00886BAD">
        <w:rPr>
          <w:rFonts w:asciiTheme="minorEastAsia" w:eastAsiaTheme="minorEastAsia" w:hAnsiTheme="minorEastAsia" w:cs="Times New Roman" w:hint="eastAsia"/>
          <w:b/>
          <w:sz w:val="28"/>
          <w:szCs w:val="28"/>
        </w:rPr>
        <w:t>有利</w:t>
      </w:r>
    </w:p>
    <w:p w:rsidR="00886BAD" w:rsidRPr="00886BAD" w:rsidRDefault="000643E9"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(B)</w:t>
      </w:r>
      <w:r w:rsidR="005E7B49" w:rsidRPr="00886BAD">
        <w:rPr>
          <w:rFonts w:asciiTheme="minorEastAsia" w:eastAsiaTheme="minorEastAsia" w:hAnsiTheme="minorEastAsia" w:cs="Times New Roman"/>
          <w:b/>
          <w:sz w:val="28"/>
          <w:szCs w:val="28"/>
        </w:rPr>
        <w:t>使市場參與者</w:t>
      </w:r>
      <w:r w:rsidR="005E7B49" w:rsidRPr="00886BAD">
        <w:rPr>
          <w:rFonts w:asciiTheme="minorEastAsia" w:eastAsiaTheme="minorEastAsia" w:hAnsiTheme="minorEastAsia" w:cs="Times New Roman" w:hint="eastAsia"/>
          <w:b/>
          <w:sz w:val="28"/>
          <w:szCs w:val="28"/>
        </w:rPr>
        <w:t>增加</w:t>
      </w:r>
      <w:r w:rsidR="005E7B49" w:rsidRPr="00886BAD">
        <w:rPr>
          <w:rFonts w:asciiTheme="minorEastAsia" w:eastAsiaTheme="minorEastAsia" w:hAnsiTheme="minorEastAsia" w:cs="Times New Roman"/>
          <w:b/>
          <w:sz w:val="28"/>
          <w:szCs w:val="28"/>
        </w:rPr>
        <w:t>，</w:t>
      </w:r>
      <w:r w:rsidR="005E7B49" w:rsidRPr="00886BAD">
        <w:rPr>
          <w:rFonts w:asciiTheme="minorEastAsia" w:eastAsiaTheme="minorEastAsia" w:hAnsiTheme="minorEastAsia" w:cs="Times New Roman" w:hint="eastAsia"/>
          <w:b/>
          <w:sz w:val="28"/>
          <w:szCs w:val="28"/>
        </w:rPr>
        <w:t>提高</w:t>
      </w:r>
      <w:r w:rsidR="005E7B49" w:rsidRPr="00886BAD">
        <w:rPr>
          <w:rFonts w:asciiTheme="minorEastAsia" w:eastAsiaTheme="minorEastAsia" w:hAnsiTheme="minorEastAsia" w:cs="Times New Roman"/>
          <w:b/>
          <w:sz w:val="28"/>
          <w:szCs w:val="28"/>
        </w:rPr>
        <w:t>競爭程度</w:t>
      </w:r>
    </w:p>
    <w:p w:rsidR="00886BAD" w:rsidRPr="00886BAD" w:rsidRDefault="000643E9"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(C)</w:t>
      </w:r>
      <w:r w:rsidR="005E7B49" w:rsidRPr="00886BAD">
        <w:rPr>
          <w:rFonts w:asciiTheme="minorEastAsia" w:eastAsiaTheme="minorEastAsia" w:hAnsiTheme="minorEastAsia" w:cs="Times New Roman"/>
          <w:b/>
          <w:sz w:val="28"/>
          <w:szCs w:val="28"/>
        </w:rPr>
        <w:t>放款給大企業的能力會提升，</w:t>
      </w:r>
      <w:r w:rsidR="005E7B49" w:rsidRPr="00886BAD">
        <w:rPr>
          <w:rFonts w:asciiTheme="minorEastAsia" w:eastAsiaTheme="minorEastAsia" w:hAnsiTheme="minorEastAsia" w:cs="Times New Roman" w:hint="eastAsia"/>
          <w:b/>
          <w:sz w:val="28"/>
          <w:szCs w:val="28"/>
        </w:rPr>
        <w:t>但卻減少或中斷對</w:t>
      </w:r>
      <w:r w:rsidR="005E7B49" w:rsidRPr="00886BAD">
        <w:rPr>
          <w:rFonts w:asciiTheme="minorEastAsia" w:eastAsiaTheme="minorEastAsia" w:hAnsiTheme="minorEastAsia" w:cs="Times New Roman"/>
          <w:b/>
          <w:sz w:val="28"/>
          <w:szCs w:val="28"/>
        </w:rPr>
        <w:t>中小企業的融資</w:t>
      </w:r>
    </w:p>
    <w:p w:rsidR="00886BAD" w:rsidRPr="00886BAD" w:rsidRDefault="000643E9"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(D)</w:t>
      </w:r>
      <w:r w:rsidR="005E7B49" w:rsidRPr="00886BAD">
        <w:rPr>
          <w:rFonts w:asciiTheme="minorEastAsia" w:eastAsiaTheme="minorEastAsia" w:hAnsiTheme="minorEastAsia" w:cs="Times New Roman" w:hint="eastAsia"/>
          <w:b/>
          <w:sz w:val="28"/>
          <w:szCs w:val="28"/>
        </w:rPr>
        <w:t>降低</w:t>
      </w:r>
      <w:r w:rsidR="005E7B49" w:rsidRPr="00886BAD">
        <w:rPr>
          <w:rFonts w:asciiTheme="minorEastAsia" w:eastAsiaTheme="minorEastAsia" w:hAnsiTheme="minorEastAsia" w:cs="Times New Roman"/>
          <w:b/>
          <w:sz w:val="28"/>
          <w:szCs w:val="28"/>
        </w:rPr>
        <w:t>系統性風險</w:t>
      </w:r>
    </w:p>
    <w:p w:rsidR="000643E9" w:rsidRPr="00886BAD" w:rsidRDefault="000643E9" w:rsidP="00886BAD">
      <w:pPr>
        <w:spacing w:line="360" w:lineRule="auto"/>
        <w:rPr>
          <w:rFonts w:asciiTheme="minorEastAsia" w:eastAsiaTheme="minorEastAsia" w:hAnsiTheme="minorEastAsia"/>
          <w:b/>
        </w:rPr>
      </w:pPr>
      <w:r w:rsidRPr="00886BAD">
        <w:rPr>
          <w:rFonts w:asciiTheme="minorEastAsia" w:eastAsiaTheme="minorEastAsia" w:hAnsiTheme="minorEastAsia" w:cs="Times New Roman"/>
          <w:b/>
          <w:color w:val="FF0000"/>
          <w:sz w:val="28"/>
          <w:szCs w:val="28"/>
        </w:rPr>
        <w:t>(p.157</w:t>
      </w:r>
      <w:r w:rsidR="00670A3E">
        <w:rPr>
          <w:rFonts w:asciiTheme="minorEastAsia" w:eastAsiaTheme="minorEastAsia" w:hAnsiTheme="minorEastAsia" w:cs="Times New Roman" w:hint="eastAsia"/>
          <w:b/>
          <w:color w:val="FF0000"/>
          <w:sz w:val="28"/>
          <w:szCs w:val="28"/>
        </w:rPr>
        <w:t>，</w:t>
      </w:r>
      <w:r w:rsidR="00D469B1">
        <w:rPr>
          <w:rFonts w:asciiTheme="minorEastAsia" w:eastAsiaTheme="minorEastAsia" w:hAnsiTheme="minorEastAsia" w:cs="Times New Roman" w:hint="eastAsia"/>
          <w:b/>
          <w:color w:val="FF0000"/>
          <w:sz w:val="28"/>
          <w:szCs w:val="28"/>
        </w:rPr>
        <w:t>第5章第五節</w:t>
      </w:r>
      <w:r w:rsidRPr="00886BAD">
        <w:rPr>
          <w:rFonts w:asciiTheme="minorEastAsia" w:eastAsiaTheme="minorEastAsia" w:hAnsiTheme="minorEastAsia" w:cs="Times New Roman"/>
          <w:b/>
          <w:color w:val="FF0000"/>
          <w:sz w:val="28"/>
          <w:szCs w:val="28"/>
        </w:rPr>
        <w:t>)</w:t>
      </w:r>
    </w:p>
    <w:p w:rsidR="000643E9" w:rsidRPr="00886BAD" w:rsidRDefault="000643E9" w:rsidP="00886BAD">
      <w:pPr>
        <w:spacing w:line="360" w:lineRule="auto"/>
        <w:rPr>
          <w:rFonts w:asciiTheme="minorEastAsia" w:eastAsiaTheme="minorEastAsia" w:hAnsiTheme="minorEastAsia" w:hint="eastAsia"/>
          <w:b/>
        </w:rPr>
      </w:pPr>
    </w:p>
    <w:p w:rsidR="00886BAD" w:rsidRPr="00886BAD" w:rsidRDefault="00F640C0"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color w:val="FF0000"/>
          <w:sz w:val="28"/>
          <w:szCs w:val="28"/>
        </w:rPr>
        <w:t>5.</w:t>
      </w:r>
      <w:r w:rsidR="000643E9" w:rsidRPr="00886BAD">
        <w:rPr>
          <w:rFonts w:asciiTheme="minorEastAsia" w:eastAsiaTheme="minorEastAsia" w:hAnsiTheme="minorEastAsia" w:cs="Times New Roman"/>
          <w:b/>
          <w:color w:val="FF0000"/>
          <w:sz w:val="28"/>
          <w:szCs w:val="28"/>
        </w:rPr>
        <w:t>(D)</w:t>
      </w:r>
      <w:r w:rsidR="000643E9" w:rsidRPr="00886BAD">
        <w:rPr>
          <w:rFonts w:asciiTheme="minorEastAsia" w:eastAsiaTheme="minorEastAsia" w:hAnsiTheme="minorEastAsia" w:cs="Times New Roman"/>
          <w:b/>
          <w:sz w:val="28"/>
          <w:szCs w:val="28"/>
        </w:rPr>
        <w:t>關於銀行的基本結構，下列何者有誤？</w:t>
      </w:r>
    </w:p>
    <w:p w:rsidR="00886BAD" w:rsidRPr="00886BAD" w:rsidRDefault="000643E9"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 xml:space="preserve">(A)非銀行的銀行與銀行控股公司是單一銀行制度下突破設立分行限制規定的補救方式 </w:t>
      </w:r>
    </w:p>
    <w:p w:rsidR="00886BAD" w:rsidRPr="00886BAD" w:rsidRDefault="000643E9"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lastRenderedPageBreak/>
        <w:t xml:space="preserve">(B)分支銀行制度指銀行在設立之後，有一個章程、一個董事會，而經營兩個以上的營業單位時，其中一家為總行，其餘為分行 </w:t>
      </w:r>
    </w:p>
    <w:p w:rsidR="00886BAD" w:rsidRPr="00886BAD" w:rsidRDefault="000643E9" w:rsidP="00886BAD">
      <w:pPr>
        <w:spacing w:line="360" w:lineRule="auto"/>
        <w:rPr>
          <w:rFonts w:asciiTheme="minorEastAsia" w:eastAsiaTheme="minorEastAsia" w:hAnsiTheme="minorEastAsia" w:cs="Times New Roman"/>
          <w:b/>
          <w:sz w:val="28"/>
          <w:szCs w:val="28"/>
        </w:rPr>
      </w:pPr>
      <w:r w:rsidRPr="00886BAD">
        <w:rPr>
          <w:rFonts w:asciiTheme="minorEastAsia" w:eastAsiaTheme="minorEastAsia" w:hAnsiTheme="minorEastAsia" w:cs="Times New Roman"/>
          <w:b/>
          <w:sz w:val="28"/>
          <w:szCs w:val="28"/>
        </w:rPr>
        <w:t>(C)銀行的基本結構有單一銀行制度及分支銀行制度</w:t>
      </w:r>
      <w:r w:rsidRPr="00886BAD">
        <w:rPr>
          <w:rFonts w:asciiTheme="minorEastAsia" w:eastAsiaTheme="minorEastAsia" w:hAnsiTheme="minorEastAsia" w:cs="Times New Roman" w:hint="eastAsia"/>
          <w:b/>
          <w:sz w:val="28"/>
          <w:szCs w:val="28"/>
        </w:rPr>
        <w:t xml:space="preserve"> </w:t>
      </w:r>
    </w:p>
    <w:p w:rsidR="006B6D68" w:rsidRPr="008109F1" w:rsidRDefault="000643E9" w:rsidP="00886BAD">
      <w:pPr>
        <w:spacing w:line="360" w:lineRule="auto"/>
        <w:rPr>
          <w:rFonts w:asciiTheme="minorEastAsia" w:eastAsiaTheme="minorEastAsia" w:hAnsiTheme="minorEastAsia" w:cs="Times New Roman" w:hint="eastAsia"/>
          <w:b/>
          <w:color w:val="FF0000"/>
          <w:sz w:val="28"/>
          <w:szCs w:val="28"/>
        </w:rPr>
      </w:pPr>
      <w:r w:rsidRPr="00886BAD">
        <w:rPr>
          <w:rFonts w:asciiTheme="minorEastAsia" w:eastAsiaTheme="minorEastAsia" w:hAnsiTheme="minorEastAsia" w:cs="Times New Roman"/>
          <w:b/>
          <w:sz w:val="28"/>
          <w:szCs w:val="28"/>
        </w:rPr>
        <w:t>(D)台灣採單一銀行制度、美國採分支銀行制度</w:t>
      </w:r>
      <w:r w:rsidRPr="00886BAD">
        <w:rPr>
          <w:rFonts w:asciiTheme="minorEastAsia" w:eastAsiaTheme="minorEastAsia" w:hAnsiTheme="minorEastAsia" w:cs="Times New Roman" w:hint="eastAsia"/>
          <w:b/>
          <w:sz w:val="28"/>
          <w:szCs w:val="28"/>
        </w:rPr>
        <w:t xml:space="preserve"> </w:t>
      </w:r>
      <w:r w:rsidRPr="00886BAD">
        <w:rPr>
          <w:rFonts w:asciiTheme="minorEastAsia" w:eastAsiaTheme="minorEastAsia" w:hAnsiTheme="minorEastAsia" w:cs="Times New Roman"/>
          <w:b/>
          <w:color w:val="FF0000"/>
          <w:sz w:val="28"/>
          <w:szCs w:val="28"/>
        </w:rPr>
        <w:t>(p.142-144</w:t>
      </w:r>
      <w:r w:rsidR="00D469B1">
        <w:rPr>
          <w:rFonts w:asciiTheme="minorEastAsia" w:eastAsiaTheme="minorEastAsia" w:hAnsiTheme="minorEastAsia" w:cs="Times New Roman" w:hint="eastAsia"/>
          <w:b/>
          <w:color w:val="FF0000"/>
          <w:sz w:val="28"/>
          <w:szCs w:val="28"/>
        </w:rPr>
        <w:t>，第5章第三節</w:t>
      </w:r>
      <w:r w:rsidRPr="00886BAD">
        <w:rPr>
          <w:rFonts w:asciiTheme="minorEastAsia" w:eastAsiaTheme="minorEastAsia" w:hAnsiTheme="minorEastAsia" w:cs="Times New Roman"/>
          <w:b/>
          <w:color w:val="FF0000"/>
          <w:sz w:val="28"/>
          <w:szCs w:val="28"/>
        </w:rPr>
        <w:t>)</w:t>
      </w:r>
    </w:p>
    <w:p w:rsidR="00886BAD" w:rsidRPr="00886BAD" w:rsidRDefault="00886BAD" w:rsidP="00886BAD">
      <w:pPr>
        <w:spacing w:line="360" w:lineRule="auto"/>
        <w:rPr>
          <w:rFonts w:asciiTheme="minorEastAsia" w:eastAsiaTheme="minorEastAsia" w:hAnsiTheme="minorEastAsia" w:hint="eastAsia"/>
          <w:b/>
        </w:rPr>
      </w:pPr>
    </w:p>
    <w:p w:rsidR="00886BAD" w:rsidRPr="00886BAD" w:rsidRDefault="00F640C0" w:rsidP="00886BAD">
      <w:pPr>
        <w:spacing w:line="360" w:lineRule="auto"/>
        <w:rPr>
          <w:rFonts w:asciiTheme="minorEastAsia" w:eastAsiaTheme="minorEastAsia" w:hAnsiTheme="minorEastAsia"/>
          <w:b/>
          <w:sz w:val="28"/>
          <w:szCs w:val="28"/>
        </w:rPr>
      </w:pPr>
      <w:r w:rsidRPr="00886BAD">
        <w:rPr>
          <w:rFonts w:asciiTheme="minorEastAsia" w:eastAsiaTheme="minorEastAsia" w:hAnsiTheme="minorEastAsia"/>
          <w:b/>
          <w:color w:val="FF0000"/>
          <w:sz w:val="28"/>
          <w:szCs w:val="28"/>
        </w:rPr>
        <w:t>6.</w:t>
      </w:r>
      <w:r w:rsidR="006B6D68" w:rsidRPr="00886BAD">
        <w:rPr>
          <w:rFonts w:asciiTheme="minorEastAsia" w:eastAsiaTheme="minorEastAsia" w:hAnsiTheme="minorEastAsia"/>
          <w:b/>
          <w:color w:val="FF0000"/>
          <w:sz w:val="28"/>
          <w:szCs w:val="28"/>
        </w:rPr>
        <w:t>(</w:t>
      </w:r>
      <w:r w:rsidR="00AD48F7">
        <w:rPr>
          <w:rFonts w:asciiTheme="minorEastAsia" w:eastAsiaTheme="minorEastAsia" w:hAnsiTheme="minorEastAsia"/>
          <w:b/>
          <w:color w:val="FF0000"/>
          <w:sz w:val="28"/>
          <w:szCs w:val="28"/>
        </w:rPr>
        <w:t>C</w:t>
      </w:r>
      <w:r w:rsidR="006B6D68" w:rsidRPr="00886BAD">
        <w:rPr>
          <w:rFonts w:asciiTheme="minorEastAsia" w:eastAsiaTheme="minorEastAsia" w:hAnsiTheme="minorEastAsia"/>
          <w:b/>
          <w:color w:val="FF0000"/>
          <w:sz w:val="28"/>
          <w:szCs w:val="28"/>
        </w:rPr>
        <w:t>)</w:t>
      </w:r>
      <w:r w:rsidR="006B6D68" w:rsidRPr="00886BAD">
        <w:rPr>
          <w:rFonts w:asciiTheme="minorEastAsia" w:eastAsiaTheme="minorEastAsia" w:hAnsiTheme="minorEastAsia"/>
          <w:b/>
          <w:sz w:val="28"/>
          <w:szCs w:val="28"/>
        </w:rPr>
        <w:t>關於銀行的種類的敘述，下列何者有誤？</w:t>
      </w:r>
    </w:p>
    <w:p w:rsidR="00886BAD" w:rsidRPr="00886BAD" w:rsidRDefault="006B6D68" w:rsidP="00886BAD">
      <w:pPr>
        <w:spacing w:line="360" w:lineRule="auto"/>
        <w:rPr>
          <w:rFonts w:asciiTheme="minorEastAsia" w:eastAsiaTheme="minorEastAsia" w:hAnsiTheme="minorEastAsia"/>
          <w:b/>
          <w:sz w:val="28"/>
          <w:szCs w:val="28"/>
        </w:rPr>
      </w:pPr>
      <w:r w:rsidRPr="00886BAD">
        <w:rPr>
          <w:rFonts w:asciiTheme="minorEastAsia" w:eastAsiaTheme="minorEastAsia" w:hAnsiTheme="minorEastAsia"/>
          <w:b/>
          <w:sz w:val="28"/>
          <w:szCs w:val="28"/>
        </w:rPr>
        <w:t>(A)</w:t>
      </w:r>
      <w:r w:rsidR="00AD48F7" w:rsidRPr="00886BAD">
        <w:rPr>
          <w:rFonts w:asciiTheme="minorEastAsia" w:eastAsiaTheme="minorEastAsia" w:hAnsiTheme="minorEastAsia"/>
          <w:b/>
          <w:sz w:val="28"/>
          <w:szCs w:val="28"/>
        </w:rPr>
        <w:t>貝殼式銀行是銀行在國外辦理國際銀行業務的方式之一，設立目的旨在借「殼」營業</w:t>
      </w:r>
    </w:p>
    <w:p w:rsidR="00886BAD" w:rsidRPr="00886BAD" w:rsidRDefault="006B6D68" w:rsidP="00886BAD">
      <w:pPr>
        <w:spacing w:line="360" w:lineRule="auto"/>
        <w:rPr>
          <w:rFonts w:asciiTheme="minorEastAsia" w:eastAsiaTheme="minorEastAsia" w:hAnsiTheme="minorEastAsia"/>
          <w:b/>
          <w:sz w:val="28"/>
          <w:szCs w:val="28"/>
        </w:rPr>
      </w:pPr>
      <w:r w:rsidRPr="00886BAD">
        <w:rPr>
          <w:rFonts w:asciiTheme="minorEastAsia" w:eastAsiaTheme="minorEastAsia" w:hAnsiTheme="minorEastAsia"/>
          <w:b/>
          <w:sz w:val="28"/>
          <w:szCs w:val="28"/>
        </w:rPr>
        <w:t>(B)</w:t>
      </w:r>
      <w:r w:rsidR="00AD48F7" w:rsidRPr="00886BAD">
        <w:rPr>
          <w:rFonts w:asciiTheme="minorEastAsia" w:eastAsiaTheme="minorEastAsia" w:hAnsiTheme="minorEastAsia"/>
          <w:b/>
          <w:sz w:val="28"/>
          <w:szCs w:val="28"/>
        </w:rPr>
        <w:t>境外金融中心是吸引「非居住民」(國外法人及外國自然人) 在本國從事活動，專門核准於境內設立的金融單位</w:t>
      </w:r>
    </w:p>
    <w:p w:rsidR="00886BAD" w:rsidRPr="00886BAD" w:rsidRDefault="006B6D68" w:rsidP="00886BAD">
      <w:pPr>
        <w:spacing w:line="360" w:lineRule="auto"/>
        <w:rPr>
          <w:rFonts w:asciiTheme="minorEastAsia" w:eastAsiaTheme="minorEastAsia" w:hAnsiTheme="minorEastAsia"/>
          <w:b/>
          <w:sz w:val="28"/>
          <w:szCs w:val="28"/>
        </w:rPr>
      </w:pPr>
      <w:r w:rsidRPr="00886BAD">
        <w:rPr>
          <w:rFonts w:asciiTheme="minorEastAsia" w:eastAsiaTheme="minorEastAsia" w:hAnsiTheme="minorEastAsia"/>
          <w:b/>
          <w:sz w:val="28"/>
          <w:szCs w:val="28"/>
        </w:rPr>
        <w:t>(C)</w:t>
      </w:r>
      <w:r w:rsidR="00AD48F7" w:rsidRPr="00886BAD">
        <w:rPr>
          <w:rFonts w:asciiTheme="minorEastAsia" w:eastAsiaTheme="minorEastAsia" w:hAnsiTheme="minorEastAsia"/>
          <w:b/>
          <w:sz w:val="28"/>
          <w:szCs w:val="28"/>
        </w:rPr>
        <w:t>存款銀行是從事有價證券承銷、</w:t>
      </w:r>
      <w:proofErr w:type="gramStart"/>
      <w:r w:rsidR="00AD48F7" w:rsidRPr="00886BAD">
        <w:rPr>
          <w:rFonts w:asciiTheme="minorEastAsia" w:eastAsiaTheme="minorEastAsia" w:hAnsiTheme="minorEastAsia"/>
          <w:b/>
          <w:sz w:val="28"/>
          <w:szCs w:val="28"/>
        </w:rPr>
        <w:t>併</w:t>
      </w:r>
      <w:proofErr w:type="gramEnd"/>
      <w:r w:rsidR="00AD48F7" w:rsidRPr="00886BAD">
        <w:rPr>
          <w:rFonts w:asciiTheme="minorEastAsia" w:eastAsiaTheme="minorEastAsia" w:hAnsiTheme="minorEastAsia"/>
          <w:b/>
          <w:sz w:val="28"/>
          <w:szCs w:val="28"/>
        </w:rPr>
        <w:t>購、創業投資、新金融商品開發與交易、財務顧問、資產管理及其他有關業務的銀行</w:t>
      </w:r>
      <w:r w:rsidRPr="00886BAD">
        <w:rPr>
          <w:rFonts w:asciiTheme="minorEastAsia" w:eastAsiaTheme="minorEastAsia" w:hAnsiTheme="minorEastAsia"/>
          <w:b/>
          <w:sz w:val="28"/>
          <w:szCs w:val="28"/>
        </w:rPr>
        <w:t xml:space="preserve"> </w:t>
      </w:r>
    </w:p>
    <w:p w:rsidR="00AD48F7" w:rsidRDefault="006B6D68" w:rsidP="00886BAD">
      <w:pPr>
        <w:spacing w:line="360" w:lineRule="auto"/>
        <w:rPr>
          <w:rFonts w:asciiTheme="minorEastAsia" w:eastAsiaTheme="minorEastAsia" w:hAnsiTheme="minorEastAsia"/>
          <w:b/>
          <w:sz w:val="28"/>
          <w:szCs w:val="28"/>
        </w:rPr>
      </w:pPr>
      <w:r w:rsidRPr="00886BAD">
        <w:rPr>
          <w:rFonts w:asciiTheme="minorEastAsia" w:eastAsiaTheme="minorEastAsia" w:hAnsiTheme="minorEastAsia"/>
          <w:b/>
          <w:sz w:val="28"/>
          <w:szCs w:val="28"/>
        </w:rPr>
        <w:t>(D)</w:t>
      </w:r>
      <w:r w:rsidR="00AD48F7" w:rsidRPr="00886BAD">
        <w:rPr>
          <w:rFonts w:asciiTheme="minorEastAsia" w:eastAsiaTheme="minorEastAsia" w:hAnsiTheme="minorEastAsia"/>
          <w:b/>
          <w:sz w:val="28"/>
          <w:szCs w:val="28"/>
        </w:rPr>
        <w:t>綜合銀行又稱為百貨式銀行</w:t>
      </w:r>
    </w:p>
    <w:p w:rsidR="006B6D68" w:rsidRPr="008109F1" w:rsidRDefault="006B6D68" w:rsidP="00886BAD">
      <w:pPr>
        <w:spacing w:line="360" w:lineRule="auto"/>
        <w:rPr>
          <w:rFonts w:asciiTheme="minorEastAsia" w:eastAsiaTheme="minorEastAsia" w:hAnsiTheme="minorEastAsia" w:hint="eastAsia"/>
          <w:b/>
          <w:sz w:val="28"/>
          <w:szCs w:val="28"/>
        </w:rPr>
      </w:pPr>
      <w:r w:rsidRPr="00886BAD">
        <w:rPr>
          <w:rFonts w:asciiTheme="minorEastAsia" w:eastAsiaTheme="minorEastAsia" w:hAnsiTheme="minorEastAsia"/>
          <w:b/>
          <w:color w:val="FF0000"/>
          <w:sz w:val="28"/>
          <w:szCs w:val="28"/>
        </w:rPr>
        <w:t>(p.135-137</w:t>
      </w:r>
      <w:r w:rsidR="00D469B1">
        <w:rPr>
          <w:rFonts w:asciiTheme="minorEastAsia" w:eastAsiaTheme="minorEastAsia" w:hAnsiTheme="minorEastAsia" w:hint="eastAsia"/>
          <w:b/>
          <w:color w:val="FF0000"/>
          <w:sz w:val="28"/>
          <w:szCs w:val="28"/>
        </w:rPr>
        <w:t>，第5章第一節</w:t>
      </w:r>
      <w:r w:rsidRPr="00886BAD">
        <w:rPr>
          <w:rFonts w:asciiTheme="minorEastAsia" w:eastAsiaTheme="minorEastAsia" w:hAnsiTheme="minorEastAsia"/>
          <w:b/>
          <w:color w:val="FF0000"/>
          <w:sz w:val="28"/>
          <w:szCs w:val="28"/>
        </w:rPr>
        <w:t>)</w:t>
      </w:r>
    </w:p>
    <w:p w:rsidR="006B6D68" w:rsidRPr="00886BAD" w:rsidRDefault="006B6D68" w:rsidP="00886BAD">
      <w:pPr>
        <w:widowControl w:val="0"/>
        <w:spacing w:line="360" w:lineRule="auto"/>
        <w:jc w:val="both"/>
        <w:rPr>
          <w:rFonts w:asciiTheme="minorEastAsia" w:eastAsiaTheme="minorEastAsia" w:hAnsiTheme="minorEastAsia" w:cs="Times New Roman"/>
          <w:b/>
          <w:color w:val="000000" w:themeColor="text1"/>
          <w:kern w:val="2"/>
          <w:sz w:val="28"/>
          <w:szCs w:val="28"/>
        </w:rPr>
      </w:pPr>
    </w:p>
    <w:p w:rsidR="00886BAD" w:rsidRPr="00886BAD" w:rsidRDefault="00F640C0" w:rsidP="00886BAD">
      <w:pPr>
        <w:spacing w:line="360" w:lineRule="auto"/>
        <w:rPr>
          <w:rFonts w:asciiTheme="minorEastAsia" w:eastAsiaTheme="minorEastAsia" w:hAnsiTheme="minorEastAsia" w:cs="Times New Roman"/>
          <w:b/>
          <w:color w:val="000000" w:themeColor="text1"/>
          <w:kern w:val="2"/>
          <w:sz w:val="28"/>
          <w:szCs w:val="28"/>
        </w:rPr>
      </w:pPr>
      <w:r w:rsidRPr="00886BAD">
        <w:rPr>
          <w:rFonts w:asciiTheme="minorEastAsia" w:eastAsiaTheme="minorEastAsia" w:hAnsiTheme="minorEastAsia" w:cs="Times New Roman"/>
          <w:b/>
          <w:color w:val="FF0000"/>
          <w:kern w:val="2"/>
          <w:sz w:val="28"/>
          <w:szCs w:val="28"/>
        </w:rPr>
        <w:t>7.</w:t>
      </w:r>
      <w:r w:rsidR="006B6D68" w:rsidRPr="00886BAD">
        <w:rPr>
          <w:rFonts w:asciiTheme="minorEastAsia" w:eastAsiaTheme="minorEastAsia" w:hAnsiTheme="minorEastAsia" w:cs="Times New Roman"/>
          <w:b/>
          <w:color w:val="FF0000"/>
          <w:kern w:val="2"/>
          <w:sz w:val="28"/>
          <w:szCs w:val="28"/>
        </w:rPr>
        <w:t>(</w:t>
      </w:r>
      <w:r w:rsidR="00D469B1">
        <w:rPr>
          <w:rFonts w:asciiTheme="minorEastAsia" w:eastAsiaTheme="minorEastAsia" w:hAnsiTheme="minorEastAsia" w:cs="Times New Roman"/>
          <w:b/>
          <w:color w:val="FF0000"/>
          <w:kern w:val="2"/>
          <w:sz w:val="28"/>
          <w:szCs w:val="28"/>
        </w:rPr>
        <w:t>C</w:t>
      </w:r>
      <w:r w:rsidR="006B6D68" w:rsidRPr="00886BAD">
        <w:rPr>
          <w:rFonts w:asciiTheme="minorEastAsia" w:eastAsiaTheme="minorEastAsia" w:hAnsiTheme="minorEastAsia" w:cs="Times New Roman"/>
          <w:b/>
          <w:color w:val="FF0000"/>
          <w:kern w:val="2"/>
          <w:sz w:val="28"/>
          <w:szCs w:val="28"/>
        </w:rPr>
        <w:t>)</w:t>
      </w:r>
      <w:r w:rsidR="006B6D68" w:rsidRPr="00886BAD">
        <w:rPr>
          <w:rFonts w:asciiTheme="minorEastAsia" w:eastAsiaTheme="minorEastAsia" w:hAnsiTheme="minorEastAsia" w:cs="Times New Roman"/>
          <w:b/>
          <w:color w:val="000000" w:themeColor="text1"/>
          <w:kern w:val="2"/>
          <w:sz w:val="28"/>
          <w:szCs w:val="28"/>
        </w:rPr>
        <w:t>關於全球銀行體系的結構性改變，</w:t>
      </w:r>
      <w:r w:rsidR="00D469B1">
        <w:rPr>
          <w:rFonts w:asciiTheme="minorEastAsia" w:eastAsiaTheme="minorEastAsia" w:hAnsiTheme="minorEastAsia" w:cs="Times New Roman" w:hint="eastAsia"/>
          <w:b/>
          <w:color w:val="000000" w:themeColor="text1"/>
          <w:kern w:val="2"/>
          <w:sz w:val="28"/>
          <w:szCs w:val="28"/>
        </w:rPr>
        <w:t>下列</w:t>
      </w:r>
      <w:r w:rsidR="006B6D68" w:rsidRPr="00886BAD">
        <w:rPr>
          <w:rFonts w:asciiTheme="minorEastAsia" w:eastAsiaTheme="minorEastAsia" w:hAnsiTheme="minorEastAsia" w:cs="Times New Roman"/>
          <w:b/>
          <w:color w:val="000000" w:themeColor="text1"/>
          <w:kern w:val="2"/>
          <w:sz w:val="28"/>
          <w:szCs w:val="28"/>
        </w:rPr>
        <w:t>何者</w:t>
      </w:r>
      <w:r w:rsidR="00D469B1">
        <w:rPr>
          <w:rFonts w:asciiTheme="minorEastAsia" w:eastAsiaTheme="minorEastAsia" w:hAnsiTheme="minorEastAsia" w:cs="Times New Roman" w:hint="eastAsia"/>
          <w:b/>
          <w:color w:val="000000" w:themeColor="text1"/>
          <w:kern w:val="2"/>
          <w:sz w:val="28"/>
          <w:szCs w:val="28"/>
        </w:rPr>
        <w:t>有誤</w:t>
      </w:r>
      <w:r w:rsidR="006B6D68" w:rsidRPr="00886BAD">
        <w:rPr>
          <w:rFonts w:asciiTheme="minorEastAsia" w:eastAsiaTheme="minorEastAsia" w:hAnsiTheme="minorEastAsia" w:cs="Times New Roman"/>
          <w:b/>
          <w:color w:val="000000" w:themeColor="text1"/>
          <w:kern w:val="2"/>
          <w:sz w:val="28"/>
          <w:szCs w:val="28"/>
        </w:rPr>
        <w:t>？</w:t>
      </w:r>
    </w:p>
    <w:p w:rsidR="00886BAD" w:rsidRPr="00886BAD" w:rsidRDefault="006B6D68" w:rsidP="00886BAD">
      <w:pPr>
        <w:spacing w:line="360" w:lineRule="auto"/>
        <w:rPr>
          <w:rFonts w:asciiTheme="minorEastAsia" w:eastAsiaTheme="minorEastAsia" w:hAnsiTheme="minorEastAsia" w:cs="Times New Roman"/>
          <w:b/>
          <w:color w:val="000000" w:themeColor="text1"/>
          <w:kern w:val="2"/>
          <w:sz w:val="28"/>
          <w:szCs w:val="28"/>
        </w:rPr>
      </w:pPr>
      <w:r w:rsidRPr="00886BAD">
        <w:rPr>
          <w:rFonts w:asciiTheme="minorEastAsia" w:eastAsiaTheme="minorEastAsia" w:hAnsiTheme="minorEastAsia" w:cs="Times New Roman"/>
          <w:b/>
          <w:color w:val="000000" w:themeColor="text1"/>
          <w:kern w:val="2"/>
          <w:sz w:val="28"/>
          <w:szCs w:val="28"/>
        </w:rPr>
        <w:t>(A)少數銀行的服務數量占全體銀行體系的比例相當</w:t>
      </w:r>
      <w:r w:rsidR="00D469B1">
        <w:rPr>
          <w:rFonts w:asciiTheme="minorEastAsia" w:eastAsiaTheme="minorEastAsia" w:hAnsiTheme="minorEastAsia" w:cs="Times New Roman" w:hint="eastAsia"/>
          <w:b/>
          <w:color w:val="000000" w:themeColor="text1"/>
          <w:kern w:val="2"/>
          <w:sz w:val="28"/>
          <w:szCs w:val="28"/>
        </w:rPr>
        <w:t>高</w:t>
      </w:r>
      <w:r w:rsidRPr="00886BAD">
        <w:rPr>
          <w:rFonts w:asciiTheme="minorEastAsia" w:eastAsiaTheme="minorEastAsia" w:hAnsiTheme="minorEastAsia" w:cs="Times New Roman"/>
          <w:b/>
          <w:color w:val="000000" w:themeColor="text1"/>
          <w:kern w:val="2"/>
          <w:sz w:val="28"/>
          <w:szCs w:val="28"/>
        </w:rPr>
        <w:t xml:space="preserve"> </w:t>
      </w:r>
    </w:p>
    <w:p w:rsidR="00886BAD" w:rsidRPr="00886BAD" w:rsidRDefault="006B6D68" w:rsidP="00886BAD">
      <w:pPr>
        <w:spacing w:line="360" w:lineRule="auto"/>
        <w:rPr>
          <w:rFonts w:asciiTheme="minorEastAsia" w:eastAsiaTheme="minorEastAsia" w:hAnsiTheme="minorEastAsia" w:cs="Times New Roman"/>
          <w:b/>
          <w:color w:val="000000" w:themeColor="text1"/>
          <w:kern w:val="2"/>
          <w:sz w:val="28"/>
          <w:szCs w:val="28"/>
        </w:rPr>
      </w:pPr>
      <w:r w:rsidRPr="00886BAD">
        <w:rPr>
          <w:rFonts w:asciiTheme="minorEastAsia" w:eastAsiaTheme="minorEastAsia" w:hAnsiTheme="minorEastAsia" w:cs="Times New Roman"/>
          <w:b/>
          <w:color w:val="000000" w:themeColor="text1"/>
          <w:kern w:val="2"/>
          <w:sz w:val="28"/>
          <w:szCs w:val="28"/>
        </w:rPr>
        <w:t xml:space="preserve">(B)在外資管制解除，以及快速全球化之下，外商銀行挾其龐大資源，透過合併或購買手段，快速提升市場占有率與影響力 </w:t>
      </w:r>
    </w:p>
    <w:p w:rsidR="006B6D68" w:rsidRPr="00AB7342" w:rsidRDefault="006B6D68" w:rsidP="00886BAD">
      <w:pPr>
        <w:spacing w:line="360" w:lineRule="auto"/>
        <w:rPr>
          <w:rFonts w:asciiTheme="minorEastAsia" w:eastAsiaTheme="minorEastAsia" w:hAnsiTheme="minorEastAsia" w:cs="Times New Roman"/>
          <w:b/>
          <w:color w:val="000000" w:themeColor="text1"/>
          <w:kern w:val="2"/>
          <w:sz w:val="28"/>
          <w:szCs w:val="28"/>
        </w:rPr>
      </w:pPr>
      <w:r w:rsidRPr="00886BAD">
        <w:rPr>
          <w:rFonts w:asciiTheme="minorEastAsia" w:eastAsiaTheme="minorEastAsia" w:hAnsiTheme="minorEastAsia" w:cs="Times New Roman"/>
          <w:b/>
          <w:color w:val="000000" w:themeColor="text1"/>
          <w:kern w:val="2"/>
          <w:sz w:val="28"/>
          <w:szCs w:val="28"/>
        </w:rPr>
        <w:t>(C)許多國家政府紛紛採取「公營化」策略，提升民營銀行的獲利能力與競爭力</w:t>
      </w:r>
      <w:r w:rsidRPr="00886BAD">
        <w:rPr>
          <w:rFonts w:asciiTheme="minorEastAsia" w:eastAsiaTheme="minorEastAsia" w:hAnsiTheme="minorEastAsia" w:cs="Times New Roman" w:hint="eastAsia"/>
          <w:b/>
          <w:color w:val="000000" w:themeColor="text1"/>
          <w:kern w:val="2"/>
          <w:sz w:val="28"/>
          <w:szCs w:val="28"/>
        </w:rPr>
        <w:t>。</w:t>
      </w:r>
      <w:r w:rsidRPr="00886BAD">
        <w:rPr>
          <w:rFonts w:asciiTheme="minorEastAsia" w:eastAsiaTheme="minorEastAsia" w:hAnsiTheme="minorEastAsia" w:cs="Times New Roman"/>
          <w:b/>
          <w:color w:val="FF0000"/>
          <w:kern w:val="2"/>
          <w:sz w:val="28"/>
          <w:szCs w:val="28"/>
        </w:rPr>
        <w:t>(p.145-146</w:t>
      </w:r>
      <w:r w:rsidR="00D469B1">
        <w:rPr>
          <w:rFonts w:asciiTheme="minorEastAsia" w:eastAsiaTheme="minorEastAsia" w:hAnsiTheme="minorEastAsia" w:cs="Times New Roman" w:hint="eastAsia"/>
          <w:b/>
          <w:color w:val="FF0000"/>
          <w:kern w:val="2"/>
          <w:sz w:val="28"/>
          <w:szCs w:val="28"/>
        </w:rPr>
        <w:t>，</w:t>
      </w:r>
      <w:r w:rsidR="00EC58B6">
        <w:rPr>
          <w:rFonts w:asciiTheme="minorEastAsia" w:eastAsiaTheme="minorEastAsia" w:hAnsiTheme="minorEastAsia" w:cs="Times New Roman" w:hint="eastAsia"/>
          <w:b/>
          <w:color w:val="FF0000"/>
          <w:kern w:val="2"/>
          <w:sz w:val="28"/>
          <w:szCs w:val="28"/>
        </w:rPr>
        <w:t>第5章第三節</w:t>
      </w:r>
      <w:r w:rsidRPr="00886BAD">
        <w:rPr>
          <w:rFonts w:asciiTheme="minorEastAsia" w:eastAsiaTheme="minorEastAsia" w:hAnsiTheme="minorEastAsia" w:cs="Times New Roman"/>
          <w:b/>
          <w:color w:val="FF0000"/>
          <w:kern w:val="2"/>
          <w:sz w:val="28"/>
          <w:szCs w:val="28"/>
        </w:rPr>
        <w:t>)</w:t>
      </w:r>
    </w:p>
    <w:p w:rsidR="00C30B16" w:rsidRDefault="00C30B16" w:rsidP="00C30B16"/>
    <w:sectPr w:rsidR="00C30B16" w:rsidSect="00943E1D">
      <w:pgSz w:w="16838" w:h="11906" w:orient="landscape"/>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E1D" w:rsidRDefault="00943E1D" w:rsidP="00943E1D">
      <w:r>
        <w:separator/>
      </w:r>
    </w:p>
  </w:endnote>
  <w:endnote w:type="continuationSeparator" w:id="0">
    <w:p w:rsidR="00943E1D" w:rsidRDefault="00943E1D" w:rsidP="0094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E1D" w:rsidRDefault="00943E1D" w:rsidP="00943E1D">
      <w:r>
        <w:separator/>
      </w:r>
    </w:p>
  </w:footnote>
  <w:footnote w:type="continuationSeparator" w:id="0">
    <w:p w:rsidR="00943E1D" w:rsidRDefault="00943E1D" w:rsidP="00943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F91"/>
    <w:multiLevelType w:val="multilevel"/>
    <w:tmpl w:val="6C02F4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756B13"/>
    <w:multiLevelType w:val="multilevel"/>
    <w:tmpl w:val="116E13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3377930"/>
    <w:multiLevelType w:val="multilevel"/>
    <w:tmpl w:val="D4BE12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0F37DCA"/>
    <w:multiLevelType w:val="multilevel"/>
    <w:tmpl w:val="E61C65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69976A5"/>
    <w:multiLevelType w:val="multilevel"/>
    <w:tmpl w:val="D88042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F5206B5"/>
    <w:multiLevelType w:val="hybridMultilevel"/>
    <w:tmpl w:val="AB20582C"/>
    <w:lvl w:ilvl="0" w:tplc="22847658">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93D115F"/>
    <w:multiLevelType w:val="multilevel"/>
    <w:tmpl w:val="5F9A0B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A347045"/>
    <w:multiLevelType w:val="hybridMultilevel"/>
    <w:tmpl w:val="870438F2"/>
    <w:lvl w:ilvl="0" w:tplc="1F00A1CE">
      <w:start w:val="1"/>
      <w:numFmt w:val="decimal"/>
      <w:lvlText w:val="%1."/>
      <w:lvlJc w:val="left"/>
      <w:pPr>
        <w:ind w:left="480" w:hanging="480"/>
      </w:pPr>
      <w:rPr>
        <w:rFonts w:ascii="Times New Roman" w:eastAsia="標楷體" w:hAnsi="Times New Roman" w:cs="Times New Roman" w:hint="default"/>
        <w:b/>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D1F581F"/>
    <w:multiLevelType w:val="hybridMultilevel"/>
    <w:tmpl w:val="D0ACE87E"/>
    <w:lvl w:ilvl="0" w:tplc="D32A8160">
      <w:start w:val="1"/>
      <w:numFmt w:val="decimal"/>
      <w:lvlText w:val="%1."/>
      <w:lvlJc w:val="left"/>
      <w:pPr>
        <w:ind w:left="480" w:hanging="480"/>
      </w:pPr>
      <w:rPr>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1"/>
  </w:num>
  <w:num w:numId="5">
    <w:abstractNumId w:val="0"/>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1D"/>
    <w:rsid w:val="00021427"/>
    <w:rsid w:val="000643E9"/>
    <w:rsid w:val="0019065E"/>
    <w:rsid w:val="001E3FD5"/>
    <w:rsid w:val="00233E5F"/>
    <w:rsid w:val="0032444A"/>
    <w:rsid w:val="00364CB8"/>
    <w:rsid w:val="003B5042"/>
    <w:rsid w:val="00414CB8"/>
    <w:rsid w:val="00483A3A"/>
    <w:rsid w:val="005B7CD0"/>
    <w:rsid w:val="005E7B49"/>
    <w:rsid w:val="00670A3E"/>
    <w:rsid w:val="0069451B"/>
    <w:rsid w:val="006B6D68"/>
    <w:rsid w:val="007F0B91"/>
    <w:rsid w:val="008109F1"/>
    <w:rsid w:val="00886BAD"/>
    <w:rsid w:val="00943E1D"/>
    <w:rsid w:val="00960D7B"/>
    <w:rsid w:val="00AB7342"/>
    <w:rsid w:val="00AD48F7"/>
    <w:rsid w:val="00C30B16"/>
    <w:rsid w:val="00CB44E6"/>
    <w:rsid w:val="00D469B1"/>
    <w:rsid w:val="00EC58B6"/>
    <w:rsid w:val="00F640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BC5C449"/>
  <w15:chartTrackingRefBased/>
  <w15:docId w15:val="{CB7F339F-9942-44F7-BAE7-DF1A734A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csstabs">
    <w:name w:val="csstabs"/>
    <w:basedOn w:val="a"/>
    <w:pPr>
      <w:spacing w:before="100" w:beforeAutospacing="1" w:after="100" w:afterAutospacing="1" w:line="384" w:lineRule="atLeast"/>
    </w:pPr>
    <w:rPr>
      <w:rFonts w:ascii="微軟正黑體" w:eastAsia="微軟正黑體" w:hAnsi="微軟正黑體"/>
      <w:b/>
      <w:bCs/>
      <w:color w:val="FFFFFF"/>
    </w:rPr>
  </w:style>
  <w:style w:type="paragraph" w:customStyle="1" w:styleId="csstbbodybg">
    <w:name w:val="csstbbodybg"/>
    <w:basedOn w:val="a"/>
    <w:pPr>
      <w:shd w:val="clear" w:color="auto" w:fill="07AEB0"/>
      <w:spacing w:before="100" w:beforeAutospacing="1" w:after="100" w:afterAutospacing="1"/>
    </w:pPr>
    <w:rPr>
      <w:color w:val="ECECEC"/>
    </w:rPr>
  </w:style>
  <w:style w:type="paragraph" w:customStyle="1" w:styleId="csstbbugie5">
    <w:name w:val="csstbbugie5"/>
    <w:basedOn w:val="a"/>
    <w:pPr>
      <w:shd w:val="clear" w:color="auto" w:fill="07AEB0"/>
      <w:spacing w:before="100" w:beforeAutospacing="1" w:after="100" w:afterAutospacing="1"/>
    </w:pPr>
  </w:style>
  <w:style w:type="paragraph" w:customStyle="1" w:styleId="csstbbtn">
    <w:name w:val="csstbbtn"/>
    <w:basedOn w:val="a"/>
    <w:pPr>
      <w:spacing w:before="100" w:beforeAutospacing="1" w:after="100" w:afterAutospacing="1"/>
    </w:pPr>
  </w:style>
  <w:style w:type="paragraph" w:customStyle="1" w:styleId="csstoolbar">
    <w:name w:val="csstoolbar"/>
    <w:basedOn w:val="a"/>
    <w:pPr>
      <w:shd w:val="clear" w:color="auto" w:fill="07AEB0"/>
      <w:spacing w:before="100" w:beforeAutospacing="1" w:after="100" w:afterAutospacing="1"/>
    </w:pPr>
  </w:style>
  <w:style w:type="paragraph" w:customStyle="1" w:styleId="csstbhead">
    <w:name w:val="csstbhead"/>
    <w:basedOn w:val="a"/>
    <w:pPr>
      <w:shd w:val="clear" w:color="auto" w:fill="FFFFFF"/>
      <w:spacing w:before="100" w:beforeAutospacing="1" w:after="100" w:afterAutospacing="1" w:line="450" w:lineRule="atLeast"/>
    </w:pPr>
    <w:rPr>
      <w:rFonts w:ascii="微軟正黑體" w:eastAsia="微軟正黑體" w:hAnsi="微軟正黑體"/>
      <w:b/>
      <w:bCs/>
      <w:color w:val="000000"/>
      <w:spacing w:val="15"/>
    </w:rPr>
  </w:style>
  <w:style w:type="paragraph" w:customStyle="1" w:styleId="csstbtable">
    <w:name w:val="csstbtable"/>
    <w:basedOn w:val="a"/>
    <w:pPr>
      <w:pBdr>
        <w:top w:val="single" w:sz="2" w:space="0" w:color="FFFFFF"/>
        <w:left w:val="single" w:sz="2" w:space="0" w:color="FFFFFF"/>
        <w:bottom w:val="single" w:sz="2" w:space="0" w:color="FFFFFF"/>
        <w:right w:val="single" w:sz="2" w:space="0" w:color="FFFFFF"/>
      </w:pBdr>
      <w:shd w:val="clear" w:color="auto" w:fill="ECECEC"/>
      <w:spacing w:before="100" w:beforeAutospacing="1" w:after="100" w:afterAutospacing="1"/>
    </w:pPr>
  </w:style>
  <w:style w:type="paragraph" w:customStyle="1" w:styleId="csstbtr">
    <w:name w:val="csstbtr"/>
    <w:basedOn w:val="a"/>
    <w:pPr>
      <w:pBdr>
        <w:left w:val="single" w:sz="2" w:space="6" w:color="CCCCE6"/>
        <w:right w:val="single" w:sz="2" w:space="2" w:color="CCCCE6"/>
      </w:pBdr>
      <w:shd w:val="clear" w:color="auto" w:fill="FFFFFF"/>
      <w:spacing w:before="100" w:beforeAutospacing="1" w:after="100" w:afterAutospacing="1"/>
    </w:pPr>
    <w:rPr>
      <w:color w:val="000000"/>
    </w:rPr>
  </w:style>
  <w:style w:type="paragraph" w:customStyle="1" w:styleId="csstbtd">
    <w:name w:val="csstbtd"/>
    <w:basedOn w:val="a"/>
    <w:pPr>
      <w:pBdr>
        <w:left w:val="single" w:sz="2" w:space="8" w:color="07AEB0"/>
        <w:right w:val="single" w:sz="2" w:space="8" w:color="07AEB0"/>
      </w:pBdr>
      <w:shd w:val="clear" w:color="auto" w:fill="07AEB0"/>
      <w:spacing w:before="100" w:beforeAutospacing="1" w:after="100" w:afterAutospacing="1" w:line="360" w:lineRule="atLeast"/>
    </w:pPr>
    <w:rPr>
      <w:rFonts w:ascii="微軟正黑體" w:eastAsia="微軟正黑體" w:hAnsi="微軟正黑體"/>
      <w:b/>
      <w:bCs/>
      <w:color w:val="000000"/>
      <w:spacing w:val="15"/>
    </w:rPr>
  </w:style>
  <w:style w:type="paragraph" w:customStyle="1" w:styleId="csstbfocus">
    <w:name w:val="csstbfocus"/>
    <w:basedOn w:val="a"/>
    <w:pPr>
      <w:pBdr>
        <w:top w:val="single" w:sz="6" w:space="0" w:color="FFFFFF"/>
        <w:left w:val="single" w:sz="6" w:space="2" w:color="FFFFFF"/>
        <w:bottom w:val="single" w:sz="6" w:space="1" w:color="FFFFFF"/>
        <w:right w:val="single" w:sz="6" w:space="2" w:color="FFFFFF"/>
      </w:pBdr>
      <w:shd w:val="clear" w:color="auto" w:fill="FFFFFF"/>
      <w:spacing w:before="100" w:beforeAutospacing="1" w:after="100" w:afterAutospacing="1" w:line="360" w:lineRule="atLeast"/>
    </w:pPr>
    <w:rPr>
      <w:rFonts w:ascii="微軟正黑體" w:eastAsia="微軟正黑體" w:hAnsi="微軟正黑體"/>
      <w:b/>
      <w:bCs/>
      <w:color w:val="07AEB0"/>
      <w:spacing w:val="15"/>
    </w:rPr>
  </w:style>
  <w:style w:type="paragraph" w:customStyle="1" w:styleId="csstbfocusfromto">
    <w:name w:val="csstbfocusfromto"/>
    <w:basedOn w:val="a"/>
    <w:pPr>
      <w:pBdr>
        <w:top w:val="single" w:sz="6" w:space="0" w:color="FFFFFF"/>
        <w:left w:val="single" w:sz="6" w:space="2" w:color="FFFFFF"/>
        <w:bottom w:val="single" w:sz="6" w:space="1" w:color="FFFFFF"/>
        <w:right w:val="single" w:sz="6" w:space="2" w:color="FFFFFF"/>
      </w:pBdr>
      <w:shd w:val="clear" w:color="auto" w:fill="FFFFFF"/>
      <w:spacing w:before="100" w:beforeAutospacing="1" w:after="100" w:afterAutospacing="1" w:line="480" w:lineRule="atLeast"/>
    </w:pPr>
    <w:rPr>
      <w:rFonts w:ascii="微軟正黑體" w:eastAsia="微軟正黑體" w:hAnsi="微軟正黑體"/>
      <w:b/>
      <w:bCs/>
      <w:color w:val="07AEB0"/>
      <w:spacing w:val="15"/>
    </w:rPr>
  </w:style>
  <w:style w:type="paragraph" w:customStyle="1" w:styleId="csstbblur">
    <w:name w:val="csstbblur"/>
    <w:basedOn w:val="a"/>
    <w:pPr>
      <w:pBdr>
        <w:top w:val="single" w:sz="6" w:space="0" w:color="07AEB0"/>
        <w:left w:val="single" w:sz="6" w:space="2" w:color="07AEB0"/>
        <w:bottom w:val="single" w:sz="6" w:space="1" w:color="07AEB0"/>
        <w:right w:val="single" w:sz="6" w:space="2" w:color="07AEB0"/>
      </w:pBdr>
      <w:shd w:val="clear" w:color="auto" w:fill="07AEB0"/>
      <w:spacing w:line="360" w:lineRule="atLeast"/>
      <w:ind w:left="30" w:right="30"/>
    </w:pPr>
    <w:rPr>
      <w:rFonts w:ascii="微軟正黑體" w:eastAsia="微軟正黑體" w:hAnsi="微軟正黑體"/>
      <w:color w:val="FFFFFF"/>
      <w:spacing w:val="15"/>
    </w:rPr>
  </w:style>
  <w:style w:type="paragraph" w:customStyle="1" w:styleId="csstable">
    <w:name w:val="csstable"/>
    <w:basedOn w:val="a"/>
    <w:pPr>
      <w:pBdr>
        <w:top w:val="single" w:sz="6" w:space="0" w:color="1BCDD1"/>
        <w:left w:val="single" w:sz="6" w:space="0" w:color="1BCDD1"/>
        <w:bottom w:val="single" w:sz="6" w:space="0" w:color="1BCDD1"/>
        <w:right w:val="single" w:sz="6" w:space="0" w:color="1BCDD1"/>
      </w:pBdr>
      <w:shd w:val="clear" w:color="auto" w:fill="DDDDDD"/>
      <w:spacing w:before="100" w:beforeAutospacing="1" w:after="100" w:afterAutospacing="1"/>
    </w:pPr>
  </w:style>
  <w:style w:type="paragraph" w:customStyle="1" w:styleId="csstrhelp">
    <w:name w:val="csstrhelp"/>
    <w:basedOn w:val="a"/>
    <w:pPr>
      <w:shd w:val="clear" w:color="auto" w:fill="C0C0C0"/>
      <w:spacing w:before="100" w:beforeAutospacing="1" w:after="100" w:afterAutospacing="1" w:line="384" w:lineRule="atLeast"/>
    </w:pPr>
    <w:rPr>
      <w:rFonts w:ascii="微軟正黑體" w:eastAsia="微軟正黑體" w:hAnsi="微軟正黑體"/>
      <w:b/>
      <w:bCs/>
      <w:color w:val="FFFFFF"/>
    </w:rPr>
  </w:style>
  <w:style w:type="paragraph" w:customStyle="1" w:styleId="csstrhead">
    <w:name w:val="csstrhead"/>
    <w:basedOn w:val="a"/>
    <w:pPr>
      <w:shd w:val="clear" w:color="auto" w:fill="0DB9BB"/>
      <w:spacing w:before="100" w:beforeAutospacing="1" w:after="100" w:afterAutospacing="1" w:line="384" w:lineRule="atLeast"/>
    </w:pPr>
    <w:rPr>
      <w:rFonts w:ascii="微軟正黑體" w:eastAsia="微軟正黑體" w:hAnsi="微軟正黑體"/>
      <w:color w:val="FFFFFF"/>
    </w:rPr>
  </w:style>
  <w:style w:type="paragraph" w:customStyle="1" w:styleId="csstrevn">
    <w:name w:val="csstrevn"/>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odd">
    <w:name w:val="csstrodd"/>
    <w:basedOn w:val="a"/>
    <w:pPr>
      <w:shd w:val="clear" w:color="auto" w:fill="ECECEC"/>
      <w:spacing w:before="100" w:beforeAutospacing="1" w:after="100" w:afterAutospacing="1" w:line="432" w:lineRule="atLeast"/>
    </w:pPr>
    <w:rPr>
      <w:rFonts w:ascii="微軟正黑體" w:eastAsia="微軟正黑體" w:hAnsi="微軟正黑體"/>
      <w:color w:val="000000"/>
    </w:rPr>
  </w:style>
  <w:style w:type="paragraph" w:customStyle="1" w:styleId="learn-path-stress">
    <w:name w:val="learn-path-stress"/>
    <w:basedOn w:val="a"/>
    <w:pPr>
      <w:shd w:val="clear" w:color="auto" w:fill="FFFF99"/>
      <w:spacing w:before="100" w:beforeAutospacing="1" w:after="100" w:afterAutospacing="1" w:line="552" w:lineRule="atLeast"/>
    </w:pPr>
    <w:rPr>
      <w:b/>
      <w:bCs/>
      <w:sz w:val="31"/>
      <w:szCs w:val="31"/>
    </w:rPr>
  </w:style>
  <w:style w:type="paragraph" w:customStyle="1" w:styleId="cssinput">
    <w:name w:val="cssinput"/>
    <w:basedOn w:val="a"/>
    <w:pPr>
      <w:pBdr>
        <w:top w:val="single" w:sz="6" w:space="0" w:color="DCDCDC"/>
        <w:left w:val="single" w:sz="6" w:space="2" w:color="DCDCDC"/>
        <w:bottom w:val="single" w:sz="6" w:space="0" w:color="DCDCDC"/>
        <w:right w:val="single" w:sz="6" w:space="0" w:color="DCDCDC"/>
      </w:pBdr>
      <w:shd w:val="clear" w:color="auto" w:fill="FFFFFF"/>
      <w:spacing w:before="100" w:beforeAutospacing="1" w:after="100" w:afterAutospacing="1"/>
    </w:pPr>
    <w:rPr>
      <w:rFonts w:ascii="微軟正黑體" w:eastAsia="微軟正黑體" w:hAnsi="微軟正黑體"/>
      <w:color w:val="242424"/>
    </w:rPr>
  </w:style>
  <w:style w:type="paragraph" w:customStyle="1" w:styleId="cssbtn">
    <w:name w:val="cssbtn"/>
    <w:basedOn w:val="a"/>
    <w:pPr>
      <w:pBdr>
        <w:top w:val="single" w:sz="6" w:space="0" w:color="05AAAC"/>
        <w:left w:val="single" w:sz="6" w:space="0" w:color="05AAAC"/>
        <w:bottom w:val="single" w:sz="6" w:space="0" w:color="05AAAC"/>
        <w:right w:val="single" w:sz="6" w:space="0" w:color="05AAAC"/>
      </w:pBdr>
      <w:shd w:val="clear" w:color="auto" w:fill="17CACE"/>
      <w:spacing w:before="100" w:beforeAutospacing="1" w:after="100" w:afterAutospacing="1"/>
    </w:pPr>
    <w:rPr>
      <w:rFonts w:ascii="微軟正黑體" w:eastAsia="微軟正黑體" w:hAnsi="微軟正黑體"/>
      <w:color w:val="FFFFFF"/>
    </w:rPr>
  </w:style>
  <w:style w:type="paragraph" w:customStyle="1" w:styleId="cssbtndisabled">
    <w:name w:val="cssbtn[disabled]"/>
    <w:basedOn w:val="a"/>
    <w:pPr>
      <w:pBdr>
        <w:top w:val="single" w:sz="6" w:space="0" w:color="DCDCDC"/>
        <w:left w:val="single" w:sz="6" w:space="0" w:color="DCDCDC"/>
        <w:bottom w:val="single" w:sz="6" w:space="0" w:color="DCDCDC"/>
        <w:right w:val="single" w:sz="6" w:space="0" w:color="DCDCDC"/>
      </w:pBdr>
      <w:shd w:val="clear" w:color="auto" w:fill="F9F9F9"/>
      <w:spacing w:before="100" w:beforeAutospacing="1" w:after="100" w:afterAutospacing="1"/>
    </w:pPr>
    <w:rPr>
      <w:rFonts w:ascii="微軟正黑體" w:eastAsia="微軟正黑體" w:hAnsi="微軟正黑體"/>
      <w:color w:val="C0C0C0"/>
    </w:rPr>
  </w:style>
  <w:style w:type="paragraph" w:customStyle="1" w:styleId="cssanchor">
    <w:name w:val="cssanchor"/>
    <w:basedOn w:val="a"/>
    <w:pPr>
      <w:spacing w:before="100" w:beforeAutospacing="1" w:after="100" w:afterAutospacing="1" w:line="384" w:lineRule="atLeast"/>
    </w:pPr>
    <w:rPr>
      <w:rFonts w:ascii="微軟正黑體" w:eastAsia="微軟正黑體" w:hAnsi="微軟正黑體"/>
      <w:color w:val="242424"/>
    </w:rPr>
  </w:style>
  <w:style w:type="paragraph" w:customStyle="1" w:styleId="cssul">
    <w:name w:val="cssul"/>
    <w:basedOn w:val="a"/>
    <w:pPr>
      <w:spacing w:before="100" w:beforeAutospacing="1"/>
    </w:pPr>
  </w:style>
  <w:style w:type="paragraph" w:customStyle="1" w:styleId="cssol">
    <w:name w:val="cssol"/>
    <w:basedOn w:val="a"/>
    <w:pPr>
      <w:spacing w:before="100" w:beforeAutospacing="1"/>
      <w:ind w:left="150"/>
    </w:pPr>
  </w:style>
  <w:style w:type="paragraph" w:customStyle="1" w:styleId="csscalebg01">
    <w:name w:val="csscalebg01"/>
    <w:basedOn w:val="a"/>
    <w:pPr>
      <w:shd w:val="clear" w:color="auto" w:fill="ECECEC"/>
      <w:spacing w:before="100" w:beforeAutospacing="1" w:after="100" w:afterAutospacing="1"/>
    </w:pPr>
  </w:style>
  <w:style w:type="paragraph" w:customStyle="1" w:styleId="csscalebg02">
    <w:name w:val="csscalebg02"/>
    <w:basedOn w:val="a"/>
    <w:pPr>
      <w:shd w:val="clear" w:color="auto" w:fill="F5CCF6"/>
      <w:spacing w:before="100" w:beforeAutospacing="1" w:after="100" w:afterAutospacing="1"/>
    </w:pPr>
  </w:style>
  <w:style w:type="paragraph" w:customStyle="1" w:styleId="csscalefont01">
    <w:name w:val="csscalefont01"/>
    <w:basedOn w:val="a"/>
    <w:pPr>
      <w:spacing w:before="100" w:beforeAutospacing="1" w:after="100" w:afterAutospacing="1" w:line="384" w:lineRule="atLeast"/>
    </w:pPr>
    <w:rPr>
      <w:rFonts w:ascii="微軟正黑體" w:eastAsia="微軟正黑體" w:hAnsi="微軟正黑體"/>
      <w:color w:val="FF0000"/>
      <w:spacing w:val="15"/>
    </w:rPr>
  </w:style>
  <w:style w:type="paragraph" w:customStyle="1" w:styleId="csscalefont02">
    <w:name w:val="csscalefont02"/>
    <w:basedOn w:val="a"/>
    <w:pPr>
      <w:spacing w:before="100" w:beforeAutospacing="1" w:after="100" w:afterAutospacing="1" w:line="384" w:lineRule="atLeast"/>
    </w:pPr>
    <w:rPr>
      <w:rFonts w:ascii="微軟正黑體" w:eastAsia="微軟正黑體" w:hAnsi="微軟正黑體"/>
      <w:color w:val="00A930"/>
      <w:spacing w:val="15"/>
    </w:rPr>
  </w:style>
  <w:style w:type="paragraph" w:customStyle="1" w:styleId="csscalefont03">
    <w:name w:val="csscalefont03"/>
    <w:basedOn w:val="a"/>
    <w:pPr>
      <w:spacing w:before="100" w:beforeAutospacing="1" w:after="100" w:afterAutospacing="1" w:line="384" w:lineRule="atLeast"/>
    </w:pPr>
    <w:rPr>
      <w:rFonts w:ascii="微軟正黑體" w:eastAsia="微軟正黑體" w:hAnsi="微軟正黑體"/>
      <w:color w:val="C0C0C0"/>
      <w:spacing w:val="15"/>
    </w:rPr>
  </w:style>
  <w:style w:type="paragraph" w:customStyle="1" w:styleId="csscalefont04">
    <w:name w:val="csscalefont04"/>
    <w:basedOn w:val="a"/>
    <w:pPr>
      <w:shd w:val="clear" w:color="auto" w:fill="E2D19F"/>
      <w:spacing w:before="100" w:beforeAutospacing="1" w:after="100" w:afterAutospacing="1" w:line="384" w:lineRule="atLeast"/>
    </w:pPr>
    <w:rPr>
      <w:rFonts w:ascii="微軟正黑體" w:eastAsia="微軟正黑體" w:hAnsi="微軟正黑體"/>
      <w:color w:val="BC8AD7"/>
      <w:spacing w:val="15"/>
    </w:rPr>
  </w:style>
  <w:style w:type="paragraph" w:customStyle="1" w:styleId="cssfont01">
    <w:name w:val="cssfont01"/>
    <w:basedOn w:val="a"/>
    <w:pPr>
      <w:spacing w:before="100" w:beforeAutospacing="1" w:after="100" w:afterAutospacing="1" w:line="384" w:lineRule="atLeast"/>
    </w:pPr>
    <w:rPr>
      <w:rFonts w:ascii="微軟正黑體" w:eastAsia="微軟正黑體" w:hAnsi="微軟正黑體"/>
      <w:color w:val="008F29"/>
      <w:spacing w:val="15"/>
    </w:rPr>
  </w:style>
  <w:style w:type="paragraph" w:customStyle="1" w:styleId="cssmyhead">
    <w:name w:val="cssmyhead"/>
    <w:basedOn w:val="a"/>
    <w:pPr>
      <w:shd w:val="clear" w:color="auto" w:fill="0DB9BB"/>
      <w:spacing w:before="100" w:beforeAutospacing="1" w:after="100" w:afterAutospacing="1" w:line="384" w:lineRule="atLeast"/>
    </w:pPr>
    <w:rPr>
      <w:rFonts w:ascii="微軟正黑體" w:eastAsia="微軟正黑體" w:hAnsi="微軟正黑體"/>
      <w:b/>
      <w:bCs/>
      <w:color w:val="FFFFFF"/>
      <w:spacing w:val="15"/>
    </w:rPr>
  </w:style>
  <w:style w:type="paragraph" w:customStyle="1" w:styleId="box01">
    <w:name w:val="box01"/>
    <w:basedOn w:val="a"/>
    <w:pPr>
      <w:pBdr>
        <w:top w:val="single" w:sz="6" w:space="0" w:color="1BCDD1"/>
        <w:left w:val="single" w:sz="6" w:space="0" w:color="1BCDD1"/>
        <w:bottom w:val="single" w:sz="6" w:space="0" w:color="1BCDD1"/>
        <w:right w:val="single" w:sz="6" w:space="0" w:color="1BCDD1"/>
      </w:pBdr>
      <w:shd w:val="clear" w:color="auto" w:fill="DDDDDD"/>
      <w:spacing w:before="100" w:beforeAutospacing="1" w:after="100" w:afterAutospacing="1"/>
    </w:pPr>
  </w:style>
  <w:style w:type="paragraph" w:customStyle="1" w:styleId="box02">
    <w:name w:val="box02"/>
    <w:basedOn w:val="a"/>
    <w:pPr>
      <w:pBdr>
        <w:top w:val="single" w:sz="6" w:space="0" w:color="A0B5D3"/>
        <w:left w:val="single" w:sz="6" w:space="0" w:color="A0B5D3"/>
        <w:bottom w:val="single" w:sz="6" w:space="0" w:color="A0B5D3"/>
        <w:right w:val="single" w:sz="6" w:space="0" w:color="A0B5D3"/>
      </w:pBdr>
      <w:shd w:val="clear" w:color="auto" w:fill="FFFFFF"/>
      <w:spacing w:before="100" w:beforeAutospacing="1" w:after="100" w:afterAutospacing="1"/>
    </w:pPr>
    <w:rPr>
      <w:color w:val="000000"/>
    </w:rPr>
  </w:style>
  <w:style w:type="paragraph" w:customStyle="1" w:styleId="box03">
    <w:name w:val="box03"/>
    <w:basedOn w:val="a"/>
    <w:pPr>
      <w:pBdr>
        <w:top w:val="single" w:sz="6" w:space="0" w:color="A0B5D3"/>
        <w:left w:val="single" w:sz="6" w:space="0" w:color="A0B5D3"/>
        <w:bottom w:val="single" w:sz="6" w:space="0" w:color="A0B5D3"/>
        <w:right w:val="single" w:sz="6" w:space="0" w:color="A0B5D3"/>
      </w:pBdr>
      <w:shd w:val="clear" w:color="auto" w:fill="D0D0D0"/>
      <w:spacing w:before="100" w:beforeAutospacing="1" w:after="100" w:afterAutospacing="1"/>
    </w:pPr>
    <w:rPr>
      <w:color w:val="000000"/>
    </w:rPr>
  </w:style>
  <w:style w:type="paragraph" w:customStyle="1" w:styleId="box04">
    <w:name w:val="box04"/>
    <w:basedOn w:val="a"/>
    <w:pPr>
      <w:pBdr>
        <w:top w:val="single" w:sz="6" w:space="0" w:color="7070B8"/>
        <w:left w:val="single" w:sz="6" w:space="0" w:color="7070B8"/>
        <w:right w:val="single" w:sz="6" w:space="0" w:color="7070B8"/>
      </w:pBdr>
      <w:shd w:val="clear" w:color="auto" w:fill="E4E2F3"/>
      <w:spacing w:before="100" w:beforeAutospacing="1" w:after="100" w:afterAutospacing="1"/>
    </w:pPr>
  </w:style>
  <w:style w:type="paragraph" w:customStyle="1" w:styleId="box05">
    <w:name w:val="box05"/>
    <w:basedOn w:val="a"/>
    <w:pPr>
      <w:pBdr>
        <w:left w:val="single" w:sz="6" w:space="0" w:color="7070B8"/>
        <w:bottom w:val="single" w:sz="6" w:space="0" w:color="7070B8"/>
        <w:right w:val="single" w:sz="6" w:space="0" w:color="7070B8"/>
      </w:pBdr>
      <w:shd w:val="clear" w:color="auto" w:fill="E4E2F3"/>
      <w:spacing w:before="100" w:beforeAutospacing="1" w:after="100" w:afterAutospacing="1"/>
    </w:pPr>
  </w:style>
  <w:style w:type="paragraph" w:customStyle="1" w:styleId="box06">
    <w:name w:val="box06"/>
    <w:basedOn w:val="a"/>
    <w:pPr>
      <w:pBdr>
        <w:left w:val="single" w:sz="6" w:space="0" w:color="7070B8"/>
        <w:right w:val="single" w:sz="6" w:space="0" w:color="7070B8"/>
      </w:pBdr>
      <w:shd w:val="clear" w:color="auto" w:fill="E4E2F3"/>
      <w:spacing w:before="100" w:beforeAutospacing="1" w:after="100" w:afterAutospacing="1"/>
    </w:pPr>
  </w:style>
  <w:style w:type="paragraph" w:customStyle="1" w:styleId="bg01">
    <w:name w:val="bg01"/>
    <w:basedOn w:val="a"/>
    <w:pPr>
      <w:shd w:val="clear" w:color="auto" w:fill="E3E9F2"/>
      <w:spacing w:before="100" w:beforeAutospacing="1" w:after="100" w:afterAutospacing="1"/>
    </w:pPr>
  </w:style>
  <w:style w:type="paragraph" w:customStyle="1" w:styleId="bg02">
    <w:name w:val="bg02"/>
    <w:basedOn w:val="a"/>
    <w:pPr>
      <w:shd w:val="clear" w:color="auto" w:fill="0DB9BB"/>
      <w:spacing w:before="100" w:beforeAutospacing="1" w:after="100" w:afterAutospacing="1" w:line="450" w:lineRule="atLeast"/>
    </w:pPr>
    <w:rPr>
      <w:rFonts w:ascii="微軟正黑體" w:eastAsia="微軟正黑體" w:hAnsi="微軟正黑體"/>
      <w:color w:val="FFFFFF"/>
    </w:rPr>
  </w:style>
  <w:style w:type="paragraph" w:customStyle="1" w:styleId="bg03">
    <w:name w:val="bg03"/>
    <w:basedOn w:val="a"/>
    <w:pPr>
      <w:shd w:val="clear" w:color="auto" w:fill="FFFFFF"/>
      <w:spacing w:before="100" w:beforeAutospacing="1" w:after="100" w:afterAutospacing="1" w:line="360" w:lineRule="atLeast"/>
    </w:pPr>
    <w:rPr>
      <w:rFonts w:ascii="微軟正黑體" w:eastAsia="微軟正黑體" w:hAnsi="微軟正黑體"/>
      <w:color w:val="000000"/>
    </w:rPr>
  </w:style>
  <w:style w:type="paragraph" w:customStyle="1" w:styleId="bg04">
    <w:name w:val="bg04"/>
    <w:basedOn w:val="a"/>
    <w:pPr>
      <w:shd w:val="clear" w:color="auto" w:fill="F9F9F9"/>
      <w:spacing w:before="100" w:beforeAutospacing="1" w:after="100" w:afterAutospacing="1" w:line="360" w:lineRule="atLeast"/>
    </w:pPr>
    <w:rPr>
      <w:rFonts w:ascii="微軟正黑體" w:eastAsia="微軟正黑體" w:hAnsi="微軟正黑體"/>
      <w:color w:val="000000"/>
    </w:rPr>
  </w:style>
  <w:style w:type="paragraph" w:customStyle="1" w:styleId="bg05">
    <w:name w:val="bg05"/>
    <w:basedOn w:val="a"/>
    <w:pPr>
      <w:shd w:val="clear" w:color="auto" w:fill="8CAAE6"/>
      <w:spacing w:before="100" w:beforeAutospacing="1" w:after="100" w:afterAutospacing="1"/>
    </w:pPr>
    <w:rPr>
      <w:color w:val="000000"/>
    </w:rPr>
  </w:style>
  <w:style w:type="paragraph" w:customStyle="1" w:styleId="bg06">
    <w:name w:val="bg06"/>
    <w:basedOn w:val="a"/>
    <w:pPr>
      <w:shd w:val="clear" w:color="auto" w:fill="E6E6FA"/>
      <w:spacing w:before="100" w:beforeAutospacing="1" w:after="100" w:afterAutospacing="1"/>
    </w:pPr>
    <w:rPr>
      <w:color w:val="000000"/>
    </w:rPr>
  </w:style>
  <w:style w:type="paragraph" w:customStyle="1" w:styleId="bg07">
    <w:name w:val="bg07"/>
    <w:basedOn w:val="a"/>
    <w:pPr>
      <w:shd w:val="clear" w:color="auto" w:fill="FFA07A"/>
      <w:spacing w:before="100" w:beforeAutospacing="1" w:after="100" w:afterAutospacing="1"/>
    </w:pPr>
    <w:rPr>
      <w:color w:val="000000"/>
    </w:rPr>
  </w:style>
  <w:style w:type="paragraph" w:customStyle="1" w:styleId="bg08">
    <w:name w:val="bg08"/>
    <w:basedOn w:val="a"/>
    <w:pPr>
      <w:shd w:val="clear" w:color="auto" w:fill="E6EEFD"/>
      <w:spacing w:before="100" w:beforeAutospacing="1" w:after="100" w:afterAutospacing="1"/>
    </w:pPr>
  </w:style>
  <w:style w:type="paragraph" w:customStyle="1" w:styleId="font01">
    <w:name w:val="font01"/>
    <w:basedOn w:val="a"/>
    <w:pPr>
      <w:spacing w:before="100" w:beforeAutospacing="1" w:after="100" w:afterAutospacing="1" w:line="384" w:lineRule="atLeast"/>
    </w:pPr>
    <w:rPr>
      <w:rFonts w:ascii="微軟正黑體" w:eastAsia="微軟正黑體" w:hAnsi="微軟正黑體"/>
      <w:color w:val="000000"/>
    </w:rPr>
  </w:style>
  <w:style w:type="paragraph" w:customStyle="1" w:styleId="font02">
    <w:name w:val="font02"/>
    <w:basedOn w:val="a"/>
    <w:pPr>
      <w:spacing w:before="100" w:beforeAutospacing="1" w:after="100" w:afterAutospacing="1" w:line="384" w:lineRule="atLeast"/>
    </w:pPr>
    <w:rPr>
      <w:b/>
      <w:bCs/>
      <w:color w:val="000000"/>
      <w:spacing w:val="30"/>
    </w:rPr>
  </w:style>
  <w:style w:type="paragraph" w:customStyle="1" w:styleId="font03">
    <w:name w:val="font03"/>
    <w:basedOn w:val="a"/>
    <w:pPr>
      <w:spacing w:before="100" w:beforeAutospacing="1" w:after="100" w:afterAutospacing="1" w:line="432" w:lineRule="atLeast"/>
    </w:pPr>
    <w:rPr>
      <w:rFonts w:ascii="Tahoma" w:hAnsi="Tahoma" w:cs="Tahoma"/>
      <w:b/>
      <w:bCs/>
      <w:color w:val="000000"/>
      <w:spacing w:val="15"/>
      <w:sz w:val="29"/>
      <w:szCs w:val="29"/>
    </w:rPr>
  </w:style>
  <w:style w:type="paragraph" w:customStyle="1" w:styleId="font04">
    <w:name w:val="font04"/>
    <w:basedOn w:val="a"/>
    <w:pPr>
      <w:spacing w:before="100" w:beforeAutospacing="1" w:after="100" w:afterAutospacing="1" w:line="384" w:lineRule="atLeast"/>
    </w:pPr>
    <w:rPr>
      <w:color w:val="FF0000"/>
      <w:spacing w:val="30"/>
    </w:rPr>
  </w:style>
  <w:style w:type="paragraph" w:customStyle="1" w:styleId="font05">
    <w:name w:val="font05"/>
    <w:basedOn w:val="a"/>
    <w:pPr>
      <w:spacing w:before="100" w:beforeAutospacing="1" w:after="100" w:afterAutospacing="1" w:line="432" w:lineRule="atLeast"/>
    </w:pPr>
    <w:rPr>
      <w:rFonts w:ascii="Tahoma" w:hAnsi="Tahoma" w:cs="Tahoma"/>
      <w:color w:val="003366"/>
      <w:spacing w:val="15"/>
      <w:sz w:val="29"/>
      <w:szCs w:val="29"/>
    </w:rPr>
  </w:style>
  <w:style w:type="paragraph" w:customStyle="1" w:styleId="font06">
    <w:name w:val="font06"/>
    <w:basedOn w:val="a"/>
    <w:pPr>
      <w:spacing w:before="100" w:beforeAutospacing="1" w:after="100" w:afterAutospacing="1"/>
    </w:pPr>
    <w:rPr>
      <w:color w:val="7878AA"/>
      <w:spacing w:val="15"/>
    </w:rPr>
  </w:style>
  <w:style w:type="paragraph" w:customStyle="1" w:styleId="linkfnt01">
    <w:name w:val="link_fnt01"/>
    <w:basedOn w:val="a"/>
    <w:pPr>
      <w:spacing w:before="100" w:beforeAutospacing="1" w:after="100" w:afterAutospacing="1" w:line="384" w:lineRule="atLeast"/>
    </w:pPr>
    <w:rPr>
      <w:rFonts w:ascii="Tahoma" w:hAnsi="Tahoma" w:cs="Tahoma"/>
      <w:color w:val="006699"/>
      <w:spacing w:val="15"/>
    </w:rPr>
  </w:style>
  <w:style w:type="paragraph" w:customStyle="1" w:styleId="color01">
    <w:name w:val="color01"/>
    <w:basedOn w:val="a"/>
    <w:pPr>
      <w:spacing w:before="100" w:beforeAutospacing="1" w:after="100" w:afterAutospacing="1"/>
    </w:pPr>
    <w:rPr>
      <w:color w:val="FF0000"/>
    </w:rPr>
  </w:style>
  <w:style w:type="paragraph" w:customStyle="1" w:styleId="color02">
    <w:name w:val="color02"/>
    <w:basedOn w:val="a"/>
    <w:pPr>
      <w:spacing w:before="100" w:beforeAutospacing="1" w:after="100" w:afterAutospacing="1"/>
    </w:pPr>
    <w:rPr>
      <w:color w:val="008000"/>
    </w:rPr>
  </w:style>
  <w:style w:type="paragraph" w:customStyle="1" w:styleId="color03">
    <w:name w:val="color03"/>
    <w:basedOn w:val="a"/>
    <w:pPr>
      <w:spacing w:before="100" w:beforeAutospacing="1" w:after="100" w:afterAutospacing="1"/>
    </w:pPr>
    <w:rPr>
      <w:color w:val="0000FF"/>
    </w:rPr>
  </w:style>
  <w:style w:type="paragraph" w:customStyle="1" w:styleId="color04">
    <w:name w:val="color04"/>
    <w:basedOn w:val="a"/>
    <w:pPr>
      <w:spacing w:before="100" w:beforeAutospacing="1" w:after="100" w:afterAutospacing="1"/>
    </w:pPr>
    <w:rPr>
      <w:color w:val="000000"/>
    </w:rPr>
  </w:style>
  <w:style w:type="paragraph" w:customStyle="1" w:styleId="button01">
    <w:name w:val="button01"/>
    <w:basedOn w:val="a"/>
    <w:pPr>
      <w:pBdr>
        <w:top w:val="single" w:sz="6" w:space="0" w:color="05AAAC"/>
        <w:left w:val="single" w:sz="6" w:space="0" w:color="05AAAC"/>
        <w:bottom w:val="single" w:sz="6" w:space="0" w:color="05AAAC"/>
        <w:right w:val="single" w:sz="6" w:space="0" w:color="05AAAC"/>
      </w:pBdr>
      <w:shd w:val="clear" w:color="auto" w:fill="17CACE"/>
      <w:spacing w:before="100" w:beforeAutospacing="1" w:after="100" w:afterAutospacing="1"/>
    </w:pPr>
    <w:rPr>
      <w:rFonts w:ascii="微軟正黑體" w:eastAsia="微軟正黑體" w:hAnsi="微軟正黑體"/>
      <w:color w:val="FFFFFF"/>
    </w:rPr>
  </w:style>
  <w:style w:type="paragraph" w:customStyle="1" w:styleId="button01disabled">
    <w:name w:val="button01[disabled]"/>
    <w:basedOn w:val="a"/>
    <w:pPr>
      <w:pBdr>
        <w:top w:val="single" w:sz="6" w:space="0" w:color="DCDCDC"/>
        <w:left w:val="single" w:sz="6" w:space="0" w:color="DCDCDC"/>
        <w:bottom w:val="single" w:sz="6" w:space="0" w:color="DCDCDC"/>
        <w:right w:val="single" w:sz="6" w:space="0" w:color="DCDCDC"/>
      </w:pBdr>
      <w:shd w:val="clear" w:color="auto" w:fill="F9F9F9"/>
      <w:spacing w:before="100" w:beforeAutospacing="1" w:after="100" w:afterAutospacing="1"/>
    </w:pPr>
    <w:rPr>
      <w:rFonts w:ascii="微軟正黑體" w:eastAsia="微軟正黑體" w:hAnsi="微軟正黑體"/>
      <w:color w:val="C0C0C0"/>
    </w:rPr>
  </w:style>
  <w:style w:type="paragraph" w:customStyle="1" w:styleId="node-lcms">
    <w:name w:val="node-lcms"/>
    <w:basedOn w:val="a"/>
    <w:pPr>
      <w:spacing w:before="100" w:beforeAutospacing="1" w:after="100" w:afterAutospacing="1"/>
      <w:ind w:left="120"/>
    </w:pPr>
  </w:style>
  <w:style w:type="paragraph" w:customStyle="1" w:styleId="cketop">
    <w:name w:val="cke_top"/>
    <w:basedOn w:val="a"/>
    <w:pPr>
      <w:spacing w:before="100" w:beforeAutospacing="1" w:after="100" w:afterAutospacing="1"/>
    </w:pPr>
  </w:style>
  <w:style w:type="paragraph" w:customStyle="1" w:styleId="ckecontents">
    <w:name w:val="cke_contents"/>
    <w:basedOn w:val="a"/>
    <w:pPr>
      <w:spacing w:before="100" w:beforeAutospacing="1" w:after="100" w:afterAutospacing="1"/>
    </w:pPr>
  </w:style>
  <w:style w:type="paragraph" w:customStyle="1" w:styleId="ckebottom">
    <w:name w:val="cke_bottom"/>
    <w:basedOn w:val="a"/>
    <w:pPr>
      <w:spacing w:before="100" w:beforeAutospacing="1" w:after="100" w:afterAutospacing="1"/>
    </w:pPr>
  </w:style>
  <w:style w:type="paragraph" w:customStyle="1" w:styleId="cssanchor1">
    <w:name w:val="cssanchor1"/>
    <w:basedOn w:val="a"/>
    <w:pPr>
      <w:spacing w:before="100" w:beforeAutospacing="1" w:after="100" w:afterAutospacing="1" w:line="384" w:lineRule="atLeast"/>
    </w:pPr>
    <w:rPr>
      <w:rFonts w:ascii="微軟正黑體" w:eastAsia="微軟正黑體" w:hAnsi="微軟正黑體"/>
      <w:b/>
      <w:bCs/>
      <w:color w:val="FFFFFF"/>
    </w:rPr>
  </w:style>
  <w:style w:type="paragraph" w:customStyle="1" w:styleId="cssanchor2">
    <w:name w:val="cssanchor2"/>
    <w:basedOn w:val="a"/>
    <w:pPr>
      <w:spacing w:before="100" w:beforeAutospacing="1" w:after="100" w:afterAutospacing="1" w:line="384" w:lineRule="atLeast"/>
    </w:pPr>
    <w:rPr>
      <w:rFonts w:ascii="微軟正黑體" w:eastAsia="微軟正黑體" w:hAnsi="微軟正黑體"/>
      <w:b/>
      <w:bCs/>
      <w:color w:val="FFFFFF"/>
      <w:u w:val="single"/>
    </w:rPr>
  </w:style>
  <w:style w:type="paragraph" w:customStyle="1" w:styleId="csstrevn1">
    <w:name w:val="csstrevn1"/>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evn2">
    <w:name w:val="csstrevn2"/>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evn3">
    <w:name w:val="csstrevn3"/>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ketop1">
    <w:name w:val="cke_top1"/>
    <w:basedOn w:val="a"/>
    <w:pPr>
      <w:spacing w:before="100" w:beforeAutospacing="1" w:after="100" w:afterAutospacing="1"/>
    </w:pPr>
  </w:style>
  <w:style w:type="paragraph" w:customStyle="1" w:styleId="ckecontents1">
    <w:name w:val="cke_contents1"/>
    <w:basedOn w:val="a"/>
    <w:pPr>
      <w:spacing w:before="100" w:beforeAutospacing="1" w:after="100" w:afterAutospacing="1"/>
    </w:pPr>
  </w:style>
  <w:style w:type="paragraph" w:customStyle="1" w:styleId="ckebottom1">
    <w:name w:val="cke_bottom1"/>
    <w:basedOn w:val="a"/>
    <w:pPr>
      <w:spacing w:before="100" w:beforeAutospacing="1" w:after="100" w:afterAutospacing="1"/>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表單的頂端 字元"/>
    <w:basedOn w:val="a0"/>
    <w:link w:val="z-"/>
    <w:uiPriority w:val="99"/>
    <w:semiHidden/>
    <w:rPr>
      <w:rFonts w:ascii="Arial" w:eastAsia="新細明體"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表單的底部 字元"/>
    <w:basedOn w:val="a0"/>
    <w:link w:val="z-1"/>
    <w:uiPriority w:val="99"/>
    <w:semiHidden/>
    <w:rPr>
      <w:rFonts w:ascii="Arial" w:eastAsia="新細明體" w:hAnsi="Arial" w:cs="Arial"/>
      <w:vanish/>
      <w:sz w:val="16"/>
      <w:szCs w:val="16"/>
    </w:rPr>
  </w:style>
  <w:style w:type="paragraph" w:styleId="a3">
    <w:name w:val="header"/>
    <w:basedOn w:val="a"/>
    <w:link w:val="a4"/>
    <w:uiPriority w:val="99"/>
    <w:unhideWhenUsed/>
    <w:rsid w:val="00943E1D"/>
    <w:pPr>
      <w:tabs>
        <w:tab w:val="center" w:pos="4153"/>
        <w:tab w:val="right" w:pos="8306"/>
      </w:tabs>
      <w:snapToGrid w:val="0"/>
    </w:pPr>
    <w:rPr>
      <w:sz w:val="20"/>
      <w:szCs w:val="20"/>
    </w:rPr>
  </w:style>
  <w:style w:type="character" w:customStyle="1" w:styleId="a4">
    <w:name w:val="頁首 字元"/>
    <w:basedOn w:val="a0"/>
    <w:link w:val="a3"/>
    <w:uiPriority w:val="99"/>
    <w:rsid w:val="00943E1D"/>
    <w:rPr>
      <w:rFonts w:ascii="新細明體" w:eastAsia="新細明體" w:hAnsi="新細明體" w:cs="新細明體"/>
    </w:rPr>
  </w:style>
  <w:style w:type="paragraph" w:styleId="a5">
    <w:name w:val="footer"/>
    <w:basedOn w:val="a"/>
    <w:link w:val="a6"/>
    <w:uiPriority w:val="99"/>
    <w:unhideWhenUsed/>
    <w:rsid w:val="00943E1D"/>
    <w:pPr>
      <w:tabs>
        <w:tab w:val="center" w:pos="4153"/>
        <w:tab w:val="right" w:pos="8306"/>
      </w:tabs>
      <w:snapToGrid w:val="0"/>
    </w:pPr>
    <w:rPr>
      <w:sz w:val="20"/>
      <w:szCs w:val="20"/>
    </w:rPr>
  </w:style>
  <w:style w:type="character" w:customStyle="1" w:styleId="a6">
    <w:name w:val="頁尾 字元"/>
    <w:basedOn w:val="a0"/>
    <w:link w:val="a5"/>
    <w:uiPriority w:val="99"/>
    <w:rsid w:val="00943E1D"/>
    <w:rPr>
      <w:rFonts w:ascii="新細明體" w:eastAsia="新細明體" w:hAnsi="新細明體" w:cs="新細明體"/>
    </w:rPr>
  </w:style>
  <w:style w:type="paragraph" w:styleId="a7">
    <w:name w:val="List Paragraph"/>
    <w:basedOn w:val="a"/>
    <w:uiPriority w:val="34"/>
    <w:qFormat/>
    <w:rsid w:val="000643E9"/>
    <w:pPr>
      <w:widowControl w:val="0"/>
      <w:ind w:leftChars="200" w:left="480"/>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wmf"/><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gi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10" Type="http://schemas.openxmlformats.org/officeDocument/2006/relationships/control" Target="activeX/activeX1.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1111</Words>
  <Characters>699</Characters>
  <Application>Microsoft Office Word</Application>
  <DocSecurity>0</DocSecurity>
  <Lines>5</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2025-07-27T06:12:00Z</dcterms:created>
  <dcterms:modified xsi:type="dcterms:W3CDTF">2025-08-02T03:15:00Z</dcterms:modified>
</cp:coreProperties>
</file>