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1319D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1319D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319DA" w:rsidRDefault="00CC5F1B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1319DA" w:rsidRDefault="00CC5F1B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19DA" w:rsidRDefault="00CC5F1B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319DA" w:rsidRDefault="00CC5F1B">
                  <w:r>
                    <w:t xml:space="preserve">  </w:t>
                  </w:r>
                </w:p>
              </w:tc>
            </w:tr>
          </w:tbl>
          <w:p w:rsidR="001319DA" w:rsidRDefault="001319DA"/>
        </w:tc>
      </w:tr>
      <w:tr w:rsidR="001319DA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1319DA" w:rsidRDefault="00CC5F1B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1319DA" w:rsidRDefault="00CC5F1B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in;height:17.75pt" o:ole="">
                  <v:imagedata r:id="rId9" o:title=""/>
                </v:shape>
                <w:control r:id="rId10" w:name="DefaultOcxName" w:shapeid="_x0000_i1056"/>
              </w:object>
            </w:r>
            <w:r>
              <w:object w:dxaOrig="225" w:dyaOrig="225">
                <v:shape id="_x0000_i1059" type="#_x0000_t75" style="width:1in;height:17.75pt" o:ole="">
                  <v:imagedata r:id="rId9" o:title=""/>
                </v:shape>
                <w:control r:id="rId11" w:name="DefaultOcxName1" w:shapeid="_x0000_i1059"/>
              </w:object>
            </w:r>
            <w:r>
              <w:object w:dxaOrig="225" w:dyaOrig="225">
                <v:shape id="_x0000_i1062" type="#_x0000_t75" style="width:1in;height:17.75pt" o:ole="">
                  <v:imagedata r:id="rId9" o:title=""/>
                </v:shape>
                <w:control r:id="rId12" w:name="DefaultOcxName2" w:shapeid="_x0000_i1062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1319DA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1319DA" w:rsidRDefault="00CC5F1B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1319D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4401"/>
                    <w:gridCol w:w="7988"/>
                  </w:tblGrid>
                  <w:tr w:rsidR="001319DA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319DA" w:rsidRDefault="002A01C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CC5F1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. 銀行創造存款貨幣的能力與存款準備率</w:t>
                        </w:r>
                        <w:proofErr w:type="gramStart"/>
                        <w:r w:rsidR="00CC5F1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之間，</w:t>
                        </w:r>
                        <w:proofErr w:type="gramEnd"/>
                        <w:r w:rsidR="00CC5F1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具何種關係？ 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5" type="#_x0000_t75" style="width:20.55pt;height:19.65pt" o:ole="">
                              <v:imagedata r:id="rId13" o:title=""/>
                            </v:shape>
                            <w:control r:id="rId14" w:name="DefaultOcxName8" w:shapeid="_x0000_i106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正向關係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68" type="#_x0000_t75" style="width:20.55pt;height:19.65pt" o:ole="">
                              <v:imagedata r:id="rId13" o:title=""/>
                            </v:shape>
                            <w:control r:id="rId15" w:name="DefaultOcxName9" w:shapeid="_x0000_i106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反向關係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1" type="#_x0000_t75" style="width:20.55pt;height:19.65pt" o:ole="">
                              <v:imagedata r:id="rId13" o:title=""/>
                            </v:shape>
                            <w:control r:id="rId16" w:name="DefaultOcxName10" w:shapeid="_x0000_i107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毫無關聯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4" type="#_x0000_t75" style="width:20.55pt;height:19.65pt" o:ole="">
                              <v:imagedata r:id="rId13" o:title=""/>
                            </v:shape>
                            <w:control r:id="rId17" w:name="DefaultOcxName11" w:shapeid="_x0000_i107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無法確定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存款準備率愈高，會削弱銀行創造存款貨幣的能力，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兩者呈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反向關係。</w:t>
                        </w:r>
                        <w:r w:rsidR="00D86F9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(第7章第二節</w:t>
                        </w:r>
                        <w:r w:rsidR="00D86F92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1319DA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319DA" w:rsidRDefault="002A01C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CC5F1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若大眾持有現金的比率越高，則銀行體系可創造出來的存款： 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7" type="#_x0000_t75" style="width:20.55pt;height:19.65pt" o:ole="">
                              <v:imagedata r:id="rId13" o:title=""/>
                            </v:shape>
                            <w:control r:id="rId18" w:name="DefaultOcxName22" w:shapeid="_x0000_i107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越多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80" type="#_x0000_t75" style="width:20.55pt;height:19.65pt" o:ole="">
                              <v:imagedata r:id="rId13" o:title=""/>
                            </v:shape>
                            <w:control r:id="rId19" w:name="DefaultOcxName23" w:shapeid="_x0000_i108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越少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3" type="#_x0000_t75" style="width:20.55pt;height:19.65pt" o:ole="">
                              <v:imagedata r:id="rId13" o:title=""/>
                            </v:shape>
                            <w:control r:id="rId20" w:name="DefaultOcxName24" w:shapeid="_x0000_i108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不變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6" type="#_x0000_t75" style="width:20.55pt;height:19.65pt" o:ole="">
                              <v:imagedata r:id="rId13" o:title=""/>
                            </v:shape>
                            <w:control r:id="rId21" w:name="DefaultOcxName25" w:shapeid="_x0000_i108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無法確定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現金外流會使銀行準備金減少，進而減少銀行放款和存款貨幣創造的能力。</w:t>
                        </w:r>
                        <w:r w:rsidR="00D86F9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(第7節第三節</w:t>
                        </w:r>
                        <w:r w:rsidR="00D86F92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1319DA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319DA" w:rsidRDefault="002A01C5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CC5F1B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銀行體系的超額準備增加，在其他情況不變下，貨幣供給將會： 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lastRenderedPageBreak/>
                          <w:object w:dxaOrig="225" w:dyaOrig="225">
                            <v:shape id="_x0000_i1089" type="#_x0000_t75" style="width:20.55pt;height:19.65pt" o:ole="">
                              <v:imagedata r:id="rId13" o:title=""/>
                            </v:shape>
                            <w:control r:id="rId22" w:name="DefaultOcxName26" w:shapeid="_x0000_i108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增加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92" type="#_x0000_t75" style="width:20.55pt;height:19.65pt" o:ole="">
                              <v:imagedata r:id="rId13" o:title=""/>
                            </v:shape>
                            <w:control r:id="rId23" w:name="DefaultOcxName27" w:shapeid="_x0000_i109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減少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5" type="#_x0000_t75" style="width:20.55pt;height:19.65pt" o:ole="">
                              <v:imagedata r:id="rId13" o:title=""/>
                            </v:shape>
                            <w:control r:id="rId24" w:name="DefaultOcxName28" w:shapeid="_x0000_i109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不變</w:t>
                        </w:r>
                      </w:p>
                      <w:p w:rsidR="001319DA" w:rsidRDefault="00CC5F1B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8" type="#_x0000_t75" style="width:20.55pt;height:19.65pt" o:ole="">
                              <v:imagedata r:id="rId13" o:title=""/>
                            </v:shape>
                            <w:control r:id="rId25" w:name="DefaultOcxName29" w:shapeid="_x0000_i109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無法確定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319DA" w:rsidRDefault="00CC5F1B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lastRenderedPageBreak/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銀行保有超額準備增加時，其可用來放款或投資的資金便會減少，進而減少銀行的存款貨幣創造，導致貨幣供給減少。</w:t>
                        </w:r>
                        <w:r w:rsidR="00D86F9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(第7章第三節</w:t>
                        </w:r>
                        <w:r w:rsidR="00D86F92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1319DA" w:rsidRDefault="001319DA"/>
              </w:tc>
            </w:tr>
            <w:tr w:rsidR="001319D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1319DA" w:rsidRDefault="001319D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319DA" w:rsidRDefault="00CC5F1B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1319DA" w:rsidRDefault="001319DA"/>
        </w:tc>
      </w:tr>
    </w:tbl>
    <w:p w:rsidR="001319DA" w:rsidRPr="002A01C5" w:rsidRDefault="001319DA">
      <w:pPr>
        <w:rPr>
          <w:rFonts w:asciiTheme="minorEastAsia" w:eastAsiaTheme="minorEastAsia" w:hAnsiTheme="minorEastAsia"/>
          <w:b/>
        </w:rPr>
      </w:pPr>
    </w:p>
    <w:p w:rsidR="00407254" w:rsidRDefault="002A01C5" w:rsidP="002A01C5">
      <w:pPr>
        <w:widowControl w:val="0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2A01C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4.</w:t>
      </w:r>
      <w:r w:rsidR="00125037" w:rsidRPr="002A01C5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(</w:t>
      </w:r>
      <w:r w:rsidR="00CC18E4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B</w:t>
      </w:r>
      <w:r w:rsidR="00125037" w:rsidRPr="002A01C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  <w:r w:rsidR="00125037" w:rsidRPr="002A01C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關於限制存款貨幣創造的因素，下列敘述何者有誤</w:t>
      </w:r>
      <w:r w:rsidR="0040725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？</w:t>
      </w:r>
    </w:p>
    <w:p w:rsidR="00407254" w:rsidRDefault="00125037" w:rsidP="002A01C5">
      <w:pPr>
        <w:widowControl w:val="0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2A01C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(</w:t>
      </w:r>
      <w:r w:rsidRPr="002A01C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A)</w:t>
      </w:r>
      <w:r w:rsidR="00CC18E4" w:rsidRPr="002A01C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現金外流會削弱銀行體系創造存款貨幣的能力</w:t>
      </w:r>
    </w:p>
    <w:p w:rsidR="00407254" w:rsidRDefault="00125037" w:rsidP="002A01C5">
      <w:pPr>
        <w:widowControl w:val="0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2A01C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="00CC18E4" w:rsidRPr="002A01C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為了應付存款人的臨時提領，銀行將保持有比法定準備更少的資金，進而減少銀行的存款貨幣創造</w:t>
      </w:r>
    </w:p>
    <w:p w:rsidR="00407254" w:rsidRDefault="00125037" w:rsidP="002A01C5">
      <w:pPr>
        <w:widowControl w:val="0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2A01C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Pr="002A01C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銀行沒有足夠的放款或投資機會，將會持有超額準備，減少存款貨幣創造</w:t>
      </w:r>
      <w:bookmarkStart w:id="0" w:name="_GoBack"/>
      <w:bookmarkEnd w:id="0"/>
    </w:p>
    <w:p w:rsidR="00407254" w:rsidRDefault="00CC18E4" w:rsidP="002A01C5">
      <w:pPr>
        <w:widowControl w:val="0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</w:t>
      </w:r>
      <w:r w:rsidR="00125037" w:rsidRPr="002A01C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D)</w:t>
      </w:r>
      <w:r w:rsidRPr="002A01C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經濟不景氣時，客戶不願意自銀行取得借款，將增加銀行的超額準備，減少其存款貨幣創造</w:t>
      </w:r>
    </w:p>
    <w:p w:rsidR="001A3C52" w:rsidRPr="002A01C5" w:rsidRDefault="00125037" w:rsidP="002A01C5">
      <w:pPr>
        <w:widowControl w:val="0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2A01C5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(</w:t>
      </w:r>
      <w:r w:rsidRPr="002A01C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p.209-211</w:t>
      </w:r>
      <w:r w:rsidR="00D86F92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，第7章第三節</w:t>
      </w:r>
      <w:r w:rsidRPr="002A01C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p w:rsidR="00125037" w:rsidRPr="002A01C5" w:rsidRDefault="00125037" w:rsidP="00125037">
      <w:pPr>
        <w:widowControl w:val="0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1A3C52" w:rsidRPr="002A01C5" w:rsidRDefault="001A3C52">
      <w:pPr>
        <w:rPr>
          <w:rFonts w:asciiTheme="minorEastAsia" w:eastAsiaTheme="minorEastAsia" w:hAnsiTheme="minorEastAsia"/>
          <w:b/>
        </w:rPr>
      </w:pPr>
    </w:p>
    <w:p w:rsidR="00B164C2" w:rsidRPr="002A01C5" w:rsidRDefault="00B164C2">
      <w:pPr>
        <w:rPr>
          <w:rFonts w:asciiTheme="minorEastAsia" w:eastAsiaTheme="minorEastAsia" w:hAnsiTheme="minorEastAsia"/>
          <w:b/>
        </w:rPr>
      </w:pPr>
    </w:p>
    <w:p w:rsidR="00407254" w:rsidRDefault="002A01C5">
      <w:pPr>
        <w:rPr>
          <w:rFonts w:asciiTheme="minorEastAsia" w:eastAsiaTheme="minorEastAsia" w:hAnsiTheme="minorEastAsia"/>
          <w:b/>
          <w:sz w:val="28"/>
          <w:szCs w:val="28"/>
        </w:rPr>
      </w:pPr>
      <w:r w:rsidRPr="002A01C5">
        <w:rPr>
          <w:rFonts w:asciiTheme="minorEastAsia" w:eastAsiaTheme="minorEastAsia" w:hAnsiTheme="minorEastAsia"/>
          <w:b/>
          <w:color w:val="FF0000"/>
          <w:sz w:val="28"/>
          <w:szCs w:val="28"/>
        </w:rPr>
        <w:t>5.</w:t>
      </w:r>
      <w:r w:rsidR="00B164C2" w:rsidRPr="002A01C5">
        <w:rPr>
          <w:rFonts w:asciiTheme="minorEastAsia" w:eastAsiaTheme="minorEastAsia" w:hAnsiTheme="minorEastAsia"/>
          <w:b/>
          <w:color w:val="FF0000"/>
          <w:sz w:val="28"/>
          <w:szCs w:val="28"/>
        </w:rPr>
        <w:t>(</w:t>
      </w:r>
      <w:r w:rsidR="001F53C4">
        <w:rPr>
          <w:rFonts w:asciiTheme="minorEastAsia" w:eastAsiaTheme="minorEastAsia" w:hAnsiTheme="minorEastAsia"/>
          <w:b/>
          <w:color w:val="FF0000"/>
          <w:sz w:val="28"/>
          <w:szCs w:val="28"/>
        </w:rPr>
        <w:t>D</w:t>
      </w:r>
      <w:r w:rsidR="00B164C2" w:rsidRPr="002A01C5">
        <w:rPr>
          <w:rFonts w:asciiTheme="minorEastAsia" w:eastAsiaTheme="minorEastAsia" w:hAnsiTheme="minorEastAsia"/>
          <w:b/>
          <w:color w:val="FF0000"/>
          <w:sz w:val="28"/>
          <w:szCs w:val="28"/>
        </w:rPr>
        <w:t>)</w:t>
      </w:r>
      <w:r w:rsidR="00B164C2" w:rsidRPr="002A01C5">
        <w:rPr>
          <w:rFonts w:asciiTheme="minorEastAsia" w:eastAsiaTheme="minorEastAsia" w:hAnsiTheme="minorEastAsia"/>
          <w:b/>
          <w:sz w:val="28"/>
          <w:szCs w:val="28"/>
        </w:rPr>
        <w:t>若中央銀行進行公開市場操作，向A銀行買入公債1,000元，</w:t>
      </w:r>
      <w:r w:rsidR="00B164C2" w:rsidRPr="002A01C5">
        <w:rPr>
          <w:rFonts w:asciiTheme="minorEastAsia" w:eastAsiaTheme="minorEastAsia" w:hAnsiTheme="minorEastAsia" w:hint="eastAsia"/>
          <w:b/>
          <w:sz w:val="28"/>
          <w:szCs w:val="28"/>
        </w:rPr>
        <w:t>目前</w:t>
      </w:r>
      <w:r w:rsidR="00B164C2" w:rsidRPr="002A01C5">
        <w:rPr>
          <w:rFonts w:asciiTheme="minorEastAsia" w:eastAsiaTheme="minorEastAsia" w:hAnsiTheme="minorEastAsia"/>
          <w:b/>
          <w:sz w:val="28"/>
          <w:szCs w:val="28"/>
        </w:rPr>
        <w:t>法定準備率為10%，通貨比率或現金外流率為15%，則銀行體系所創造的存款貨幣為：</w:t>
      </w:r>
    </w:p>
    <w:p w:rsidR="00407254" w:rsidRDefault="00B164C2">
      <w:pPr>
        <w:rPr>
          <w:rFonts w:asciiTheme="minorEastAsia" w:eastAsiaTheme="minorEastAsia" w:hAnsiTheme="minorEastAsia"/>
          <w:b/>
          <w:sz w:val="28"/>
          <w:szCs w:val="28"/>
        </w:rPr>
      </w:pPr>
      <w:r w:rsidRPr="002A01C5">
        <w:rPr>
          <w:rFonts w:asciiTheme="minorEastAsia" w:eastAsiaTheme="minorEastAsia" w:hAnsiTheme="minorEastAsia"/>
          <w:b/>
          <w:sz w:val="28"/>
          <w:szCs w:val="28"/>
        </w:rPr>
        <w:t>(A)</w:t>
      </w:r>
      <w:r w:rsidR="001F53C4">
        <w:rPr>
          <w:rFonts w:asciiTheme="minorEastAsia" w:eastAsiaTheme="minorEastAsia" w:hAnsiTheme="minorEastAsia"/>
          <w:b/>
          <w:sz w:val="28"/>
          <w:szCs w:val="28"/>
        </w:rPr>
        <w:t>1</w:t>
      </w:r>
      <w:r w:rsidRPr="002A01C5">
        <w:rPr>
          <w:rFonts w:asciiTheme="minorEastAsia" w:eastAsiaTheme="minorEastAsia" w:hAnsiTheme="minorEastAsia"/>
          <w:b/>
          <w:sz w:val="28"/>
          <w:szCs w:val="28"/>
        </w:rPr>
        <w:t xml:space="preserve">,000 </w:t>
      </w:r>
    </w:p>
    <w:p w:rsidR="00407254" w:rsidRDefault="00B164C2">
      <w:pPr>
        <w:rPr>
          <w:rFonts w:asciiTheme="minorEastAsia" w:eastAsiaTheme="minorEastAsia" w:hAnsiTheme="minorEastAsia"/>
          <w:b/>
          <w:sz w:val="28"/>
          <w:szCs w:val="28"/>
        </w:rPr>
      </w:pPr>
      <w:r w:rsidRPr="002A01C5">
        <w:rPr>
          <w:rFonts w:asciiTheme="minorEastAsia" w:eastAsiaTheme="minorEastAsia" w:hAnsiTheme="minorEastAsia"/>
          <w:b/>
          <w:sz w:val="28"/>
          <w:szCs w:val="28"/>
        </w:rPr>
        <w:t>(B)</w:t>
      </w:r>
      <w:r w:rsidR="001F53C4">
        <w:rPr>
          <w:rFonts w:asciiTheme="minorEastAsia" w:eastAsiaTheme="minorEastAsia" w:hAnsiTheme="minorEastAsia"/>
          <w:b/>
          <w:sz w:val="28"/>
          <w:szCs w:val="28"/>
        </w:rPr>
        <w:t>2</w:t>
      </w:r>
      <w:r w:rsidRPr="002A01C5">
        <w:rPr>
          <w:rFonts w:asciiTheme="minorEastAsia" w:eastAsiaTheme="minorEastAsia" w:hAnsiTheme="minorEastAsia"/>
          <w:b/>
          <w:sz w:val="28"/>
          <w:szCs w:val="28"/>
        </w:rPr>
        <w:t xml:space="preserve">,000 </w:t>
      </w:r>
    </w:p>
    <w:p w:rsidR="00407254" w:rsidRDefault="00B164C2">
      <w:pPr>
        <w:rPr>
          <w:rFonts w:asciiTheme="minorEastAsia" w:eastAsiaTheme="minorEastAsia" w:hAnsiTheme="minorEastAsia"/>
          <w:b/>
          <w:sz w:val="28"/>
          <w:szCs w:val="28"/>
        </w:rPr>
      </w:pPr>
      <w:r w:rsidRPr="002A01C5">
        <w:rPr>
          <w:rFonts w:asciiTheme="minorEastAsia" w:eastAsiaTheme="minorEastAsia" w:hAnsiTheme="minorEastAsia"/>
          <w:b/>
          <w:sz w:val="28"/>
          <w:szCs w:val="28"/>
        </w:rPr>
        <w:t>(C)</w:t>
      </w:r>
      <w:r w:rsidR="001F53C4"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2A01C5">
        <w:rPr>
          <w:rFonts w:asciiTheme="minorEastAsia" w:eastAsiaTheme="minorEastAsia" w:hAnsiTheme="minorEastAsia"/>
          <w:b/>
          <w:sz w:val="28"/>
          <w:szCs w:val="28"/>
        </w:rPr>
        <w:t xml:space="preserve">,000 </w:t>
      </w:r>
    </w:p>
    <w:p w:rsidR="00B164C2" w:rsidRDefault="00B164C2">
      <w:r w:rsidRPr="002A01C5">
        <w:rPr>
          <w:rFonts w:asciiTheme="minorEastAsia" w:eastAsiaTheme="minorEastAsia" w:hAnsiTheme="minorEastAsia"/>
          <w:b/>
          <w:sz w:val="28"/>
          <w:szCs w:val="28"/>
        </w:rPr>
        <w:t>(D)</w:t>
      </w:r>
      <w:r w:rsidR="001F53C4">
        <w:rPr>
          <w:rFonts w:asciiTheme="minorEastAsia" w:eastAsiaTheme="minorEastAsia" w:hAnsiTheme="minorEastAsia"/>
          <w:b/>
          <w:sz w:val="28"/>
          <w:szCs w:val="28"/>
        </w:rPr>
        <w:t>4</w:t>
      </w:r>
      <w:r w:rsidRPr="002A01C5">
        <w:rPr>
          <w:rFonts w:asciiTheme="minorEastAsia" w:eastAsiaTheme="minorEastAsia" w:hAnsiTheme="minorEastAsia"/>
          <w:b/>
          <w:sz w:val="28"/>
          <w:szCs w:val="28"/>
        </w:rPr>
        <w:t xml:space="preserve">,000 </w:t>
      </w:r>
      <w:r w:rsidRPr="002A01C5">
        <w:rPr>
          <w:rFonts w:asciiTheme="minorEastAsia" w:eastAsiaTheme="minorEastAsia" w:hAnsiTheme="minorEastAsia"/>
          <w:b/>
          <w:color w:val="FF0000"/>
          <w:sz w:val="28"/>
          <w:szCs w:val="28"/>
        </w:rPr>
        <w:t>(p.210</w:t>
      </w:r>
      <w:r w:rsidR="00D86F92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，第7章三節</w:t>
      </w:r>
      <w:r w:rsidRPr="002A01C5">
        <w:rPr>
          <w:rFonts w:asciiTheme="minorEastAsia" w:eastAsiaTheme="minorEastAsia" w:hAnsiTheme="minorEastAsia"/>
          <w:b/>
          <w:color w:val="FF0000"/>
          <w:sz w:val="28"/>
          <w:szCs w:val="28"/>
        </w:rPr>
        <w:t>)</w:t>
      </w:r>
    </w:p>
    <w:sectPr w:rsidR="00B164C2" w:rsidSect="00CC5F1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F1B" w:rsidRDefault="00CC5F1B" w:rsidP="00CC5F1B">
      <w:r>
        <w:separator/>
      </w:r>
    </w:p>
  </w:endnote>
  <w:endnote w:type="continuationSeparator" w:id="0">
    <w:p w:rsidR="00CC5F1B" w:rsidRDefault="00CC5F1B" w:rsidP="00CC5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F1B" w:rsidRDefault="00CC5F1B" w:rsidP="00CC5F1B">
      <w:r>
        <w:separator/>
      </w:r>
    </w:p>
  </w:footnote>
  <w:footnote w:type="continuationSeparator" w:id="0">
    <w:p w:rsidR="00CC5F1B" w:rsidRDefault="00CC5F1B" w:rsidP="00CC5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2BE9"/>
    <w:multiLevelType w:val="multilevel"/>
    <w:tmpl w:val="7A5A5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A2C36"/>
    <w:multiLevelType w:val="multilevel"/>
    <w:tmpl w:val="88884A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F2EB4"/>
    <w:multiLevelType w:val="multilevel"/>
    <w:tmpl w:val="EE54D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B590F"/>
    <w:multiLevelType w:val="multilevel"/>
    <w:tmpl w:val="C652CD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01C3E"/>
    <w:multiLevelType w:val="multilevel"/>
    <w:tmpl w:val="6F00D6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92C9F"/>
    <w:multiLevelType w:val="multilevel"/>
    <w:tmpl w:val="3662B0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F581F"/>
    <w:multiLevelType w:val="hybridMultilevel"/>
    <w:tmpl w:val="D0ACE87E"/>
    <w:lvl w:ilvl="0" w:tplc="D32A8160">
      <w:start w:val="1"/>
      <w:numFmt w:val="decimal"/>
      <w:lvlText w:val="%1."/>
      <w:lvlJc w:val="left"/>
      <w:pPr>
        <w:ind w:left="480" w:hanging="480"/>
      </w:pPr>
      <w:rPr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1B"/>
    <w:rsid w:val="00125037"/>
    <w:rsid w:val="001319DA"/>
    <w:rsid w:val="001A3C52"/>
    <w:rsid w:val="001F53C4"/>
    <w:rsid w:val="002A01C5"/>
    <w:rsid w:val="00407254"/>
    <w:rsid w:val="00902D58"/>
    <w:rsid w:val="00B164C2"/>
    <w:rsid w:val="00CC18E4"/>
    <w:rsid w:val="00CC5F1B"/>
    <w:rsid w:val="00D86F92"/>
    <w:rsid w:val="00E4558A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462938A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CC5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5F1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C5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5F1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548</Words>
  <Characters>718</Characters>
  <Application>Microsoft Office Word</Application>
  <DocSecurity>0</DocSecurity>
  <Lines>5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2025-07-27T06:14:00Z</dcterms:created>
  <dcterms:modified xsi:type="dcterms:W3CDTF">2025-08-02T03:31:00Z</dcterms:modified>
</cp:coreProperties>
</file>