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FF2CC4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60"/>
              <w:gridCol w:w="420"/>
              <w:gridCol w:w="12480"/>
            </w:tblGrid>
            <w:tr w:rsidR="00FF2CC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F2CC4" w:rsidRDefault="00733556">
                  <w:r>
                    <w:rPr>
                      <w:noProof/>
                    </w:rPr>
                    <w:drawing>
                      <wp:inline distT="0" distB="0" distL="0" distR="0">
                        <wp:extent cx="238125" cy="285750"/>
                        <wp:effectExtent l="0" t="0" r="9525" b="0"/>
                        <wp:docPr id="1" name="ImgL1" descr="title_on_0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L1" descr="title_on_0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bottom"/>
                  <w:hideMark/>
                </w:tcPr>
                <w:p w:rsidR="00FF2CC4" w:rsidRDefault="00733556">
                  <w:pPr>
                    <w:spacing w:line="384" w:lineRule="atLeast"/>
                    <w:jc w:val="center"/>
                    <w:rPr>
                      <w:rFonts w:ascii="微軟正黑體" w:eastAsia="微軟正黑體" w:hAnsi="微軟正黑體"/>
                      <w:b/>
                      <w:bCs/>
                      <w:color w:val="FFFFFF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</w:rPr>
                    <w:t xml:space="preserve">試卷內容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F2CC4" w:rsidRDefault="00733556">
                  <w:r>
                    <w:rPr>
                      <w:noProof/>
                    </w:rPr>
                    <w:drawing>
                      <wp:inline distT="0" distB="0" distL="0" distR="0">
                        <wp:extent cx="266700" cy="285750"/>
                        <wp:effectExtent l="0" t="0" r="0" b="0"/>
                        <wp:docPr id="2" name="ImgR1" descr="title_on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R1" descr="title_on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FF2CC4" w:rsidRDefault="00733556">
                  <w:r>
                    <w:t xml:space="preserve">  </w:t>
                  </w:r>
                </w:p>
              </w:tc>
            </w:tr>
          </w:tbl>
          <w:p w:rsidR="00FF2CC4" w:rsidRDefault="00FF2CC4"/>
        </w:tc>
      </w:tr>
      <w:tr w:rsidR="00FF2CC4">
        <w:trPr>
          <w:tblCellSpacing w:w="0" w:type="dxa"/>
          <w:hidden/>
        </w:trPr>
        <w:tc>
          <w:tcPr>
            <w:tcW w:w="0" w:type="auto"/>
            <w:shd w:val="clear" w:color="auto" w:fill="E3E9F2"/>
            <w:hideMark/>
          </w:tcPr>
          <w:p w:rsidR="00FF2CC4" w:rsidRDefault="00733556">
            <w:pPr>
              <w:pStyle w:val="z-"/>
            </w:pPr>
            <w:r>
              <w:rPr>
                <w:rFonts w:hint="eastAsia"/>
              </w:rPr>
              <w:t>表單的頂端</w:t>
            </w:r>
          </w:p>
          <w:p w:rsidR="00FF2CC4" w:rsidRDefault="00733556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1in;height:17.75pt" o:ole="">
                  <v:imagedata r:id="rId9" o:title=""/>
                </v:shape>
                <w:control r:id="rId10" w:name="DefaultOcxName" w:shapeid="_x0000_i1050"/>
              </w:object>
            </w:r>
            <w:r>
              <w:object w:dxaOrig="225" w:dyaOrig="225">
                <v:shape id="_x0000_i1053" type="#_x0000_t75" style="width:1in;height:17.75pt" o:ole="">
                  <v:imagedata r:id="rId9" o:title=""/>
                </v:shape>
                <w:control r:id="rId11" w:name="DefaultOcxName1" w:shapeid="_x0000_i1053"/>
              </w:object>
            </w:r>
            <w:r>
              <w:object w:dxaOrig="225" w:dyaOrig="225">
                <v:shape id="_x0000_i1056" type="#_x0000_t75" style="width:1in;height:17.75pt" o:ole="">
                  <v:imagedata r:id="rId9" o:title=""/>
                </v:shape>
                <w:control r:id="rId12" w:name="DefaultOcxName2" w:shapeid="_x0000_i1056"/>
              </w:object>
            </w:r>
          </w:p>
          <w:tbl>
            <w:tblPr>
              <w:tblW w:w="5000" w:type="pct"/>
              <w:tblCellSpacing w:w="7" w:type="dxa"/>
              <w:tblBorders>
                <w:top w:val="single" w:sz="6" w:space="0" w:color="1BCDD1"/>
                <w:left w:val="single" w:sz="6" w:space="0" w:color="1BCDD1"/>
                <w:bottom w:val="single" w:sz="6" w:space="0" w:color="1BCDD1"/>
                <w:right w:val="single" w:sz="6" w:space="0" w:color="1BCDD1"/>
              </w:tblBorders>
              <w:shd w:val="clear" w:color="auto" w:fill="DDDDD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234"/>
            </w:tblGrid>
            <w:tr w:rsidR="00FF2CC4">
              <w:trPr>
                <w:tblCellSpacing w:w="7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FF2CC4" w:rsidRDefault="00733556">
                  <w:pPr>
                    <w:spacing w:line="384" w:lineRule="atLeast"/>
                    <w:rPr>
                      <w:rFonts w:ascii="微軟正黑體" w:eastAsia="微軟正黑體" w:hAnsi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</w:rPr>
                    <w:t>單選題</w:t>
                  </w:r>
                </w:p>
              </w:tc>
            </w:tr>
            <w:tr w:rsidR="00FF2CC4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single" w:sz="6" w:space="0" w:color="1BCDD1"/>
                      <w:left w:val="single" w:sz="6" w:space="0" w:color="1BCDD1"/>
                      <w:bottom w:val="single" w:sz="6" w:space="0" w:color="1BCDD1"/>
                      <w:right w:val="single" w:sz="6" w:space="0" w:color="1BCDD1"/>
                    </w:tblBorders>
                    <w:shd w:val="clear" w:color="auto" w:fill="DDDDD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5"/>
                    <w:gridCol w:w="176"/>
                    <w:gridCol w:w="4955"/>
                    <w:gridCol w:w="7434"/>
                  </w:tblGrid>
                  <w:tr w:rsidR="00FF2CC4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FF2CC4" w:rsidRDefault="0073355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FF2CC4" w:rsidRDefault="0073355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FF2CC4" w:rsidRDefault="000161ED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1</w:t>
                        </w:r>
                        <w:r w:rsidR="00733556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. 中央銀行最</w:t>
                        </w:r>
                        <w:r w:rsidR="0092153A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重要且先進國家最常使用的</w:t>
                        </w:r>
                        <w:proofErr w:type="gramStart"/>
                        <w:r w:rsidR="00733556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的</w:t>
                        </w:r>
                        <w:proofErr w:type="gramEnd"/>
                        <w:r w:rsidR="00733556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貨幣政策工具為： </w:t>
                        </w:r>
                      </w:p>
                      <w:p w:rsidR="00FF2CC4" w:rsidRDefault="00733556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59" type="#_x0000_t75" style="width:20.55pt;height:19.65pt" o:ole="">
                              <v:imagedata r:id="rId13" o:title=""/>
                            </v:shape>
                            <w:control r:id="rId14" w:name="DefaultOcxName8" w:shapeid="_x0000_i1059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公開市場操作</w:t>
                        </w:r>
                      </w:p>
                      <w:p w:rsidR="00FF2CC4" w:rsidRDefault="00733556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62" type="#_x0000_t75" style="width:20.55pt;height:19.65pt" o:ole="">
                              <v:imagedata r:id="rId13" o:title=""/>
                            </v:shape>
                            <w:control r:id="rId15" w:name="DefaultOcxName9" w:shapeid="_x0000_i1062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貼現政策</w:t>
                        </w:r>
                      </w:p>
                      <w:p w:rsidR="00FF2CC4" w:rsidRDefault="00733556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65" type="#_x0000_t75" style="width:20.55pt;height:19.65pt" o:ole="">
                              <v:imagedata r:id="rId13" o:title=""/>
                            </v:shape>
                            <w:control r:id="rId16" w:name="DefaultOcxName10" w:shapeid="_x0000_i106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存款準備率</w:t>
                        </w:r>
                      </w:p>
                      <w:p w:rsidR="00FF2CC4" w:rsidRDefault="00733556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68" type="#_x0000_t75" style="width:20.55pt;height:19.65pt" o:ole="">
                              <v:imagedata r:id="rId13" o:title=""/>
                            </v:shape>
                            <w:control r:id="rId17" w:name="DefaultOcxName11" w:shapeid="_x0000_i106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選擇性信用管制</w:t>
                        </w:r>
                      </w:p>
                      <w:p w:rsidR="00FF2CC4" w:rsidRDefault="00733556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1" type="#_x0000_t75" style="width:20.55pt;height:19.65pt" o:ole="">
                              <v:imagedata r:id="rId13" o:title=""/>
                            </v:shape>
                            <w:control r:id="rId18" w:name="DefaultOcxName12" w:shapeid="_x0000_i1071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證券交易稅稅率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FF2CC4" w:rsidRDefault="0073355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「公開市場操作」是中央銀行最常使用的貨幣政策工具。</w:t>
                        </w:r>
                        <w:r w:rsidR="0092153A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(第9章第一節</w:t>
                        </w:r>
                        <w:r w:rsidR="0092153A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FF2CC4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FF2CC4" w:rsidRDefault="0073355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FF2CC4" w:rsidRDefault="0073355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FF2CC4" w:rsidRDefault="008E6DF7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2</w:t>
                        </w:r>
                        <w:r w:rsidR="00733556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下列哪一貨幣政策工具具備自主性(initiative)、伸縮性(flexibility)、可逆性(reverse)及精確性(precision)等特性： </w:t>
                        </w:r>
                      </w:p>
                      <w:p w:rsidR="00FF2CC4" w:rsidRDefault="00733556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4" type="#_x0000_t75" style="width:20.55pt;height:19.65pt" o:ole="">
                              <v:imagedata r:id="rId13" o:title=""/>
                            </v:shape>
                            <w:control r:id="rId19" w:name="DefaultOcxName17" w:shapeid="_x0000_i1074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貼現政策</w:t>
                        </w:r>
                      </w:p>
                      <w:p w:rsidR="00FF2CC4" w:rsidRDefault="00733556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77" type="#_x0000_t75" style="width:20.55pt;height:19.65pt" o:ole="">
                              <v:imagedata r:id="rId13" o:title=""/>
                            </v:shape>
                            <w:control r:id="rId20" w:name="DefaultOcxName18" w:shapeid="_x0000_i1077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公開市場操作</w:t>
                        </w:r>
                      </w:p>
                      <w:p w:rsidR="00FF2CC4" w:rsidRDefault="00733556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0" type="#_x0000_t75" style="width:20.55pt;height:19.65pt" o:ole="">
                              <v:imagedata r:id="rId13" o:title=""/>
                            </v:shape>
                            <w:control r:id="rId21" w:name="DefaultOcxName19" w:shapeid="_x0000_i1080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存款準備率</w:t>
                        </w:r>
                      </w:p>
                      <w:p w:rsidR="00FF2CC4" w:rsidRDefault="00733556">
                        <w:pPr>
                          <w:numPr>
                            <w:ilvl w:val="0"/>
                            <w:numId w:val="4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3" type="#_x0000_t75" style="width:20.55pt;height:19.65pt" o:ole="">
                              <v:imagedata r:id="rId13" o:title=""/>
                            </v:shape>
                            <w:control r:id="rId22" w:name="DefaultOcxName20" w:shapeid="_x0000_i108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選擇性信用管制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FF2CC4" w:rsidRDefault="00733556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相較於其他貨幣政策工具，「公開市場操作」具有自主性(initiative)、伸縮性(flexibility)、可逆性(reverse)、精確性(precision)及時效性(implemented quickly)等優點。</w:t>
                        </w:r>
                        <w:r w:rsidR="008E2F75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(第9章第一節</w:t>
                        </w:r>
                        <w:r w:rsidR="008E2F75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</w:tbl>
                <w:p w:rsidR="00FF2CC4" w:rsidRDefault="00FF2CC4"/>
              </w:tc>
            </w:tr>
            <w:tr w:rsidR="00FF2CC4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FF2CC4" w:rsidRDefault="00FF2CC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F2CC4" w:rsidRDefault="00733556">
            <w:pPr>
              <w:pStyle w:val="z-1"/>
            </w:pPr>
            <w:r>
              <w:rPr>
                <w:rFonts w:hint="eastAsia"/>
              </w:rPr>
              <w:t>表單的底部</w:t>
            </w:r>
          </w:p>
          <w:p w:rsidR="00FF2CC4" w:rsidRDefault="00FF2CC4"/>
        </w:tc>
      </w:tr>
    </w:tbl>
    <w:p w:rsidR="003A7D0E" w:rsidRDefault="003A7D0E" w:rsidP="009E6B23">
      <w:pPr>
        <w:widowControl w:val="0"/>
        <w:spacing w:line="360" w:lineRule="auto"/>
        <w:jc w:val="both"/>
        <w:rPr>
          <w:rFonts w:asciiTheme="minorEastAsia" w:eastAsiaTheme="minorEastAsia" w:hAnsiTheme="minorEastAsia"/>
          <w:b/>
          <w:color w:val="FF0000"/>
          <w:kern w:val="2"/>
          <w:sz w:val="28"/>
          <w:szCs w:val="28"/>
          <w:highlight w:val="yellow"/>
        </w:rPr>
      </w:pPr>
    </w:p>
    <w:p w:rsidR="005F52CF" w:rsidRDefault="009E6B23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/>
          <w:b/>
          <w:color w:val="FF0000"/>
          <w:kern w:val="2"/>
          <w:sz w:val="28"/>
          <w:szCs w:val="28"/>
          <w:highlight w:val="yellow"/>
        </w:rPr>
        <w:t>3.</w:t>
      </w:r>
      <w:r w:rsidR="00346C2F"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</w:t>
      </w:r>
      <w:r w:rsidR="006D1508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C</w:t>
      </w:r>
      <w:r w:rsidR="00346C2F"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  <w:r w:rsidR="00346C2F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有關公開市場操作的效果、操作方式、及優越性，下列何者有誤</w:t>
      </w:r>
      <w:r w:rsidR="005F52CF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？</w:t>
      </w:r>
    </w:p>
    <w:p w:rsid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(A)</w:t>
      </w:r>
      <w:r w:rsidR="006D1508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可逆性是指萬一發現情勢改變，可立即反向操作，是公開市場操作的優越性之</w:t>
      </w:r>
      <w:proofErr w:type="gramStart"/>
      <w:r w:rsidR="006D1508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一</w:t>
      </w:r>
      <w:proofErr w:type="gramEnd"/>
    </w:p>
    <w:p w:rsid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(B)公開市場操作將對銀行準備金、貨幣基數及貨幣供給額產生影響 </w:t>
      </w:r>
    </w:p>
    <w:p w:rsid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="006D1508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央行發行定期存單或其他單</w:t>
      </w:r>
      <w:proofErr w:type="gramStart"/>
      <w:r w:rsidR="006D1508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券</w:t>
      </w:r>
      <w:proofErr w:type="gramEnd"/>
      <w:r w:rsidR="006D1508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等沖銷工具，來吸收市場過多的資金，藉以擴張信用</w:t>
      </w:r>
    </w:p>
    <w:p w:rsid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B050"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</w:t>
      </w:r>
      <w:r w:rsidR="006D1508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中央銀行公開市場操作的方向，若能提供有關貨幣政策趨勢的訊息，則會影響社會大眾的預期心理</w:t>
      </w:r>
    </w:p>
    <w:p w:rsidR="00346C2F" w:rsidRP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(p.252-258</w:t>
      </w:r>
      <w:r w:rsidR="00714AF2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，第9章第一節</w:t>
      </w: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9A69B6" w:rsidRPr="005F52CF" w:rsidRDefault="009A69B6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</w:p>
    <w:p w:rsidR="005F52CF" w:rsidRDefault="009E6B23" w:rsidP="003A7D0E">
      <w:pPr>
        <w:spacing w:line="360" w:lineRule="auto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4.</w:t>
      </w:r>
      <w:r w:rsidR="00346C2F"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</w:t>
      </w:r>
      <w:r w:rsidR="00B158CE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B</w:t>
      </w:r>
      <w:r w:rsidR="00346C2F"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  <w:r w:rsidR="00346C2F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關於中央銀行的貼現政策，下列敘述何者有誤？</w:t>
      </w:r>
    </w:p>
    <w:p w:rsidR="005F52CF" w:rsidRDefault="00346C2F" w:rsidP="003A7D0E">
      <w:pPr>
        <w:spacing w:line="360" w:lineRule="auto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(A)</w:t>
      </w:r>
      <w:r w:rsidR="00B158CE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重貼現是我國央行對銀行可辦理的融通之</w:t>
      </w:r>
      <w:proofErr w:type="gramStart"/>
      <w:r w:rsidR="00B158CE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一</w:t>
      </w:r>
      <w:proofErr w:type="gramEnd"/>
    </w:p>
    <w:p w:rsidR="005F52CF" w:rsidRDefault="00346C2F" w:rsidP="003A7D0E">
      <w:pPr>
        <w:spacing w:line="360" w:lineRule="auto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</w:t>
      </w:r>
      <w:r w:rsidR="00B158CE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貼現政策可以減少貼現放款的波動，使貨幣供給額更容易受到控制</w:t>
      </w:r>
    </w:p>
    <w:p w:rsidR="005F52CF" w:rsidRDefault="00346C2F" w:rsidP="003A7D0E">
      <w:pPr>
        <w:spacing w:line="360" w:lineRule="auto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="00B158CE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中央銀行可透過調整貼現率與貼現放款條件影響貨幣供給額</w:t>
      </w:r>
    </w:p>
    <w:p w:rsidR="005F52CF" w:rsidRDefault="00346C2F" w:rsidP="003A7D0E">
      <w:pPr>
        <w:spacing w:line="360" w:lineRule="auto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</w:t>
      </w:r>
      <w:r w:rsidR="00B158CE" w:rsidRPr="00B158CE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  <w:r w:rsidR="00B158CE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Fed 的非傳統新融通機制包含定期標售機制等</w:t>
      </w: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</w:p>
    <w:p w:rsidR="007F1E6F" w:rsidRPr="005F52CF" w:rsidRDefault="00346C2F" w:rsidP="003A7D0E">
      <w:pPr>
        <w:spacing w:line="360" w:lineRule="auto"/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</w:pP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(p.258-265</w:t>
      </w:r>
      <w:r w:rsidR="00714AF2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，第9章第二節</w:t>
      </w: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346C2F" w:rsidRPr="005F52CF" w:rsidRDefault="00346C2F" w:rsidP="003A7D0E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</w:p>
    <w:p w:rsidR="005F52CF" w:rsidRDefault="004A7A8B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5.(</w:t>
      </w:r>
      <w:r w:rsidR="00134BDE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C</w:t>
      </w:r>
      <w:r w:rsidR="00346C2F"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  <w:r w:rsidR="00346C2F" w:rsidRPr="005F52CF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關於臺灣中央銀行貼現窗口的融通制度與貼現政策的效果，下列敘述何者有誤？</w:t>
      </w:r>
    </w:p>
    <w:p w:rsid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(A)</w:t>
      </w:r>
      <w:r w:rsidR="00134BDE" w:rsidRPr="005F52CF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當準備金市場的供給曲線與需求曲線的交點在水平處時，調高貼現率會使準備金數量下降</w:t>
      </w:r>
      <w:r w:rsidRPr="005F52CF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 xml:space="preserve"> </w:t>
      </w:r>
    </w:p>
    <w:p w:rsid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(B)</w:t>
      </w:r>
      <w:r w:rsidR="00134BDE" w:rsidRPr="005F52CF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臺灣央行貼現窗口的融通機制包含重貼現、短期融通、與擔保放款之再融通</w:t>
      </w:r>
    </w:p>
    <w:p w:rsid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lastRenderedPageBreak/>
        <w:t>(C)</w:t>
      </w:r>
      <w:r w:rsidR="00134BDE" w:rsidRPr="005F52CF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當準備金市場的供給曲線與需求曲線的交點在垂直處時，調高貼現率會使準備金數量上升</w:t>
      </w:r>
    </w:p>
    <w:p w:rsid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(D)</w:t>
      </w:r>
      <w:r w:rsidR="00134BDE" w:rsidRPr="005F52CF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重貼現是指</w:t>
      </w:r>
      <w:proofErr w:type="gramStart"/>
      <w:r w:rsidR="00134BDE" w:rsidRPr="005F52CF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銀行持公民營</w:t>
      </w:r>
      <w:proofErr w:type="gramEnd"/>
      <w:r w:rsidR="00134BDE" w:rsidRPr="005F52CF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生產事業實質交易所產生的票據，向央行辦理融通</w:t>
      </w:r>
    </w:p>
    <w:p w:rsidR="00346C2F" w:rsidRP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(p.262-264</w:t>
      </w:r>
      <w:r w:rsidR="00714AF2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，第9章第二節</w:t>
      </w: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C03F19" w:rsidRPr="005F52CF" w:rsidRDefault="00C03F19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</w:p>
    <w:p w:rsidR="005F52CF" w:rsidRDefault="00C03F19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6</w:t>
      </w:r>
      <w:r w:rsidR="004A7A8B"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.(</w:t>
      </w:r>
      <w:r w:rsidR="00346C2F"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C)</w:t>
      </w:r>
      <w:r w:rsidR="00346C2F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關於其他貨幣政策工具的敘述，下列何者有誤？</w:t>
      </w:r>
    </w:p>
    <w:p w:rsid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(A)其他貨幣政策工具簡單可分為選擇性信用管制、直接管制、與間接管制等三類 </w:t>
      </w:r>
    </w:p>
    <w:p w:rsid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(B)銀行對以證券為抵押之放款，不能以該證券當時的市場價格核貸，而必須保留一部分作為保證金，保證金相對於市場的比率即為保證金比率，是選擇性信用管制工具之</w:t>
      </w:r>
      <w:proofErr w:type="gramStart"/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一</w:t>
      </w:r>
      <w:proofErr w:type="gramEnd"/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</w:p>
    <w:p w:rsid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(C)對業務不當的銀行採取強制性制裁屬於間接管制、道德勸說屬於直接管制 </w:t>
      </w:r>
    </w:p>
    <w:p w:rsid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B050"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(D)不動產信用管制系指中央銀行針對不動產的付現條件與還款期限，加以規範，以影響銀行信用之擴張</w:t>
      </w:r>
      <w:r w:rsidRPr="005F52CF">
        <w:rPr>
          <w:rFonts w:asciiTheme="minorEastAsia" w:eastAsiaTheme="minorEastAsia" w:hAnsiTheme="minorEastAsia" w:cs="Times New Roman"/>
          <w:b/>
          <w:color w:val="00B050"/>
          <w:kern w:val="2"/>
          <w:sz w:val="28"/>
          <w:szCs w:val="28"/>
        </w:rPr>
        <w:t xml:space="preserve"> </w:t>
      </w:r>
    </w:p>
    <w:p w:rsidR="00346C2F" w:rsidRPr="005F52CF" w:rsidRDefault="00346C2F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(p.271-274</w:t>
      </w:r>
      <w:r w:rsidR="00714AF2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，第9章第四節</w:t>
      </w: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DD1A88" w:rsidRPr="005F52CF" w:rsidRDefault="00DD1A88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</w:p>
    <w:p w:rsidR="005F52CF" w:rsidRDefault="00C03F19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7</w:t>
      </w:r>
      <w:r w:rsidR="009E6B23"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.</w:t>
      </w:r>
      <w:r w:rsidR="00DD1A88"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</w:t>
      </w:r>
      <w:r w:rsidR="00C36943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D</w:t>
      </w:r>
      <w:r w:rsidR="00DD1A88"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  <w:r w:rsidR="00DD1A88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關於存款準備率政策的描述，下列何者有誤？</w:t>
      </w:r>
    </w:p>
    <w:p w:rsidR="005F52CF" w:rsidRDefault="00DD1A88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(A)</w:t>
      </w:r>
      <w:r w:rsidR="00C36943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存款準備率政策指中央銀行藉由調整存款之法定準備率，來擴張或收縮銀行的信用創造能力，進而控制貨幣供給及影響市場利率</w:t>
      </w:r>
    </w:p>
    <w:p w:rsidR="005F52CF" w:rsidRDefault="00DD1A88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</w:t>
      </w:r>
      <w:r w:rsidR="00C36943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調整法定準備率不但影響貨幣供給額和利率，也會影響銀行的成本與利潤</w:t>
      </w:r>
    </w:p>
    <w:p w:rsidR="005F52CF" w:rsidRDefault="00DD1A88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="00C36943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效果過於強烈是存款準備率政策的缺點之</w:t>
      </w:r>
      <w:proofErr w:type="gramStart"/>
      <w:r w:rsidR="00C36943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一</w:t>
      </w:r>
      <w:proofErr w:type="gramEnd"/>
    </w:p>
    <w:p w:rsidR="005F52CF" w:rsidRDefault="00DD1A88" w:rsidP="003A7D0E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</w:t>
      </w:r>
      <w:bookmarkStart w:id="0" w:name="_GoBack"/>
      <w:bookmarkEnd w:id="0"/>
      <w:r w:rsidR="00C36943"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臺灣已完全取消法定準備率</w:t>
      </w:r>
      <w:r w:rsidRPr="005F52CF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</w:p>
    <w:p w:rsidR="00DD1A88" w:rsidRPr="009A69B6" w:rsidRDefault="00DD1A88" w:rsidP="003A7D0E">
      <w:pPr>
        <w:widowControl w:val="0"/>
        <w:spacing w:line="360" w:lineRule="auto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(p.266-270</w:t>
      </w:r>
      <w:r w:rsidR="00714AF2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，第9章第三節</w:t>
      </w:r>
      <w:r w:rsidRPr="005F52CF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5860AE" w:rsidRDefault="005860AE" w:rsidP="00346C2F">
      <w:pPr>
        <w:widowControl w:val="0"/>
        <w:spacing w:line="360" w:lineRule="auto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</w:p>
    <w:p w:rsidR="00346C2F" w:rsidRDefault="00346C2F" w:rsidP="00346C2F"/>
    <w:sectPr w:rsidR="00346C2F" w:rsidSect="0073355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556" w:rsidRDefault="00733556" w:rsidP="00733556">
      <w:r>
        <w:separator/>
      </w:r>
    </w:p>
  </w:endnote>
  <w:endnote w:type="continuationSeparator" w:id="0">
    <w:p w:rsidR="00733556" w:rsidRDefault="00733556" w:rsidP="0073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556" w:rsidRDefault="00733556" w:rsidP="00733556">
      <w:r>
        <w:separator/>
      </w:r>
    </w:p>
  </w:footnote>
  <w:footnote w:type="continuationSeparator" w:id="0">
    <w:p w:rsidR="00733556" w:rsidRDefault="00733556" w:rsidP="00733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1F84"/>
    <w:multiLevelType w:val="hybridMultilevel"/>
    <w:tmpl w:val="305813C2"/>
    <w:lvl w:ilvl="0" w:tplc="4D7E48F2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1D1230"/>
    <w:multiLevelType w:val="multilevel"/>
    <w:tmpl w:val="F0104D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07577"/>
    <w:multiLevelType w:val="multilevel"/>
    <w:tmpl w:val="503A40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135B0"/>
    <w:multiLevelType w:val="multilevel"/>
    <w:tmpl w:val="BD2E05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25807"/>
    <w:multiLevelType w:val="multilevel"/>
    <w:tmpl w:val="81980E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A2144"/>
    <w:multiLevelType w:val="hybridMultilevel"/>
    <w:tmpl w:val="E67823A0"/>
    <w:lvl w:ilvl="0" w:tplc="F7262CE8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7F847A3A">
      <w:start w:val="1"/>
      <w:numFmt w:val="upperLetter"/>
      <w:lvlText w:val="(%2)"/>
      <w:lvlJc w:val="left"/>
      <w:pPr>
        <w:ind w:left="840" w:hanging="360"/>
      </w:pPr>
      <w:rPr>
        <w:rFonts w:hint="default"/>
        <w:b w:val="0"/>
        <w:color w:val="00B05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E83A75"/>
    <w:multiLevelType w:val="multilevel"/>
    <w:tmpl w:val="96165E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51DCA"/>
    <w:multiLevelType w:val="multilevel"/>
    <w:tmpl w:val="1B62EB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966C8"/>
    <w:multiLevelType w:val="multilevel"/>
    <w:tmpl w:val="8116CC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9398D"/>
    <w:multiLevelType w:val="multilevel"/>
    <w:tmpl w:val="0FF810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9A2C1A"/>
    <w:multiLevelType w:val="multilevel"/>
    <w:tmpl w:val="18EEE6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2B1979"/>
    <w:multiLevelType w:val="multilevel"/>
    <w:tmpl w:val="E25A1E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1F581F"/>
    <w:multiLevelType w:val="hybridMultilevel"/>
    <w:tmpl w:val="E7F2C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56"/>
    <w:rsid w:val="00003C22"/>
    <w:rsid w:val="000161ED"/>
    <w:rsid w:val="00134BDE"/>
    <w:rsid w:val="00326DBE"/>
    <w:rsid w:val="00346C2F"/>
    <w:rsid w:val="003A7D0E"/>
    <w:rsid w:val="004A7A8B"/>
    <w:rsid w:val="004F6495"/>
    <w:rsid w:val="00540B8E"/>
    <w:rsid w:val="005860AE"/>
    <w:rsid w:val="005F52CF"/>
    <w:rsid w:val="006D1508"/>
    <w:rsid w:val="00714AF2"/>
    <w:rsid w:val="007220ED"/>
    <w:rsid w:val="00733556"/>
    <w:rsid w:val="007772FE"/>
    <w:rsid w:val="007F1E6F"/>
    <w:rsid w:val="00852109"/>
    <w:rsid w:val="008C4A75"/>
    <w:rsid w:val="008E2F75"/>
    <w:rsid w:val="008E6DF7"/>
    <w:rsid w:val="009060EF"/>
    <w:rsid w:val="0092153A"/>
    <w:rsid w:val="009A69B6"/>
    <w:rsid w:val="009E6B23"/>
    <w:rsid w:val="00B158CE"/>
    <w:rsid w:val="00C03F19"/>
    <w:rsid w:val="00C36943"/>
    <w:rsid w:val="00C61BF9"/>
    <w:rsid w:val="00DD1A88"/>
    <w:rsid w:val="00E15373"/>
    <w:rsid w:val="00FF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6C7E12EF"/>
  <w15:chartTrackingRefBased/>
  <w15:docId w15:val="{CB7F339F-9942-44F7-BAE7-DF1A734A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sstabs">
    <w:name w:val="csstabs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bbodybg">
    <w:name w:val="csstbbodybg"/>
    <w:basedOn w:val="a"/>
    <w:pPr>
      <w:shd w:val="clear" w:color="auto" w:fill="07AEB0"/>
      <w:spacing w:before="100" w:beforeAutospacing="1" w:after="100" w:afterAutospacing="1"/>
    </w:pPr>
    <w:rPr>
      <w:color w:val="ECECEC"/>
    </w:rPr>
  </w:style>
  <w:style w:type="paragraph" w:customStyle="1" w:styleId="csstbbugie5">
    <w:name w:val="csstbbugie5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btn">
    <w:name w:val="csstbbtn"/>
    <w:basedOn w:val="a"/>
    <w:pPr>
      <w:spacing w:before="100" w:beforeAutospacing="1" w:after="100" w:afterAutospacing="1"/>
    </w:pPr>
  </w:style>
  <w:style w:type="paragraph" w:customStyle="1" w:styleId="csstoolbar">
    <w:name w:val="csstoolbar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head">
    <w:name w:val="csstbhead"/>
    <w:basedOn w:val="a"/>
    <w:pPr>
      <w:shd w:val="clear" w:color="auto" w:fill="FFFFFF"/>
      <w:spacing w:before="100" w:beforeAutospacing="1" w:after="100" w:afterAutospacing="1" w:line="45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table">
    <w:name w:val="csstbtable"/>
    <w:basedOn w:val="a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ECECEC"/>
      <w:spacing w:before="100" w:beforeAutospacing="1" w:after="100" w:afterAutospacing="1"/>
    </w:pPr>
  </w:style>
  <w:style w:type="paragraph" w:customStyle="1" w:styleId="csstbtr">
    <w:name w:val="csstbtr"/>
    <w:basedOn w:val="a"/>
    <w:pPr>
      <w:pBdr>
        <w:left w:val="single" w:sz="2" w:space="6" w:color="CCCCE6"/>
        <w:right w:val="single" w:sz="2" w:space="2" w:color="CCCCE6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csstbtd">
    <w:name w:val="csstbtd"/>
    <w:basedOn w:val="a"/>
    <w:pPr>
      <w:pBdr>
        <w:left w:val="single" w:sz="2" w:space="8" w:color="07AEB0"/>
        <w:right w:val="single" w:sz="2" w:space="8" w:color="07AEB0"/>
      </w:pBdr>
      <w:shd w:val="clear" w:color="auto" w:fill="07AEB0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focus">
    <w:name w:val="csstbfocus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focusfromto">
    <w:name w:val="csstbfocusfromto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48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blur">
    <w:name w:val="csstbblur"/>
    <w:basedOn w:val="a"/>
    <w:pPr>
      <w:pBdr>
        <w:top w:val="single" w:sz="6" w:space="0" w:color="07AEB0"/>
        <w:left w:val="single" w:sz="6" w:space="2" w:color="07AEB0"/>
        <w:bottom w:val="single" w:sz="6" w:space="1" w:color="07AEB0"/>
        <w:right w:val="single" w:sz="6" w:space="2" w:color="07AEB0"/>
      </w:pBdr>
      <w:shd w:val="clear" w:color="auto" w:fill="07AEB0"/>
      <w:spacing w:line="360" w:lineRule="atLeast"/>
      <w:ind w:left="30" w:right="30"/>
    </w:pPr>
    <w:rPr>
      <w:rFonts w:ascii="微軟正黑體" w:eastAsia="微軟正黑體" w:hAnsi="微軟正黑體"/>
      <w:color w:val="FFFFFF"/>
      <w:spacing w:val="15"/>
    </w:rPr>
  </w:style>
  <w:style w:type="paragraph" w:customStyle="1" w:styleId="csstable">
    <w:name w:val="csstable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csstrhelp">
    <w:name w:val="csstrhelp"/>
    <w:basedOn w:val="a"/>
    <w:pPr>
      <w:shd w:val="clear" w:color="auto" w:fill="C0C0C0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rhead">
    <w:name w:val="csstr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color w:val="FFFFFF"/>
    </w:rPr>
  </w:style>
  <w:style w:type="paragraph" w:customStyle="1" w:styleId="csstrevn">
    <w:name w:val="csstrevn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odd">
    <w:name w:val="csstrodd"/>
    <w:basedOn w:val="a"/>
    <w:pPr>
      <w:shd w:val="clear" w:color="auto" w:fill="ECECEC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learn-path-stress">
    <w:name w:val="learn-path-stress"/>
    <w:basedOn w:val="a"/>
    <w:pPr>
      <w:shd w:val="clear" w:color="auto" w:fill="FFFF99"/>
      <w:spacing w:before="100" w:beforeAutospacing="1" w:after="100" w:afterAutospacing="1" w:line="552" w:lineRule="atLeast"/>
    </w:pPr>
    <w:rPr>
      <w:b/>
      <w:bCs/>
      <w:sz w:val="31"/>
      <w:szCs w:val="31"/>
    </w:rPr>
  </w:style>
  <w:style w:type="paragraph" w:customStyle="1" w:styleId="cssinput">
    <w:name w:val="cssinput"/>
    <w:basedOn w:val="a"/>
    <w:pPr>
      <w:pBdr>
        <w:top w:val="single" w:sz="6" w:space="0" w:color="DCDCDC"/>
        <w:left w:val="single" w:sz="6" w:space="2" w:color="DCDCDC"/>
        <w:bottom w:val="single" w:sz="6" w:space="0" w:color="DCDCDC"/>
        <w:right w:val="single" w:sz="6" w:space="0" w:color="DCDCDC"/>
      </w:pBdr>
      <w:shd w:val="clear" w:color="auto" w:fill="FFFFFF"/>
      <w:spacing w:before="100" w:beforeAutospacing="1" w:after="100" w:afterAutospacing="1"/>
    </w:pPr>
    <w:rPr>
      <w:rFonts w:ascii="微軟正黑體" w:eastAsia="微軟正黑體" w:hAnsi="微軟正黑體"/>
      <w:color w:val="242424"/>
    </w:rPr>
  </w:style>
  <w:style w:type="paragraph" w:customStyle="1" w:styleId="cssbtn">
    <w:name w:val="cssbtn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cssbtndisabled">
    <w:name w:val="cssbtn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cssanchor">
    <w:name w:val="cssanchor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242424"/>
    </w:rPr>
  </w:style>
  <w:style w:type="paragraph" w:customStyle="1" w:styleId="cssul">
    <w:name w:val="cssul"/>
    <w:basedOn w:val="a"/>
    <w:pPr>
      <w:spacing w:before="100" w:beforeAutospacing="1"/>
    </w:pPr>
  </w:style>
  <w:style w:type="paragraph" w:customStyle="1" w:styleId="cssol">
    <w:name w:val="cssol"/>
    <w:basedOn w:val="a"/>
    <w:pPr>
      <w:spacing w:before="100" w:beforeAutospacing="1"/>
      <w:ind w:left="150"/>
    </w:pPr>
  </w:style>
  <w:style w:type="paragraph" w:customStyle="1" w:styleId="csscalebg01">
    <w:name w:val="csscalebg01"/>
    <w:basedOn w:val="a"/>
    <w:pPr>
      <w:shd w:val="clear" w:color="auto" w:fill="ECECEC"/>
      <w:spacing w:before="100" w:beforeAutospacing="1" w:after="100" w:afterAutospacing="1"/>
    </w:pPr>
  </w:style>
  <w:style w:type="paragraph" w:customStyle="1" w:styleId="csscalebg02">
    <w:name w:val="csscalebg02"/>
    <w:basedOn w:val="a"/>
    <w:pPr>
      <w:shd w:val="clear" w:color="auto" w:fill="F5CCF6"/>
      <w:spacing w:before="100" w:beforeAutospacing="1" w:after="100" w:afterAutospacing="1"/>
    </w:pPr>
  </w:style>
  <w:style w:type="paragraph" w:customStyle="1" w:styleId="csscalefont01">
    <w:name w:val="csscale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FF0000"/>
      <w:spacing w:val="15"/>
    </w:rPr>
  </w:style>
  <w:style w:type="paragraph" w:customStyle="1" w:styleId="csscalefont02">
    <w:name w:val="csscalefont0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A930"/>
      <w:spacing w:val="15"/>
    </w:rPr>
  </w:style>
  <w:style w:type="paragraph" w:customStyle="1" w:styleId="csscalefont03">
    <w:name w:val="csscalefont03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C0C0C0"/>
      <w:spacing w:val="15"/>
    </w:rPr>
  </w:style>
  <w:style w:type="paragraph" w:customStyle="1" w:styleId="csscalefont04">
    <w:name w:val="csscalefont04"/>
    <w:basedOn w:val="a"/>
    <w:pPr>
      <w:shd w:val="clear" w:color="auto" w:fill="E2D19F"/>
      <w:spacing w:before="100" w:beforeAutospacing="1" w:after="100" w:afterAutospacing="1" w:line="384" w:lineRule="atLeast"/>
    </w:pPr>
    <w:rPr>
      <w:rFonts w:ascii="微軟正黑體" w:eastAsia="微軟正黑體" w:hAnsi="微軟正黑體"/>
      <w:color w:val="BC8AD7"/>
      <w:spacing w:val="15"/>
    </w:rPr>
  </w:style>
  <w:style w:type="paragraph" w:customStyle="1" w:styleId="cssfont01">
    <w:name w:val="css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8F29"/>
      <w:spacing w:val="15"/>
    </w:rPr>
  </w:style>
  <w:style w:type="paragraph" w:customStyle="1" w:styleId="cssmyhead">
    <w:name w:val="cssmy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spacing w:val="15"/>
    </w:rPr>
  </w:style>
  <w:style w:type="paragraph" w:customStyle="1" w:styleId="box01">
    <w:name w:val="box01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box02">
    <w:name w:val="box02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box03">
    <w:name w:val="box03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D0D0D0"/>
      <w:spacing w:before="100" w:beforeAutospacing="1" w:after="100" w:afterAutospacing="1"/>
    </w:pPr>
    <w:rPr>
      <w:color w:val="000000"/>
    </w:rPr>
  </w:style>
  <w:style w:type="paragraph" w:customStyle="1" w:styleId="box04">
    <w:name w:val="box04"/>
    <w:basedOn w:val="a"/>
    <w:pPr>
      <w:pBdr>
        <w:top w:val="single" w:sz="6" w:space="0" w:color="7070B8"/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5">
    <w:name w:val="box05"/>
    <w:basedOn w:val="a"/>
    <w:pPr>
      <w:pBdr>
        <w:left w:val="single" w:sz="6" w:space="0" w:color="7070B8"/>
        <w:bottom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6">
    <w:name w:val="box06"/>
    <w:basedOn w:val="a"/>
    <w:pPr>
      <w:pBdr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g01">
    <w:name w:val="bg01"/>
    <w:basedOn w:val="a"/>
    <w:pPr>
      <w:shd w:val="clear" w:color="auto" w:fill="E3E9F2"/>
      <w:spacing w:before="100" w:beforeAutospacing="1" w:after="100" w:afterAutospacing="1"/>
    </w:pPr>
  </w:style>
  <w:style w:type="paragraph" w:customStyle="1" w:styleId="bg02">
    <w:name w:val="bg02"/>
    <w:basedOn w:val="a"/>
    <w:pPr>
      <w:shd w:val="clear" w:color="auto" w:fill="0DB9BB"/>
      <w:spacing w:before="100" w:beforeAutospacing="1" w:after="100" w:afterAutospacing="1" w:line="450" w:lineRule="atLeast"/>
    </w:pPr>
    <w:rPr>
      <w:rFonts w:ascii="微軟正黑體" w:eastAsia="微軟正黑體" w:hAnsi="微軟正黑體"/>
      <w:color w:val="FFFFFF"/>
    </w:rPr>
  </w:style>
  <w:style w:type="paragraph" w:customStyle="1" w:styleId="bg03">
    <w:name w:val="bg03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4">
    <w:name w:val="bg04"/>
    <w:basedOn w:val="a"/>
    <w:pPr>
      <w:shd w:val="clear" w:color="auto" w:fill="F9F9F9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5">
    <w:name w:val="bg05"/>
    <w:basedOn w:val="a"/>
    <w:pPr>
      <w:shd w:val="clear" w:color="auto" w:fill="8CAAE6"/>
      <w:spacing w:before="100" w:beforeAutospacing="1" w:after="100" w:afterAutospacing="1"/>
    </w:pPr>
    <w:rPr>
      <w:color w:val="000000"/>
    </w:rPr>
  </w:style>
  <w:style w:type="paragraph" w:customStyle="1" w:styleId="bg06">
    <w:name w:val="bg06"/>
    <w:basedOn w:val="a"/>
    <w:pPr>
      <w:shd w:val="clear" w:color="auto" w:fill="E6E6FA"/>
      <w:spacing w:before="100" w:beforeAutospacing="1" w:after="100" w:afterAutospacing="1"/>
    </w:pPr>
    <w:rPr>
      <w:color w:val="000000"/>
    </w:rPr>
  </w:style>
  <w:style w:type="paragraph" w:customStyle="1" w:styleId="bg07">
    <w:name w:val="bg07"/>
    <w:basedOn w:val="a"/>
    <w:pPr>
      <w:shd w:val="clear" w:color="auto" w:fill="FFA07A"/>
      <w:spacing w:before="100" w:beforeAutospacing="1" w:after="100" w:afterAutospacing="1"/>
    </w:pPr>
    <w:rPr>
      <w:color w:val="000000"/>
    </w:rPr>
  </w:style>
  <w:style w:type="paragraph" w:customStyle="1" w:styleId="bg08">
    <w:name w:val="bg08"/>
    <w:basedOn w:val="a"/>
    <w:pPr>
      <w:shd w:val="clear" w:color="auto" w:fill="E6EEFD"/>
      <w:spacing w:before="100" w:beforeAutospacing="1" w:after="100" w:afterAutospacing="1"/>
    </w:pPr>
  </w:style>
  <w:style w:type="paragraph" w:customStyle="1" w:styleId="font01">
    <w:name w:val="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0000"/>
    </w:rPr>
  </w:style>
  <w:style w:type="paragraph" w:customStyle="1" w:styleId="font02">
    <w:name w:val="font02"/>
    <w:basedOn w:val="a"/>
    <w:pPr>
      <w:spacing w:before="100" w:beforeAutospacing="1" w:after="100" w:afterAutospacing="1" w:line="384" w:lineRule="atLeast"/>
    </w:pPr>
    <w:rPr>
      <w:b/>
      <w:bCs/>
      <w:color w:val="000000"/>
      <w:spacing w:val="30"/>
    </w:rPr>
  </w:style>
  <w:style w:type="paragraph" w:customStyle="1" w:styleId="font03">
    <w:name w:val="font03"/>
    <w:basedOn w:val="a"/>
    <w:pPr>
      <w:spacing w:before="100" w:beforeAutospacing="1" w:after="100" w:afterAutospacing="1" w:line="432" w:lineRule="atLeast"/>
    </w:pPr>
    <w:rPr>
      <w:rFonts w:ascii="Tahoma" w:hAnsi="Tahoma" w:cs="Tahoma"/>
      <w:b/>
      <w:bCs/>
      <w:color w:val="000000"/>
      <w:spacing w:val="15"/>
      <w:sz w:val="29"/>
      <w:szCs w:val="29"/>
    </w:rPr>
  </w:style>
  <w:style w:type="paragraph" w:customStyle="1" w:styleId="font04">
    <w:name w:val="font04"/>
    <w:basedOn w:val="a"/>
    <w:pPr>
      <w:spacing w:before="100" w:beforeAutospacing="1" w:after="100" w:afterAutospacing="1" w:line="384" w:lineRule="atLeast"/>
    </w:pPr>
    <w:rPr>
      <w:color w:val="FF0000"/>
      <w:spacing w:val="30"/>
    </w:rPr>
  </w:style>
  <w:style w:type="paragraph" w:customStyle="1" w:styleId="font05">
    <w:name w:val="font05"/>
    <w:basedOn w:val="a"/>
    <w:pPr>
      <w:spacing w:before="100" w:beforeAutospacing="1" w:after="100" w:afterAutospacing="1" w:line="432" w:lineRule="atLeast"/>
    </w:pPr>
    <w:rPr>
      <w:rFonts w:ascii="Tahoma" w:hAnsi="Tahoma" w:cs="Tahoma"/>
      <w:color w:val="003366"/>
      <w:spacing w:val="15"/>
      <w:sz w:val="29"/>
      <w:szCs w:val="29"/>
    </w:rPr>
  </w:style>
  <w:style w:type="paragraph" w:customStyle="1" w:styleId="font06">
    <w:name w:val="font06"/>
    <w:basedOn w:val="a"/>
    <w:pPr>
      <w:spacing w:before="100" w:beforeAutospacing="1" w:after="100" w:afterAutospacing="1"/>
    </w:pPr>
    <w:rPr>
      <w:color w:val="7878AA"/>
      <w:spacing w:val="15"/>
    </w:rPr>
  </w:style>
  <w:style w:type="paragraph" w:customStyle="1" w:styleId="linkfnt01">
    <w:name w:val="link_fnt01"/>
    <w:basedOn w:val="a"/>
    <w:pPr>
      <w:spacing w:before="100" w:beforeAutospacing="1" w:after="100" w:afterAutospacing="1" w:line="384" w:lineRule="atLeast"/>
    </w:pPr>
    <w:rPr>
      <w:rFonts w:ascii="Tahoma" w:hAnsi="Tahoma" w:cs="Tahoma"/>
      <w:color w:val="006699"/>
      <w:spacing w:val="15"/>
    </w:rPr>
  </w:style>
  <w:style w:type="paragraph" w:customStyle="1" w:styleId="color01">
    <w:name w:val="color0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color02">
    <w:name w:val="color02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color03">
    <w:name w:val="color0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color04">
    <w:name w:val="color0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button01">
    <w:name w:val="button01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button01disabled">
    <w:name w:val="button01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node-lcms">
    <w:name w:val="node-lcms"/>
    <w:basedOn w:val="a"/>
    <w:pPr>
      <w:spacing w:before="100" w:beforeAutospacing="1" w:after="100" w:afterAutospacing="1"/>
      <w:ind w:left="120"/>
    </w:pPr>
  </w:style>
  <w:style w:type="paragraph" w:customStyle="1" w:styleId="cketop">
    <w:name w:val="cke_top"/>
    <w:basedOn w:val="a"/>
    <w:pPr>
      <w:spacing w:before="100" w:beforeAutospacing="1" w:after="100" w:afterAutospacing="1"/>
    </w:pPr>
  </w:style>
  <w:style w:type="paragraph" w:customStyle="1" w:styleId="ckecontents">
    <w:name w:val="cke_contents"/>
    <w:basedOn w:val="a"/>
    <w:pPr>
      <w:spacing w:before="100" w:beforeAutospacing="1" w:after="100" w:afterAutospacing="1"/>
    </w:pPr>
  </w:style>
  <w:style w:type="paragraph" w:customStyle="1" w:styleId="ckebottom">
    <w:name w:val="cke_bottom"/>
    <w:basedOn w:val="a"/>
    <w:pPr>
      <w:spacing w:before="100" w:beforeAutospacing="1" w:after="100" w:afterAutospacing="1"/>
    </w:pPr>
  </w:style>
  <w:style w:type="paragraph" w:customStyle="1" w:styleId="cssanchor1">
    <w:name w:val="cssanchor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anchor2">
    <w:name w:val="cssanchor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u w:val="single"/>
    </w:rPr>
  </w:style>
  <w:style w:type="paragraph" w:customStyle="1" w:styleId="csstrevn1">
    <w:name w:val="csstrevn1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2">
    <w:name w:val="csstrevn2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3">
    <w:name w:val="csstrevn3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ketop1">
    <w:name w:val="cke_top1"/>
    <w:basedOn w:val="a"/>
    <w:pPr>
      <w:spacing w:before="100" w:beforeAutospacing="1" w:after="100" w:afterAutospacing="1"/>
    </w:pPr>
  </w:style>
  <w:style w:type="paragraph" w:customStyle="1" w:styleId="ckecontents1">
    <w:name w:val="cke_contents1"/>
    <w:basedOn w:val="a"/>
    <w:pPr>
      <w:spacing w:before="100" w:beforeAutospacing="1" w:after="100" w:afterAutospacing="1"/>
    </w:pPr>
  </w:style>
  <w:style w:type="paragraph" w:customStyle="1" w:styleId="ckebottom1">
    <w:name w:val="cke_bottom1"/>
    <w:basedOn w:val="a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733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355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335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355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gi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1114</Words>
  <Characters>762</Characters>
  <Application>Microsoft Office Word</Application>
  <DocSecurity>0</DocSecurity>
  <Lines>6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2025-07-27T06:15:00Z</dcterms:created>
  <dcterms:modified xsi:type="dcterms:W3CDTF">2025-08-02T04:55:00Z</dcterms:modified>
</cp:coreProperties>
</file>