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CD733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CD733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D7339" w:rsidRDefault="00F9276A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CD7339" w:rsidRDefault="00F9276A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7339" w:rsidRDefault="00F9276A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D7339" w:rsidRDefault="00F9276A">
                  <w:r>
                    <w:t xml:space="preserve">  </w:t>
                  </w:r>
                </w:p>
              </w:tc>
            </w:tr>
          </w:tbl>
          <w:p w:rsidR="00CD7339" w:rsidRDefault="00CD7339"/>
        </w:tc>
      </w:tr>
      <w:tr w:rsidR="00CD7339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CD7339" w:rsidRDefault="00F9276A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CD7339" w:rsidRDefault="00F9276A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in;height:17.75pt" o:ole="">
                  <v:imagedata r:id="rId9" o:title=""/>
                </v:shape>
                <w:control r:id="rId10" w:name="DefaultOcxName" w:shapeid="_x0000_i1056"/>
              </w:object>
            </w:r>
            <w:r>
              <w:object w:dxaOrig="225" w:dyaOrig="225">
                <v:shape id="_x0000_i1059" type="#_x0000_t75" style="width:1in;height:17.75pt" o:ole="">
                  <v:imagedata r:id="rId9" o:title=""/>
                </v:shape>
                <w:control r:id="rId11" w:name="DefaultOcxName1" w:shapeid="_x0000_i1059"/>
              </w:object>
            </w:r>
            <w:r>
              <w:object w:dxaOrig="225" w:dyaOrig="225">
                <v:shape id="_x0000_i1062" type="#_x0000_t75" style="width:1in;height:17.75pt" o:ole="">
                  <v:imagedata r:id="rId9" o:title=""/>
                </v:shape>
                <w:control r:id="rId12" w:name="DefaultOcxName2" w:shapeid="_x0000_i1062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CD7339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CD7339" w:rsidRDefault="00F9276A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CD7339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4164"/>
                    <w:gridCol w:w="8225"/>
                  </w:tblGrid>
                  <w:tr w:rsidR="00CD7339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CD7339" w:rsidRDefault="009C72A0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F9276A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所謂「通貨膨脹」係指： 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5" type="#_x0000_t75" style="width:20.55pt;height:19.65pt" o:ole="">
                              <v:imagedata r:id="rId13" o:title=""/>
                            </v:shape>
                            <w:control r:id="rId14" w:name="DefaultOcxName7" w:shapeid="_x0000_i106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少部分商品價格上升比其他商品價格快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8" type="#_x0000_t75" style="width:20.55pt;height:19.65pt" o:ole="">
                              <v:imagedata r:id="rId13" o:title=""/>
                            </v:shape>
                            <w:control r:id="rId15" w:name="DefaultOcxName8" w:shapeid="_x0000_i106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貨幣價值持續大幅上升的現象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71" type="#_x0000_t75" style="width:20.55pt;height:19.65pt" o:ole="">
                              <v:imagedata r:id="rId13" o:title=""/>
                            </v:shape>
                            <w:control r:id="rId16" w:name="DefaultOcxName9" w:shapeid="_x0000_i107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平均物價水準持續大幅上升的現象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4" type="#_x0000_t75" style="width:20.55pt;height:19.65pt" o:ole="">
                              <v:imagedata r:id="rId13" o:title=""/>
                            </v:shape>
                            <w:control r:id="rId17" w:name="DefaultOcxName10" w:shapeid="_x0000_i107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資產價格持續大幅上升的現象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通貨膨脹(inflation)係指一般物價水準在一定時期內，持續地相當幅度上漲的現象，故(C)的說法為正確。</w:t>
                        </w:r>
                        <w:r w:rsidR="00AD5B4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AD5B4B"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AD5B4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章第一節</w:t>
                        </w:r>
                        <w:r w:rsidR="00AD5B4B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CD7339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CD7339" w:rsidRDefault="009C72A0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F9276A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停滯性通貨膨脹的現象為： 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7" type="#_x0000_t75" style="width:20.55pt;height:19.65pt" o:ole="">
                              <v:imagedata r:id="rId13" o:title=""/>
                            </v:shape>
                            <w:control r:id="rId18" w:name="DefaultOcxName11" w:shapeid="_x0000_i107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高通貨膨脹、高產出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80" type="#_x0000_t75" style="width:20.55pt;height:19.65pt" o:ole="">
                              <v:imagedata r:id="rId13" o:title=""/>
                            </v:shape>
                            <w:control r:id="rId19" w:name="DefaultOcxName12" w:shapeid="_x0000_i108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高通貨膨脹、低產出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3" type="#_x0000_t75" style="width:20.55pt;height:19.65pt" o:ole="">
                              <v:imagedata r:id="rId13" o:title=""/>
                            </v:shape>
                            <w:control r:id="rId20" w:name="DefaultOcxName13" w:shapeid="_x0000_i108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高通貨膨脹、低失業率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6" type="#_x0000_t75" style="width:20.55pt;height:19.65pt" o:ole="">
                              <v:imagedata r:id="rId13" o:title=""/>
                            </v:shape>
                            <w:control r:id="rId21" w:name="DefaultOcxName14" w:shapeid="_x0000_i108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低通貨膨脹、高失業率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高通貨膨脹率與低產出(高失業率)並存的現象，稱為停滯性通貨膨脹。</w:t>
                        </w:r>
                        <w:r w:rsidR="00AD5B4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AD5B4B"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AD5B4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章第二節</w:t>
                        </w:r>
                        <w:r w:rsidR="00AD5B4B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CD7339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lastRenderedPageBreak/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CD7339" w:rsidRDefault="009C72A0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F9276A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若長期菲力普曲線為一條垂直線，則係垂直於哪一失業率水準： 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89" type="#_x0000_t75" style="width:20.55pt;height:19.65pt" o:ole="">
                              <v:imagedata r:id="rId13" o:title=""/>
                            </v:shape>
                            <w:control r:id="rId22" w:name="DefaultOcxName39" w:shapeid="_x0000_i108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自然失業率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2" type="#_x0000_t75" style="width:20.55pt;height:19.65pt" o:ole="">
                              <v:imagedata r:id="rId13" o:title=""/>
                            </v:shape>
                            <w:control r:id="rId23" w:name="DefaultOcxName40" w:shapeid="_x0000_i109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摩擦性失業率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5" type="#_x0000_t75" style="width:20.55pt;height:19.65pt" o:ole="">
                              <v:imagedata r:id="rId13" o:title=""/>
                            </v:shape>
                            <w:control r:id="rId24" w:name="DefaultOcxName41" w:shapeid="_x0000_i109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結構性失業率</w:t>
                        </w:r>
                      </w:p>
                      <w:p w:rsidR="00CD7339" w:rsidRDefault="00F9276A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8" type="#_x0000_t75" style="width:20.55pt;height:19.65pt" o:ole="">
                              <v:imagedata r:id="rId13" o:title=""/>
                            </v:shape>
                            <w:control r:id="rId25" w:name="DefaultOcxName42" w:shapeid="_x0000_i109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實際失業率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CD7339" w:rsidRDefault="00F9276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長期菲力普曲線是一條垂直於「自然失業率」的直線 ，此意味著，在長期之下，通貨膨脹率和失業率之間並沒有存在抵換關係。</w:t>
                        </w:r>
                        <w:r w:rsidR="00AD5B4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AD5B4B"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AD5B4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章第五節</w:t>
                        </w:r>
                        <w:r w:rsidR="00AD5B4B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CD7339" w:rsidRDefault="00CD7339"/>
              </w:tc>
            </w:tr>
            <w:tr w:rsidR="00CD7339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CD7339" w:rsidRDefault="00CD733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7339" w:rsidRDefault="00F9276A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CD7339" w:rsidRDefault="00CD7339"/>
        </w:tc>
      </w:tr>
    </w:tbl>
    <w:p w:rsidR="00CD7339" w:rsidRDefault="00CD7339"/>
    <w:p w:rsidR="00962167" w:rsidRDefault="00962167"/>
    <w:p w:rsidR="00051CD3" w:rsidRDefault="009C72A0" w:rsidP="00051CD3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051CD3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4</w:t>
      </w:r>
      <w:r w:rsidR="004E552C" w:rsidRPr="00051CD3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(D)</w:t>
      </w:r>
      <w:r w:rsidR="004E552C" w:rsidRPr="00051CD3">
        <w:rPr>
          <w:rFonts w:asciiTheme="minorEastAsia" w:eastAsiaTheme="minorEastAsia" w:hAnsiTheme="minorEastAsia"/>
          <w:b/>
          <w:sz w:val="28"/>
          <w:szCs w:val="28"/>
        </w:rPr>
        <w:t>下列何者不是通貨膨脹的不利影響？</w:t>
      </w:r>
    </w:p>
    <w:p w:rsidR="00051CD3" w:rsidRDefault="004E552C" w:rsidP="00051CD3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051CD3">
        <w:rPr>
          <w:rFonts w:asciiTheme="minorEastAsia" w:eastAsiaTheme="minorEastAsia" w:hAnsiTheme="minorEastAsia"/>
          <w:b/>
          <w:sz w:val="28"/>
          <w:szCs w:val="28"/>
        </w:rPr>
        <w:t xml:space="preserve">(A)債權人與債務人的財富重分配 </w:t>
      </w:r>
    </w:p>
    <w:p w:rsidR="00051CD3" w:rsidRDefault="004E552C" w:rsidP="00051CD3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051CD3">
        <w:rPr>
          <w:rFonts w:asciiTheme="minorEastAsia" w:eastAsiaTheme="minorEastAsia" w:hAnsiTheme="minorEastAsia"/>
          <w:b/>
          <w:sz w:val="28"/>
          <w:szCs w:val="28"/>
        </w:rPr>
        <w:t xml:space="preserve">(B)資源分配效率降低，不利經濟成長 </w:t>
      </w:r>
    </w:p>
    <w:p w:rsidR="00051CD3" w:rsidRDefault="004E552C" w:rsidP="00051CD3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051CD3">
        <w:rPr>
          <w:rFonts w:asciiTheme="minorEastAsia" w:eastAsiaTheme="minorEastAsia" w:hAnsiTheme="minorEastAsia"/>
          <w:b/>
          <w:sz w:val="28"/>
          <w:szCs w:val="28"/>
        </w:rPr>
        <w:t xml:space="preserve">(C)政治及社會的不安定 </w:t>
      </w:r>
    </w:p>
    <w:p w:rsidR="00051CD3" w:rsidRDefault="004E552C" w:rsidP="00051CD3">
      <w:pPr>
        <w:spacing w:line="360" w:lineRule="auto"/>
        <w:rPr>
          <w:rFonts w:asciiTheme="minorEastAsia" w:eastAsiaTheme="minorEastAsia" w:hAnsiTheme="minorEastAsia"/>
          <w:b/>
          <w:color w:val="00B050"/>
          <w:sz w:val="28"/>
          <w:szCs w:val="28"/>
        </w:rPr>
      </w:pPr>
      <w:r w:rsidRPr="00051CD3">
        <w:rPr>
          <w:rFonts w:asciiTheme="minorEastAsia" w:eastAsiaTheme="minorEastAsia" w:hAnsiTheme="minorEastAsia"/>
          <w:b/>
          <w:sz w:val="28"/>
          <w:szCs w:val="28"/>
        </w:rPr>
        <w:t>(D)減少投機</w:t>
      </w:r>
      <w:r w:rsidRPr="00051CD3">
        <w:rPr>
          <w:rFonts w:asciiTheme="minorEastAsia" w:eastAsiaTheme="minorEastAsia" w:hAnsiTheme="minorEastAsia"/>
          <w:b/>
          <w:color w:val="00B050"/>
          <w:sz w:val="28"/>
          <w:szCs w:val="28"/>
        </w:rPr>
        <w:t xml:space="preserve"> </w:t>
      </w:r>
    </w:p>
    <w:p w:rsidR="00962167" w:rsidRPr="00051CD3" w:rsidRDefault="004E552C" w:rsidP="00051CD3">
      <w:pPr>
        <w:spacing w:line="360" w:lineRule="auto"/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</w:pPr>
      <w:r w:rsidRPr="00051CD3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(p.367-370</w:t>
      </w:r>
      <w:r w:rsidR="001B1C2E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，第1</w:t>
      </w:r>
      <w:r w:rsidR="001B1C2E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3</w:t>
      </w:r>
      <w:r w:rsidR="001B1C2E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章第三節</w:t>
      </w:r>
      <w:r w:rsidRPr="00051CD3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</w:p>
    <w:p w:rsidR="004E552C" w:rsidRPr="00051CD3" w:rsidRDefault="004E552C" w:rsidP="00051CD3">
      <w:pPr>
        <w:spacing w:line="360" w:lineRule="auto"/>
        <w:rPr>
          <w:rFonts w:asciiTheme="minorEastAsia" w:eastAsiaTheme="minorEastAsia" w:hAnsiTheme="minorEastAsia"/>
          <w:b/>
        </w:rPr>
      </w:pPr>
    </w:p>
    <w:p w:rsidR="004E552C" w:rsidRPr="00051CD3" w:rsidRDefault="004E552C" w:rsidP="00051CD3">
      <w:pPr>
        <w:spacing w:line="360" w:lineRule="auto"/>
        <w:rPr>
          <w:rFonts w:asciiTheme="minorEastAsia" w:eastAsiaTheme="minorEastAsia" w:hAnsiTheme="minorEastAsia"/>
          <w:b/>
        </w:rPr>
      </w:pPr>
    </w:p>
    <w:p w:rsidR="00051CD3" w:rsidRDefault="009C72A0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5.</w:t>
      </w:r>
      <w:r w:rsidR="004E552C"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="00AF2142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D</w:t>
      </w:r>
      <w:r w:rsidR="004E552C"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4E552C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下列關於通貨膨脹</w:t>
      </w:r>
      <w:r w:rsidR="004E552C" w:rsidRPr="00051CD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成因與種類，下列敘述</w:t>
      </w:r>
      <w:r w:rsidR="004E552C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何者正確？</w:t>
      </w:r>
    </w:p>
    <w:p w:rsidR="00051CD3" w:rsidRDefault="004E552C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AF2142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政府僅調整貨幣政策而不管制價格屬於壓抑性通貨膨脹</w:t>
      </w:r>
    </w:p>
    <w:p w:rsidR="00051CD3" w:rsidRDefault="004E552C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lastRenderedPageBreak/>
        <w:t xml:space="preserve">(B)俄烏戰爭造成台灣進口物品價格上漲屬於出口型的通貨膨脹 </w:t>
      </w:r>
    </w:p>
    <w:p w:rsidR="00051CD3" w:rsidRDefault="004E552C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AF2142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消費支出增加引起的通貨膨脹為成本推動型</w:t>
      </w:r>
    </w:p>
    <w:p w:rsidR="00051CD3" w:rsidRDefault="004E552C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B050"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AF2142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惡性通貨膨脹是物價水準以極高速度上漲的現象，又稱為奔馳的通貨膨脹</w:t>
      </w:r>
      <w:r w:rsidRPr="00051CD3">
        <w:rPr>
          <w:rFonts w:asciiTheme="minorEastAsia" w:eastAsiaTheme="minorEastAsia" w:hAnsiTheme="minorEastAsia" w:cs="Times New Roman"/>
          <w:b/>
          <w:color w:val="00B050"/>
          <w:kern w:val="2"/>
          <w:sz w:val="28"/>
          <w:szCs w:val="28"/>
        </w:rPr>
        <w:t xml:space="preserve"> </w:t>
      </w:r>
    </w:p>
    <w:p w:rsidR="004E552C" w:rsidRPr="00051CD3" w:rsidRDefault="004E552C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Pr="00051CD3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p</w:t>
      </w: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.360-367</w:t>
      </w:r>
      <w:r w:rsidR="001B1C2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，第1</w:t>
      </w:r>
      <w:r w:rsidR="001B1C2E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3</w:t>
      </w:r>
      <w:r w:rsidR="001B1C2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章第二節</w:t>
      </w: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6A39AA" w:rsidRPr="00051CD3" w:rsidRDefault="006A39AA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051CD3" w:rsidRDefault="009C72A0" w:rsidP="00051CD3">
      <w:pPr>
        <w:spacing w:line="360" w:lineRule="auto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6.</w:t>
      </w:r>
      <w:r w:rsidR="004E552C" w:rsidRPr="00051CD3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(</w:t>
      </w:r>
      <w:r w:rsidR="002312FB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C</w:t>
      </w:r>
      <w:r w:rsidR="004E552C"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4E552C"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關於菲力普曲線的敘述，下列何者有誤？</w:t>
      </w:r>
    </w:p>
    <w:p w:rsidR="00051CD3" w:rsidRDefault="004E552C" w:rsidP="00051CD3">
      <w:pPr>
        <w:spacing w:line="360" w:lineRule="auto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(A)</w:t>
      </w:r>
      <w:r w:rsidR="002312FB" w:rsidRPr="002312FB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 </w:t>
      </w:r>
      <w:r w:rsidR="002312FB"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長期菲力普曲線說明，如果為了追求低於自然失業率之下的失業率，而持續採取擴張性政策，則即使是溫和的通貨膨脹也會累積成巨幅的通貨膨脹</w:t>
      </w:r>
    </w:p>
    <w:p w:rsidR="00051CD3" w:rsidRDefault="004E552C" w:rsidP="00051CD3">
      <w:pPr>
        <w:spacing w:line="360" w:lineRule="auto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(B)短期為降低失業率可能要承受較高的通貨膨脹</w:t>
      </w:r>
    </w:p>
    <w:p w:rsidR="00051CD3" w:rsidRDefault="004E552C" w:rsidP="00051CD3">
      <w:pPr>
        <w:spacing w:line="360" w:lineRule="auto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(C)</w:t>
      </w:r>
      <w:r w:rsidR="002312FB"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長期的菲力普曲線是一條垂直線，表示失業率和通貨膨脹率存在抵換關係</w:t>
      </w:r>
    </w:p>
    <w:p w:rsidR="00051CD3" w:rsidRDefault="004E552C" w:rsidP="00051CD3">
      <w:pPr>
        <w:spacing w:line="360" w:lineRule="auto"/>
        <w:rPr>
          <w:rFonts w:asciiTheme="minorEastAsia" w:eastAsiaTheme="minorEastAsia" w:hAnsiTheme="minorEastAsia" w:cs="Times New Roman"/>
          <w:b/>
          <w:color w:val="00B050"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(D)</w:t>
      </w:r>
      <w:r w:rsidR="002312FB"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負斜率的菲力普曲線表示通貨膨脹和失業率</w:t>
      </w:r>
      <w:proofErr w:type="gramStart"/>
      <w:r w:rsidR="002312FB"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之間呈</w:t>
      </w:r>
      <w:proofErr w:type="gramEnd"/>
      <w:r w:rsidR="002312FB" w:rsidRPr="00051CD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反向關係</w:t>
      </w:r>
    </w:p>
    <w:p w:rsidR="00687156" w:rsidRPr="00051CD3" w:rsidRDefault="004E552C" w:rsidP="00051CD3">
      <w:pPr>
        <w:spacing w:line="360" w:lineRule="auto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Pr="00051CD3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p</w:t>
      </w: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.377-384</w:t>
      </w:r>
      <w:r w:rsidR="001B1C2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，第1</w:t>
      </w:r>
      <w:r w:rsidR="001B1C2E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3</w:t>
      </w:r>
      <w:r w:rsidR="001B1C2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章第五節</w:t>
      </w: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FB0C4D" w:rsidRPr="00051CD3" w:rsidRDefault="00FB0C4D" w:rsidP="00051CD3">
      <w:pPr>
        <w:spacing w:line="360" w:lineRule="auto"/>
        <w:rPr>
          <w:rFonts w:asciiTheme="minorEastAsia" w:eastAsiaTheme="minorEastAsia" w:hAnsiTheme="minorEastAsia"/>
          <w:b/>
        </w:rPr>
      </w:pPr>
    </w:p>
    <w:p w:rsidR="007B748E" w:rsidRDefault="00577286" w:rsidP="00051CD3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color w:val="FF0000"/>
          <w:sz w:val="28"/>
          <w:szCs w:val="28"/>
          <w:highlight w:val="yellow"/>
        </w:rPr>
        <w:t>7</w:t>
      </w:r>
      <w:r w:rsidR="009C72A0" w:rsidRPr="00051CD3">
        <w:rPr>
          <w:rFonts w:asciiTheme="minorEastAsia" w:eastAsiaTheme="minorEastAsia" w:hAnsiTheme="minorEastAsia" w:cs="Times New Roman"/>
          <w:b/>
          <w:color w:val="FF0000"/>
          <w:sz w:val="28"/>
          <w:szCs w:val="28"/>
          <w:highlight w:val="yellow"/>
        </w:rPr>
        <w:t>.</w:t>
      </w:r>
      <w:r w:rsidR="00FB0C4D" w:rsidRPr="00051CD3">
        <w:rPr>
          <w:rFonts w:asciiTheme="minorEastAsia" w:eastAsiaTheme="minorEastAsia" w:hAnsiTheme="minorEastAsia" w:cs="Times New Roman"/>
          <w:b/>
          <w:color w:val="FF0000"/>
          <w:sz w:val="28"/>
          <w:szCs w:val="28"/>
          <w:highlight w:val="yellow"/>
        </w:rPr>
        <w:t>(D)</w:t>
      </w:r>
      <w:r w:rsidR="00FB0C4D" w:rsidRPr="00051CD3">
        <w:rPr>
          <w:rFonts w:asciiTheme="minorEastAsia" w:eastAsiaTheme="minorEastAsia" w:hAnsiTheme="minorEastAsia" w:cs="Times New Roman"/>
          <w:b/>
          <w:sz w:val="28"/>
          <w:szCs w:val="28"/>
        </w:rPr>
        <w:t>關於央行為何偏好漸進主義，下列敘述何者有誤？</w:t>
      </w:r>
    </w:p>
    <w:p w:rsidR="007B748E" w:rsidRDefault="00FB0C4D" w:rsidP="00051CD3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sz w:val="28"/>
          <w:szCs w:val="28"/>
        </w:rPr>
        <w:t xml:space="preserve">(A)希望減緩利率的波動，有助於金融市場的穩定 </w:t>
      </w:r>
    </w:p>
    <w:p w:rsidR="007B748E" w:rsidRDefault="00FB0C4D" w:rsidP="00051CD3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sz w:val="28"/>
          <w:szCs w:val="28"/>
        </w:rPr>
        <w:t xml:space="preserve">(B)保持選擇彈性 </w:t>
      </w:r>
    </w:p>
    <w:p w:rsidR="007B748E" w:rsidRDefault="00FB0C4D" w:rsidP="00051CD3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sz w:val="28"/>
          <w:szCs w:val="28"/>
        </w:rPr>
        <w:t xml:space="preserve">(C)所面臨的衝擊呈序列相關，意味著適合央行持採取同方向的行動 </w:t>
      </w:r>
    </w:p>
    <w:p w:rsidR="007B748E" w:rsidRDefault="00FB0C4D" w:rsidP="00051CD3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sz w:val="28"/>
          <w:szCs w:val="28"/>
        </w:rPr>
        <w:t xml:space="preserve">(D)大眾預期短期利率會「快速」調整，將導致長期利率強烈反應，有助於達到央行預期的效果 </w:t>
      </w:r>
    </w:p>
    <w:p w:rsidR="00FB0C4D" w:rsidRPr="00051CD3" w:rsidRDefault="00FB0C4D" w:rsidP="00051CD3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FF0000"/>
          <w:sz w:val="28"/>
          <w:szCs w:val="28"/>
          <w:highlight w:val="yellow"/>
        </w:rPr>
        <w:t>(p.376</w:t>
      </w:r>
      <w:r w:rsidR="001B1C2E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  <w:highlight w:val="yellow"/>
        </w:rPr>
        <w:t>，第1</w:t>
      </w:r>
      <w:r w:rsidR="001B1C2E">
        <w:rPr>
          <w:rFonts w:asciiTheme="minorEastAsia" w:eastAsiaTheme="minorEastAsia" w:hAnsiTheme="minorEastAsia" w:cs="Times New Roman"/>
          <w:b/>
          <w:color w:val="FF0000"/>
          <w:sz w:val="28"/>
          <w:szCs w:val="28"/>
          <w:highlight w:val="yellow"/>
        </w:rPr>
        <w:t>3</w:t>
      </w:r>
      <w:r w:rsidR="001B1C2E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  <w:highlight w:val="yellow"/>
        </w:rPr>
        <w:t>章第四節</w:t>
      </w:r>
      <w:r w:rsidRPr="00051CD3">
        <w:rPr>
          <w:rFonts w:asciiTheme="minorEastAsia" w:eastAsiaTheme="minorEastAsia" w:hAnsiTheme="minorEastAsia" w:cs="Times New Roman"/>
          <w:b/>
          <w:color w:val="FF0000"/>
          <w:sz w:val="28"/>
          <w:szCs w:val="28"/>
          <w:highlight w:val="yellow"/>
        </w:rPr>
        <w:t>)</w:t>
      </w:r>
    </w:p>
    <w:p w:rsidR="00487CC5" w:rsidRPr="00051CD3" w:rsidRDefault="00487CC5" w:rsidP="00051CD3">
      <w:pPr>
        <w:spacing w:line="360" w:lineRule="auto"/>
        <w:rPr>
          <w:rFonts w:asciiTheme="minorEastAsia" w:eastAsiaTheme="minorEastAsia" w:hAnsiTheme="minorEastAsia"/>
          <w:b/>
        </w:rPr>
      </w:pPr>
    </w:p>
    <w:p w:rsidR="007B748E" w:rsidRDefault="00577286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8</w:t>
      </w:r>
      <w:r w:rsidR="009C72A0"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</w:t>
      </w:r>
      <w:r w:rsidR="00487CC5"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="00F92910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A</w:t>
      </w:r>
      <w:bookmarkStart w:id="0" w:name="_GoBack"/>
      <w:bookmarkEnd w:id="0"/>
      <w:r w:rsidR="00487CC5"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487CC5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關於通貨膨脹的意義及測量，下列何者正確？</w:t>
      </w:r>
    </w:p>
    <w:p w:rsidR="007B748E" w:rsidRDefault="00487CC5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F27850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躉售物價指數是大宗物資如廠商出售的原料、半成品、製成品等物資的價格，加權平均編制的物價指數</w:t>
      </w:r>
    </w:p>
    <w:p w:rsidR="007B748E" w:rsidRDefault="00487CC5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="00F27850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單一商品價格的上漲是通貨膨脹的要件之</w:t>
      </w:r>
      <w:proofErr w:type="gramStart"/>
      <w:r w:rsidR="00F27850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</w:p>
    <w:p w:rsidR="007B748E" w:rsidRDefault="00487CC5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F27850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很微小的漲幅也屬於通貨膨脹的要件之</w:t>
      </w:r>
      <w:proofErr w:type="gramStart"/>
      <w:r w:rsidR="00F27850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</w:p>
    <w:p w:rsidR="007B748E" w:rsidRDefault="00487CC5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F27850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物價水準一次性的上漲就算是通貨膨脹的要件之</w:t>
      </w:r>
      <w:proofErr w:type="gramStart"/>
      <w:r w:rsidR="00F27850" w:rsidRPr="00051CD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</w:p>
    <w:p w:rsidR="00487CC5" w:rsidRPr="00051CD3" w:rsidRDefault="00487CC5" w:rsidP="00051CD3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(p.356-360</w:t>
      </w:r>
      <w:r w:rsidR="001B1C2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，第1</w:t>
      </w:r>
      <w:r w:rsidR="001B1C2E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3</w:t>
      </w:r>
      <w:r w:rsidR="001B1C2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章第一節</w:t>
      </w:r>
      <w:r w:rsidRPr="00051CD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487CC5" w:rsidRDefault="00487CC5"/>
    <w:p w:rsidR="005C4BC3" w:rsidRDefault="005C4BC3"/>
    <w:p w:rsidR="008514D4" w:rsidRDefault="008514D4" w:rsidP="005C4BC3"/>
    <w:p w:rsidR="008514D4" w:rsidRPr="008514D4" w:rsidRDefault="008514D4" w:rsidP="005C4BC3"/>
    <w:sectPr w:rsidR="008514D4" w:rsidRPr="008514D4" w:rsidSect="00F9276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76A" w:rsidRDefault="00F9276A" w:rsidP="00F9276A">
      <w:r>
        <w:separator/>
      </w:r>
    </w:p>
  </w:endnote>
  <w:endnote w:type="continuationSeparator" w:id="0">
    <w:p w:rsidR="00F9276A" w:rsidRDefault="00F9276A" w:rsidP="00F9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76A" w:rsidRDefault="00F9276A" w:rsidP="00F9276A">
      <w:r>
        <w:separator/>
      </w:r>
    </w:p>
  </w:footnote>
  <w:footnote w:type="continuationSeparator" w:id="0">
    <w:p w:rsidR="00F9276A" w:rsidRDefault="00F9276A" w:rsidP="00F92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F84"/>
    <w:multiLevelType w:val="hybridMultilevel"/>
    <w:tmpl w:val="96B87E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DD31C9"/>
    <w:multiLevelType w:val="multilevel"/>
    <w:tmpl w:val="4A120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F7191"/>
    <w:multiLevelType w:val="multilevel"/>
    <w:tmpl w:val="319817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951FE"/>
    <w:multiLevelType w:val="multilevel"/>
    <w:tmpl w:val="72246A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1705C"/>
    <w:multiLevelType w:val="multilevel"/>
    <w:tmpl w:val="87649B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740B1"/>
    <w:multiLevelType w:val="multilevel"/>
    <w:tmpl w:val="0B4232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0567D"/>
    <w:multiLevelType w:val="hybridMultilevel"/>
    <w:tmpl w:val="82B6F91E"/>
    <w:lvl w:ilvl="0" w:tplc="95E0211C">
      <w:start w:val="1"/>
      <w:numFmt w:val="decimal"/>
      <w:lvlText w:val="%1."/>
      <w:lvlJc w:val="left"/>
      <w:pPr>
        <w:ind w:left="480" w:hanging="480"/>
      </w:pPr>
      <w:rPr>
        <w:b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FD759A"/>
    <w:multiLevelType w:val="multilevel"/>
    <w:tmpl w:val="CC402C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A2144"/>
    <w:multiLevelType w:val="hybridMultilevel"/>
    <w:tmpl w:val="E67823A0"/>
    <w:lvl w:ilvl="0" w:tplc="F7262CE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7F847A3A">
      <w:start w:val="1"/>
      <w:numFmt w:val="upperLetter"/>
      <w:lvlText w:val="(%2)"/>
      <w:lvlJc w:val="left"/>
      <w:pPr>
        <w:ind w:left="840" w:hanging="360"/>
      </w:pPr>
      <w:rPr>
        <w:rFonts w:hint="default"/>
        <w:b w:val="0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4C38FA"/>
    <w:multiLevelType w:val="multilevel"/>
    <w:tmpl w:val="1F042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B4048"/>
    <w:multiLevelType w:val="multilevel"/>
    <w:tmpl w:val="B2A4BF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15AF8"/>
    <w:multiLevelType w:val="multilevel"/>
    <w:tmpl w:val="318640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17620"/>
    <w:multiLevelType w:val="multilevel"/>
    <w:tmpl w:val="D8246A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F581F"/>
    <w:multiLevelType w:val="hybridMultilevel"/>
    <w:tmpl w:val="6700D7CE"/>
    <w:lvl w:ilvl="0" w:tplc="73A4C41E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6A"/>
    <w:rsid w:val="00051CD3"/>
    <w:rsid w:val="001B1C2E"/>
    <w:rsid w:val="002312FB"/>
    <w:rsid w:val="00487CC5"/>
    <w:rsid w:val="004E552C"/>
    <w:rsid w:val="00577286"/>
    <w:rsid w:val="005C4BC3"/>
    <w:rsid w:val="0061495E"/>
    <w:rsid w:val="00687156"/>
    <w:rsid w:val="006A39AA"/>
    <w:rsid w:val="007B748E"/>
    <w:rsid w:val="008514D4"/>
    <w:rsid w:val="008E55D8"/>
    <w:rsid w:val="009141B3"/>
    <w:rsid w:val="00962167"/>
    <w:rsid w:val="009C72A0"/>
    <w:rsid w:val="00AD5B4B"/>
    <w:rsid w:val="00AF2142"/>
    <w:rsid w:val="00CD7339"/>
    <w:rsid w:val="00EB7D07"/>
    <w:rsid w:val="00F27850"/>
    <w:rsid w:val="00F92154"/>
    <w:rsid w:val="00F9276A"/>
    <w:rsid w:val="00F92910"/>
    <w:rsid w:val="00FB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55B9FA2B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F92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276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92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276A"/>
    <w:rPr>
      <w:rFonts w:ascii="新細明體" w:eastAsia="新細明體" w:hAnsi="新細明體" w:cs="新細明體"/>
    </w:rPr>
  </w:style>
  <w:style w:type="paragraph" w:styleId="a7">
    <w:name w:val="List Paragraph"/>
    <w:basedOn w:val="a"/>
    <w:uiPriority w:val="34"/>
    <w:qFormat/>
    <w:rsid w:val="00FB0C4D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1017</Words>
  <Characters>806</Characters>
  <Application>Microsoft Office Word</Application>
  <DocSecurity>0</DocSecurity>
  <Lines>6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2025-07-27T06:17:00Z</dcterms:created>
  <dcterms:modified xsi:type="dcterms:W3CDTF">2025-08-02T05:39:00Z</dcterms:modified>
</cp:coreProperties>
</file>