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6F6F6"/>
  <w:body>
    <w:tbl>
      <w:tblPr>
        <w:tblW w:w="14250" w:type="dxa"/>
        <w:tblCellSpacing w:w="0" w:type="dxa"/>
        <w:tblCellMar>
          <w:left w:w="0" w:type="dxa"/>
          <w:right w:w="0" w:type="dxa"/>
        </w:tblCellMar>
        <w:tblLook w:val="04A0" w:firstRow="1" w:lastRow="0" w:firstColumn="1" w:lastColumn="0" w:noHBand="0" w:noVBand="1"/>
      </w:tblPr>
      <w:tblGrid>
        <w:gridCol w:w="14250"/>
      </w:tblGrid>
      <w:tr w:rsidR="00E819D2">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390"/>
              <w:gridCol w:w="960"/>
              <w:gridCol w:w="420"/>
              <w:gridCol w:w="12480"/>
            </w:tblGrid>
            <w:tr w:rsidR="00E819D2">
              <w:trPr>
                <w:tblCellSpacing w:w="0" w:type="dxa"/>
              </w:trPr>
              <w:tc>
                <w:tcPr>
                  <w:tcW w:w="0" w:type="auto"/>
                  <w:vAlign w:val="center"/>
                  <w:hideMark/>
                </w:tcPr>
                <w:p w:rsidR="00E819D2" w:rsidRDefault="005B2D10">
                  <w:r>
                    <w:rPr>
                      <w:noProof/>
                    </w:rPr>
                    <w:drawing>
                      <wp:inline distT="0" distB="0" distL="0" distR="0">
                        <wp:extent cx="238125" cy="285750"/>
                        <wp:effectExtent l="0" t="0" r="9525" b="0"/>
                        <wp:docPr id="1" name="ImgL1" descr="title_on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1" descr="title_on_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 cy="285750"/>
                                </a:xfrm>
                                <a:prstGeom prst="rect">
                                  <a:avLst/>
                                </a:prstGeom>
                                <a:noFill/>
                                <a:ln>
                                  <a:noFill/>
                                </a:ln>
                              </pic:spPr>
                            </pic:pic>
                          </a:graphicData>
                        </a:graphic>
                      </wp:inline>
                    </w:drawing>
                  </w:r>
                </w:p>
              </w:tc>
              <w:tc>
                <w:tcPr>
                  <w:tcW w:w="0" w:type="auto"/>
                  <w:noWrap/>
                  <w:tcMar>
                    <w:top w:w="0" w:type="dxa"/>
                    <w:left w:w="0" w:type="dxa"/>
                    <w:bottom w:w="60" w:type="dxa"/>
                    <w:right w:w="0" w:type="dxa"/>
                  </w:tcMar>
                  <w:vAlign w:val="bottom"/>
                  <w:hideMark/>
                </w:tcPr>
                <w:p w:rsidR="00E819D2" w:rsidRDefault="005B2D10">
                  <w:pPr>
                    <w:spacing w:line="384" w:lineRule="atLeast"/>
                    <w:jc w:val="center"/>
                    <w:rPr>
                      <w:rFonts w:ascii="微軟正黑體" w:eastAsia="微軟正黑體" w:hAnsi="微軟正黑體"/>
                      <w:b/>
                      <w:bCs/>
                      <w:color w:val="FFFFFF"/>
                    </w:rPr>
                  </w:pPr>
                  <w:r>
                    <w:rPr>
                      <w:rFonts w:ascii="微軟正黑體" w:eastAsia="微軟正黑體" w:hAnsi="微軟正黑體" w:hint="eastAsia"/>
                      <w:b/>
                      <w:bCs/>
                      <w:color w:val="FFFFFF"/>
                    </w:rPr>
                    <w:t xml:space="preserve">試卷內容 </w:t>
                  </w:r>
                </w:p>
              </w:tc>
              <w:tc>
                <w:tcPr>
                  <w:tcW w:w="0" w:type="auto"/>
                  <w:vAlign w:val="center"/>
                  <w:hideMark/>
                </w:tcPr>
                <w:p w:rsidR="00E819D2" w:rsidRDefault="005B2D10">
                  <w:r>
                    <w:rPr>
                      <w:noProof/>
                    </w:rPr>
                    <w:drawing>
                      <wp:inline distT="0" distB="0" distL="0" distR="0">
                        <wp:extent cx="266700" cy="285750"/>
                        <wp:effectExtent l="0" t="0" r="0" b="0"/>
                        <wp:docPr id="2" name="ImgR1" descr="title_on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R1" descr="title_on_0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 cy="285750"/>
                                </a:xfrm>
                                <a:prstGeom prst="rect">
                                  <a:avLst/>
                                </a:prstGeom>
                                <a:noFill/>
                                <a:ln>
                                  <a:noFill/>
                                </a:ln>
                              </pic:spPr>
                            </pic:pic>
                          </a:graphicData>
                        </a:graphic>
                      </wp:inline>
                    </w:drawing>
                  </w:r>
                </w:p>
              </w:tc>
              <w:tc>
                <w:tcPr>
                  <w:tcW w:w="5000" w:type="pct"/>
                  <w:vAlign w:val="center"/>
                  <w:hideMark/>
                </w:tcPr>
                <w:p w:rsidR="00E819D2" w:rsidRDefault="005B2D10">
                  <w:r>
                    <w:t xml:space="preserve">  </w:t>
                  </w:r>
                </w:p>
              </w:tc>
            </w:tr>
          </w:tbl>
          <w:p w:rsidR="00E819D2" w:rsidRDefault="00E819D2"/>
        </w:tc>
      </w:tr>
      <w:tr w:rsidR="00E819D2">
        <w:trPr>
          <w:tblCellSpacing w:w="0" w:type="dxa"/>
          <w:hidden/>
        </w:trPr>
        <w:tc>
          <w:tcPr>
            <w:tcW w:w="0" w:type="auto"/>
            <w:shd w:val="clear" w:color="auto" w:fill="E3E9F2"/>
            <w:hideMark/>
          </w:tcPr>
          <w:p w:rsidR="00E819D2" w:rsidRDefault="005B2D10">
            <w:pPr>
              <w:pStyle w:val="z-"/>
            </w:pPr>
            <w:r>
              <w:rPr>
                <w:rFonts w:hint="eastAsia"/>
              </w:rPr>
              <w:t>表單的頂端</w:t>
            </w:r>
          </w:p>
          <w:p w:rsidR="00E819D2" w:rsidRDefault="005B2D10">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in;height:17.75pt" o:ole="">
                  <v:imagedata r:id="rId9" o:title=""/>
                </v:shape>
                <w:control r:id="rId10" w:name="DefaultOcxName" w:shapeid="_x0000_i1064"/>
              </w:object>
            </w:r>
            <w:r>
              <w:object w:dxaOrig="225" w:dyaOrig="225">
                <v:shape id="_x0000_i1067" type="#_x0000_t75" style="width:1in;height:17.75pt" o:ole="">
                  <v:imagedata r:id="rId9" o:title=""/>
                </v:shape>
                <w:control r:id="rId11" w:name="DefaultOcxName1" w:shapeid="_x0000_i1067"/>
              </w:object>
            </w:r>
            <w:r>
              <w:object w:dxaOrig="225" w:dyaOrig="225">
                <v:shape id="_x0000_i1070" type="#_x0000_t75" style="width:1in;height:17.75pt" o:ole="">
                  <v:imagedata r:id="rId9" o:title=""/>
                </v:shape>
                <w:control r:id="rId12" w:name="DefaultOcxName2" w:shapeid="_x0000_i1070"/>
              </w:object>
            </w:r>
          </w:p>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4234"/>
            </w:tblGrid>
            <w:tr w:rsidR="00E819D2">
              <w:trPr>
                <w:tblCellSpacing w:w="7" w:type="dxa"/>
              </w:trPr>
              <w:tc>
                <w:tcPr>
                  <w:tcW w:w="0" w:type="auto"/>
                  <w:shd w:val="clear" w:color="auto" w:fill="C0C0C0"/>
                  <w:vAlign w:val="center"/>
                  <w:hideMark/>
                </w:tcPr>
                <w:p w:rsidR="00E819D2" w:rsidRDefault="005B2D10">
                  <w:pPr>
                    <w:spacing w:line="384" w:lineRule="atLeast"/>
                    <w:rPr>
                      <w:rFonts w:ascii="微軟正黑體" w:eastAsia="微軟正黑體" w:hAnsi="微軟正黑體"/>
                      <w:color w:val="000000"/>
                    </w:rPr>
                  </w:pPr>
                  <w:r>
                    <w:rPr>
                      <w:rFonts w:ascii="微軟正黑體" w:eastAsia="微軟正黑體" w:hAnsi="微軟正黑體" w:hint="eastAsia"/>
                      <w:color w:val="000000"/>
                    </w:rPr>
                    <w:t>單選題</w:t>
                  </w:r>
                </w:p>
              </w:tc>
            </w:tr>
            <w:tr w:rsidR="00E819D2">
              <w:trPr>
                <w:tblCellSpacing w:w="7" w:type="dxa"/>
              </w:trPr>
              <w:tc>
                <w:tcPr>
                  <w:tcW w:w="0" w:type="auto"/>
                  <w:shd w:val="clear" w:color="auto" w:fill="DDDDDD"/>
                  <w:vAlign w:val="center"/>
                  <w:hideMark/>
                </w:tcPr>
                <w:tbl>
                  <w:tblPr>
                    <w:tblW w:w="5000" w:type="pct"/>
                    <w:tblCellSpacing w:w="7" w:type="dxa"/>
                    <w:tblBorders>
                      <w:top w:val="single" w:sz="6" w:space="0" w:color="1BCDD1"/>
                      <w:left w:val="single" w:sz="6" w:space="0" w:color="1BCDD1"/>
                      <w:bottom w:val="single" w:sz="6" w:space="0" w:color="1BCDD1"/>
                      <w:right w:val="single" w:sz="6" w:space="0" w:color="1BCDD1"/>
                    </w:tblBorders>
                    <w:shd w:val="clear" w:color="auto" w:fill="DDDDDD"/>
                    <w:tblCellMar>
                      <w:top w:w="45" w:type="dxa"/>
                      <w:left w:w="45" w:type="dxa"/>
                      <w:bottom w:w="45" w:type="dxa"/>
                      <w:right w:w="45" w:type="dxa"/>
                    </w:tblCellMar>
                    <w:tblLook w:val="04A0" w:firstRow="1" w:lastRow="0" w:firstColumn="1" w:lastColumn="0" w:noHBand="0" w:noVBand="1"/>
                  </w:tblPr>
                  <w:tblGrid>
                    <w:gridCol w:w="1505"/>
                    <w:gridCol w:w="176"/>
                    <w:gridCol w:w="3463"/>
                    <w:gridCol w:w="8926"/>
                  </w:tblGrid>
                  <w:tr w:rsidR="00E819D2">
                    <w:trPr>
                      <w:tblCellSpacing w:w="7" w:type="dxa"/>
                    </w:trPr>
                    <w:tc>
                      <w:tcPr>
                        <w:tcW w:w="0" w:type="auto"/>
                        <w:shd w:val="clear" w:color="auto" w:fill="FFFFFF"/>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FFFFF"/>
                        <w:vAlign w:val="center"/>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 xml:space="preserve">1. 一國貨幣當局(通常為中央銀行)所持有可隨時動用的外匯資產，稱為： </w:t>
                        </w:r>
                      </w:p>
                      <w:p w:rsidR="00E819D2" w:rsidRDefault="005B2D10">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3" type="#_x0000_t75" style="width:20.55pt;height:19.65pt" o:ole="">
                              <v:imagedata r:id="rId13" o:title=""/>
                            </v:shape>
                            <w:control r:id="rId14" w:name="DefaultOcxName3" w:shapeid="_x0000_i1073"/>
                          </w:object>
                        </w:r>
                        <w:r>
                          <w:rPr>
                            <w:rFonts w:ascii="微軟正黑體" w:eastAsia="微軟正黑體" w:hAnsi="微軟正黑體" w:hint="eastAsia"/>
                            <w:color w:val="000000"/>
                          </w:rPr>
                          <w:t>外匯</w:t>
                        </w:r>
                      </w:p>
                      <w:p w:rsidR="00E819D2" w:rsidRDefault="005B2D10">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76" type="#_x0000_t75" style="width:20.55pt;height:19.65pt" o:ole="">
                              <v:imagedata r:id="rId13" o:title=""/>
                            </v:shape>
                            <w:control r:id="rId15" w:name="DefaultOcxName4" w:shapeid="_x0000_i1076"/>
                          </w:object>
                        </w:r>
                        <w:r>
                          <w:rPr>
                            <w:rFonts w:ascii="微軟正黑體" w:eastAsia="微軟正黑體" w:hAnsi="微軟正黑體" w:hint="eastAsia"/>
                            <w:color w:val="000000"/>
                          </w:rPr>
                          <w:t>外匯存底</w:t>
                        </w:r>
                      </w:p>
                      <w:p w:rsidR="00E819D2" w:rsidRDefault="005B2D10">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79" type="#_x0000_t75" style="width:20.55pt;height:19.65pt" o:ole="">
                              <v:imagedata r:id="rId13" o:title=""/>
                            </v:shape>
                            <w:control r:id="rId16" w:name="DefaultOcxName5" w:shapeid="_x0000_i1079"/>
                          </w:object>
                        </w:r>
                        <w:r>
                          <w:rPr>
                            <w:rFonts w:ascii="微軟正黑體" w:eastAsia="微軟正黑體" w:hAnsi="微軟正黑體" w:hint="eastAsia"/>
                            <w:color w:val="000000"/>
                          </w:rPr>
                          <w:t>國際準備</w:t>
                        </w:r>
                      </w:p>
                      <w:p w:rsidR="00E819D2" w:rsidRDefault="005B2D10">
                        <w:pPr>
                          <w:numPr>
                            <w:ilvl w:val="0"/>
                            <w:numId w:val="1"/>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82" type="#_x0000_t75" style="width:20.55pt;height:19.65pt" o:ole="">
                              <v:imagedata r:id="rId13" o:title=""/>
                            </v:shape>
                            <w:control r:id="rId17" w:name="DefaultOcxName6" w:shapeid="_x0000_i1082"/>
                          </w:object>
                        </w:r>
                        <w:r>
                          <w:rPr>
                            <w:rFonts w:ascii="微軟正黑體" w:eastAsia="微軟正黑體" w:hAnsi="微軟正黑體" w:hint="eastAsia"/>
                            <w:color w:val="000000"/>
                          </w:rPr>
                          <w:t>國際收支餘額</w:t>
                        </w:r>
                      </w:p>
                    </w:tc>
                    <w:tc>
                      <w:tcPr>
                        <w:tcW w:w="0" w:type="auto"/>
                        <w:shd w:val="clear" w:color="auto" w:fill="FFFFFF"/>
                        <w:vAlign w:val="center"/>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「外匯存底」係指，一國之中央銀行(或貨幣當局)所持有隨時可動用的外匯資產，又稱為「外匯準備」。</w:t>
                        </w:r>
                        <w:r w:rsidR="00560EAE">
                          <w:rPr>
                            <w:rFonts w:ascii="微軟正黑體" w:eastAsia="微軟正黑體" w:hAnsi="微軟正黑體" w:hint="eastAsia"/>
                            <w:color w:val="000000"/>
                          </w:rPr>
                          <w:t>(第1</w:t>
                        </w:r>
                        <w:r w:rsidR="00560EAE">
                          <w:rPr>
                            <w:rFonts w:ascii="微軟正黑體" w:eastAsia="微軟正黑體" w:hAnsi="微軟正黑體"/>
                            <w:color w:val="000000"/>
                          </w:rPr>
                          <w:t>4</w:t>
                        </w:r>
                        <w:r w:rsidR="00560EAE">
                          <w:rPr>
                            <w:rFonts w:ascii="微軟正黑體" w:eastAsia="微軟正黑體" w:hAnsi="微軟正黑體" w:hint="eastAsia"/>
                            <w:color w:val="000000"/>
                          </w:rPr>
                          <w:t>章第一節</w:t>
                        </w:r>
                        <w:r w:rsidR="00560EAE">
                          <w:rPr>
                            <w:rFonts w:ascii="微軟正黑體" w:eastAsia="微軟正黑體" w:hAnsi="微軟正黑體"/>
                            <w:color w:val="000000"/>
                          </w:rPr>
                          <w:t>)</w:t>
                        </w:r>
                      </w:p>
                    </w:tc>
                  </w:tr>
                  <w:tr w:rsidR="00E819D2">
                    <w:trPr>
                      <w:tblCellSpacing w:w="7" w:type="dxa"/>
                    </w:trPr>
                    <w:tc>
                      <w:tcPr>
                        <w:tcW w:w="0" w:type="auto"/>
                        <w:shd w:val="clear" w:color="auto" w:fill="F9F9F9"/>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9F9F9"/>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9F9F9"/>
                        <w:vAlign w:val="center"/>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 xml:space="preserve">2. 我國的國際準備包括？ </w:t>
                        </w:r>
                      </w:p>
                      <w:p w:rsidR="00E819D2" w:rsidRDefault="005B2D10">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85" type="#_x0000_t75" style="width:20.55pt;height:19.65pt" o:ole="">
                              <v:imagedata r:id="rId13" o:title=""/>
                            </v:shape>
                            <w:control r:id="rId18" w:name="DefaultOcxName7" w:shapeid="_x0000_i1085"/>
                          </w:object>
                        </w:r>
                        <w:r>
                          <w:rPr>
                            <w:rFonts w:ascii="微軟正黑體" w:eastAsia="微軟正黑體" w:hAnsi="微軟正黑體" w:hint="eastAsia"/>
                            <w:color w:val="000000"/>
                          </w:rPr>
                          <w:t>外匯存底</w:t>
                        </w:r>
                      </w:p>
                      <w:p w:rsidR="00E819D2" w:rsidRDefault="005B2D10">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88" type="#_x0000_t75" style="width:20.55pt;height:19.65pt" o:ole="">
                              <v:imagedata r:id="rId13" o:title=""/>
                            </v:shape>
                            <w:control r:id="rId19" w:name="DefaultOcxName8" w:shapeid="_x0000_i1088"/>
                          </w:object>
                        </w:r>
                        <w:r>
                          <w:rPr>
                            <w:rFonts w:ascii="微軟正黑體" w:eastAsia="微軟正黑體" w:hAnsi="微軟正黑體" w:hint="eastAsia"/>
                            <w:color w:val="000000"/>
                          </w:rPr>
                          <w:t>外匯存底加上黃金</w:t>
                        </w:r>
                      </w:p>
                      <w:p w:rsidR="00E819D2" w:rsidRDefault="005B2D10">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91" type="#_x0000_t75" style="width:20.55pt;height:19.65pt" o:ole="">
                              <v:imagedata r:id="rId13" o:title=""/>
                            </v:shape>
                            <w:control r:id="rId20" w:name="DefaultOcxName9" w:shapeid="_x0000_i1091"/>
                          </w:object>
                        </w:r>
                        <w:r>
                          <w:rPr>
                            <w:rFonts w:ascii="微軟正黑體" w:eastAsia="微軟正黑體" w:hAnsi="微軟正黑體" w:hint="eastAsia"/>
                            <w:color w:val="000000"/>
                          </w:rPr>
                          <w:t>外匯存底加黃金，再加上特別提款權(SDR)</w:t>
                        </w:r>
                      </w:p>
                      <w:p w:rsidR="00E819D2" w:rsidRDefault="005B2D10">
                        <w:pPr>
                          <w:numPr>
                            <w:ilvl w:val="0"/>
                            <w:numId w:val="2"/>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094" type="#_x0000_t75" style="width:20.55pt;height:19.65pt" o:ole="">
                              <v:imagedata r:id="rId13" o:title=""/>
                            </v:shape>
                            <w:control r:id="rId21" w:name="DefaultOcxName10" w:shapeid="_x0000_i1094"/>
                          </w:object>
                        </w:r>
                        <w:r>
                          <w:rPr>
                            <w:rFonts w:ascii="微軟正黑體" w:eastAsia="微軟正黑體" w:hAnsi="微軟正黑體" w:hint="eastAsia"/>
                            <w:color w:val="000000"/>
                          </w:rPr>
                          <w:t>外匯存底加黃金加特別提款權(SDR)，再加上在IMF準備部位</w:t>
                        </w:r>
                      </w:p>
                    </w:tc>
                    <w:tc>
                      <w:tcPr>
                        <w:tcW w:w="0" w:type="auto"/>
                        <w:shd w:val="clear" w:color="auto" w:fill="F9F9F9"/>
                        <w:vAlign w:val="center"/>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根據國際貨幣基金的分類，國際準備包含外匯存底、黃金、特別提款權以及在基金的準備部位等四個項目。但我國已於1980年退出國際貨幣基金，目前並非國際貨幣基金的會員國，所以我國的國際準備僅包括外匯存底與黃金兩項。因此，(B)為正確。</w:t>
                        </w:r>
                        <w:r w:rsidR="00560EAE">
                          <w:rPr>
                            <w:rFonts w:ascii="微軟正黑體" w:eastAsia="微軟正黑體" w:hAnsi="微軟正黑體" w:hint="eastAsia"/>
                            <w:color w:val="000000"/>
                          </w:rPr>
                          <w:t>(第1</w:t>
                        </w:r>
                        <w:r w:rsidR="00560EAE">
                          <w:rPr>
                            <w:rFonts w:ascii="微軟正黑體" w:eastAsia="微軟正黑體" w:hAnsi="微軟正黑體"/>
                            <w:color w:val="000000"/>
                          </w:rPr>
                          <w:t>4</w:t>
                        </w:r>
                        <w:r w:rsidR="00560EAE">
                          <w:rPr>
                            <w:rFonts w:ascii="微軟正黑體" w:eastAsia="微軟正黑體" w:hAnsi="微軟正黑體" w:hint="eastAsia"/>
                            <w:color w:val="000000"/>
                          </w:rPr>
                          <w:t>章第一節</w:t>
                        </w:r>
                        <w:r w:rsidR="00560EAE">
                          <w:rPr>
                            <w:rFonts w:ascii="微軟正黑體" w:eastAsia="微軟正黑體" w:hAnsi="微軟正黑體"/>
                            <w:color w:val="000000"/>
                          </w:rPr>
                          <w:t>)</w:t>
                        </w:r>
                      </w:p>
                    </w:tc>
                  </w:tr>
                  <w:tr w:rsidR="00E819D2">
                    <w:trPr>
                      <w:tblCellSpacing w:w="7" w:type="dxa"/>
                    </w:trPr>
                    <w:tc>
                      <w:tcPr>
                        <w:tcW w:w="0" w:type="auto"/>
                        <w:shd w:val="clear" w:color="auto" w:fill="FFFFFF"/>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lastRenderedPageBreak/>
                          <w:t>配分：[0.00]</w:t>
                        </w:r>
                      </w:p>
                    </w:tc>
                    <w:tc>
                      <w:tcPr>
                        <w:tcW w:w="0" w:type="auto"/>
                        <w:shd w:val="clear" w:color="auto" w:fill="FFFFFF"/>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FFFFF"/>
                        <w:vAlign w:val="center"/>
                        <w:hideMark/>
                      </w:tcPr>
                      <w:p w:rsidR="00E819D2" w:rsidRDefault="00390470">
                        <w:pPr>
                          <w:spacing w:line="360" w:lineRule="atLeast"/>
                          <w:rPr>
                            <w:rFonts w:ascii="微軟正黑體" w:eastAsia="微軟正黑體" w:hAnsi="微軟正黑體"/>
                            <w:color w:val="000000"/>
                          </w:rPr>
                        </w:pPr>
                        <w:r>
                          <w:rPr>
                            <w:rFonts w:ascii="微軟正黑體" w:eastAsia="微軟正黑體" w:hAnsi="微軟正黑體"/>
                            <w:color w:val="000000"/>
                          </w:rPr>
                          <w:t>3</w:t>
                        </w:r>
                        <w:r w:rsidR="005B2D10">
                          <w:rPr>
                            <w:rFonts w:ascii="微軟正黑體" w:eastAsia="微軟正黑體" w:hAnsi="微軟正黑體" w:hint="eastAsia"/>
                            <w:color w:val="000000"/>
                          </w:rPr>
                          <w:t xml:space="preserve">. 國外資金大量流入本國，將使本國貨幣的幣值面臨何種壓力？ </w:t>
                        </w:r>
                      </w:p>
                      <w:p w:rsidR="00E819D2" w:rsidRDefault="005B2D10">
                        <w:pPr>
                          <w:numPr>
                            <w:ilvl w:val="0"/>
                            <w:numId w:val="5"/>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097" type="#_x0000_t75" style="width:20.55pt;height:19.65pt" o:ole="">
                              <v:imagedata r:id="rId13" o:title=""/>
                            </v:shape>
                            <w:control r:id="rId22" w:name="DefaultOcxName19" w:shapeid="_x0000_i1097"/>
                          </w:object>
                        </w:r>
                        <w:r>
                          <w:rPr>
                            <w:rFonts w:ascii="微軟正黑體" w:eastAsia="微軟正黑體" w:hAnsi="微軟正黑體" w:hint="eastAsia"/>
                            <w:color w:val="000000"/>
                          </w:rPr>
                          <w:t>升值</w:t>
                        </w:r>
                      </w:p>
                      <w:p w:rsidR="00E819D2" w:rsidRDefault="005B2D10">
                        <w:pPr>
                          <w:numPr>
                            <w:ilvl w:val="0"/>
                            <w:numId w:val="5"/>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100" type="#_x0000_t75" style="width:20.55pt;height:19.65pt" o:ole="">
                              <v:imagedata r:id="rId13" o:title=""/>
                            </v:shape>
                            <w:control r:id="rId23" w:name="DefaultOcxName20" w:shapeid="_x0000_i1100"/>
                          </w:object>
                        </w:r>
                        <w:r>
                          <w:rPr>
                            <w:rFonts w:ascii="微軟正黑體" w:eastAsia="微軟正黑體" w:hAnsi="微軟正黑體" w:hint="eastAsia"/>
                            <w:color w:val="000000"/>
                          </w:rPr>
                          <w:t>貶值</w:t>
                        </w:r>
                      </w:p>
                      <w:p w:rsidR="00E819D2" w:rsidRDefault="005B2D10">
                        <w:pPr>
                          <w:numPr>
                            <w:ilvl w:val="0"/>
                            <w:numId w:val="5"/>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103" type="#_x0000_t75" style="width:20.55pt;height:19.65pt" o:ole="">
                              <v:imagedata r:id="rId13" o:title=""/>
                            </v:shape>
                            <w:control r:id="rId24" w:name="DefaultOcxName21" w:shapeid="_x0000_i1103"/>
                          </w:object>
                        </w:r>
                        <w:r>
                          <w:rPr>
                            <w:rFonts w:ascii="微軟正黑體" w:eastAsia="微軟正黑體" w:hAnsi="微軟正黑體" w:hint="eastAsia"/>
                            <w:color w:val="000000"/>
                          </w:rPr>
                          <w:t>不變</w:t>
                        </w:r>
                      </w:p>
                      <w:p w:rsidR="00E819D2" w:rsidRDefault="005B2D10">
                        <w:pPr>
                          <w:numPr>
                            <w:ilvl w:val="0"/>
                            <w:numId w:val="5"/>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106" type="#_x0000_t75" style="width:20.55pt;height:19.65pt" o:ole="">
                              <v:imagedata r:id="rId13" o:title=""/>
                            </v:shape>
                            <w:control r:id="rId25" w:name="DefaultOcxName22" w:shapeid="_x0000_i1106"/>
                          </w:object>
                        </w:r>
                        <w:r>
                          <w:rPr>
                            <w:rFonts w:ascii="微軟正黑體" w:eastAsia="微軟正黑體" w:hAnsi="微軟正黑體" w:hint="eastAsia"/>
                            <w:color w:val="000000"/>
                          </w:rPr>
                          <w:t>不一定</w:t>
                        </w:r>
                      </w:p>
                    </w:tc>
                    <w:tc>
                      <w:tcPr>
                        <w:tcW w:w="0" w:type="auto"/>
                        <w:shd w:val="clear" w:color="auto" w:fill="FFFFFF"/>
                        <w:vAlign w:val="center"/>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國外資金大量流入本國，將使外匯供給增加，外國貨幣(美元)貶值，而本國貨幣升值。</w:t>
                        </w:r>
                        <w:r w:rsidR="00560EAE">
                          <w:rPr>
                            <w:rFonts w:ascii="微軟正黑體" w:eastAsia="微軟正黑體" w:hAnsi="微軟正黑體" w:hint="eastAsia"/>
                            <w:color w:val="000000"/>
                          </w:rPr>
                          <w:t>(第1</w:t>
                        </w:r>
                        <w:r w:rsidR="00560EAE">
                          <w:rPr>
                            <w:rFonts w:ascii="微軟正黑體" w:eastAsia="微軟正黑體" w:hAnsi="微軟正黑體"/>
                            <w:color w:val="000000"/>
                          </w:rPr>
                          <w:t>4</w:t>
                        </w:r>
                        <w:r w:rsidR="00560EAE">
                          <w:rPr>
                            <w:rFonts w:ascii="微軟正黑體" w:eastAsia="微軟正黑體" w:hAnsi="微軟正黑體" w:hint="eastAsia"/>
                            <w:color w:val="000000"/>
                          </w:rPr>
                          <w:t>章第二節</w:t>
                        </w:r>
                        <w:r w:rsidR="00560EAE">
                          <w:rPr>
                            <w:rFonts w:ascii="微軟正黑體" w:eastAsia="微軟正黑體" w:hAnsi="微軟正黑體"/>
                            <w:color w:val="000000"/>
                          </w:rPr>
                          <w:t>)</w:t>
                        </w:r>
                      </w:p>
                    </w:tc>
                  </w:tr>
                  <w:tr w:rsidR="00E819D2">
                    <w:trPr>
                      <w:tblCellSpacing w:w="7" w:type="dxa"/>
                    </w:trPr>
                    <w:tc>
                      <w:tcPr>
                        <w:tcW w:w="0" w:type="auto"/>
                        <w:shd w:val="clear" w:color="auto" w:fill="FFFFFF"/>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b/>
                            <w:bCs/>
                            <w:color w:val="000000"/>
                          </w:rPr>
                          <w:t>配分：[0.00]</w:t>
                        </w:r>
                      </w:p>
                    </w:tc>
                    <w:tc>
                      <w:tcPr>
                        <w:tcW w:w="0" w:type="auto"/>
                        <w:shd w:val="clear" w:color="auto" w:fill="FFFFFF"/>
                        <w:noWrap/>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 </w:t>
                        </w:r>
                      </w:p>
                    </w:tc>
                    <w:tc>
                      <w:tcPr>
                        <w:tcW w:w="0" w:type="auto"/>
                        <w:shd w:val="clear" w:color="auto" w:fill="FFFFFF"/>
                        <w:vAlign w:val="center"/>
                        <w:hideMark/>
                      </w:tcPr>
                      <w:p w:rsidR="00E819D2" w:rsidRDefault="00390470">
                        <w:pPr>
                          <w:spacing w:line="360" w:lineRule="atLeast"/>
                          <w:rPr>
                            <w:rFonts w:ascii="微軟正黑體" w:eastAsia="微軟正黑體" w:hAnsi="微軟正黑體"/>
                            <w:color w:val="000000"/>
                          </w:rPr>
                        </w:pPr>
                        <w:r>
                          <w:rPr>
                            <w:rFonts w:ascii="微軟正黑體" w:eastAsia="微軟正黑體" w:hAnsi="微軟正黑體"/>
                            <w:color w:val="000000"/>
                          </w:rPr>
                          <w:t>4</w:t>
                        </w:r>
                        <w:r w:rsidR="005B2D10">
                          <w:rPr>
                            <w:rFonts w:ascii="微軟正黑體" w:eastAsia="微軟正黑體" w:hAnsi="微軟正黑體" w:hint="eastAsia"/>
                            <w:color w:val="000000"/>
                          </w:rPr>
                          <w:t xml:space="preserve">. 其他情況不變下，本國貨幣升值將： </w:t>
                        </w:r>
                      </w:p>
                      <w:p w:rsidR="00E819D2" w:rsidRDefault="005B2D10">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109" type="#_x0000_t75" style="width:20.55pt;height:19.65pt" o:ole="">
                              <v:imagedata r:id="rId13" o:title=""/>
                            </v:shape>
                            <w:control r:id="rId26" w:name="DefaultOcxName27" w:shapeid="_x0000_i1109"/>
                          </w:object>
                        </w:r>
                        <w:r>
                          <w:rPr>
                            <w:rFonts w:ascii="微軟正黑體" w:eastAsia="微軟正黑體" w:hAnsi="微軟正黑體" w:hint="eastAsia"/>
                            <w:color w:val="000000"/>
                          </w:rPr>
                          <w:t>有利出口、不利進口</w:t>
                        </w:r>
                      </w:p>
                      <w:p w:rsidR="00E819D2" w:rsidRDefault="005B2D10">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112" type="#_x0000_t75" style="width:20.55pt;height:19.65pt" o:ole="">
                              <v:imagedata r:id="rId13" o:title=""/>
                            </v:shape>
                            <w:control r:id="rId27" w:name="DefaultOcxName28" w:shapeid="_x0000_i1112"/>
                          </w:object>
                        </w:r>
                        <w:r>
                          <w:rPr>
                            <w:rFonts w:ascii="微軟正黑體" w:eastAsia="微軟正黑體" w:hAnsi="微軟正黑體" w:hint="eastAsia"/>
                            <w:color w:val="000000"/>
                          </w:rPr>
                          <w:t>進口及出口均有利</w:t>
                        </w:r>
                      </w:p>
                      <w:p w:rsidR="00E819D2" w:rsidRDefault="005B2D10">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shd w:val="clear" w:color="auto" w:fill="008000"/>
                          </w:rPr>
                          <w:object w:dxaOrig="225" w:dyaOrig="225">
                            <v:shape id="_x0000_i1115" type="#_x0000_t75" style="width:20.55pt;height:19.65pt" o:ole="">
                              <v:imagedata r:id="rId13" o:title=""/>
                            </v:shape>
                            <w:control r:id="rId28" w:name="DefaultOcxName29" w:shapeid="_x0000_i1115"/>
                          </w:object>
                        </w:r>
                        <w:r>
                          <w:rPr>
                            <w:rFonts w:ascii="微軟正黑體" w:eastAsia="微軟正黑體" w:hAnsi="微軟正黑體" w:hint="eastAsia"/>
                            <w:color w:val="000000"/>
                          </w:rPr>
                          <w:t>有利進口、不利出口</w:t>
                        </w:r>
                      </w:p>
                      <w:p w:rsidR="00E819D2" w:rsidRDefault="005B2D10">
                        <w:pPr>
                          <w:numPr>
                            <w:ilvl w:val="0"/>
                            <w:numId w:val="7"/>
                          </w:numPr>
                          <w:spacing w:before="100" w:beforeAutospacing="1" w:after="100" w:afterAutospacing="1" w:line="360" w:lineRule="atLeast"/>
                          <w:rPr>
                            <w:rFonts w:ascii="微軟正黑體" w:eastAsia="微軟正黑體" w:hAnsi="微軟正黑體"/>
                            <w:color w:val="000000"/>
                          </w:rPr>
                        </w:pPr>
                        <w:r>
                          <w:rPr>
                            <w:rFonts w:ascii="微軟正黑體" w:eastAsia="微軟正黑體" w:hAnsi="微軟正黑體"/>
                            <w:color w:val="000000"/>
                          </w:rPr>
                          <w:object w:dxaOrig="225" w:dyaOrig="225">
                            <v:shape id="_x0000_i1118" type="#_x0000_t75" style="width:20.55pt;height:19.65pt" o:ole="">
                              <v:imagedata r:id="rId13" o:title=""/>
                            </v:shape>
                            <w:control r:id="rId29" w:name="DefaultOcxName30" w:shapeid="_x0000_i1118"/>
                          </w:object>
                        </w:r>
                        <w:r>
                          <w:rPr>
                            <w:rFonts w:ascii="微軟正黑體" w:eastAsia="微軟正黑體" w:hAnsi="微軟正黑體" w:hint="eastAsia"/>
                            <w:color w:val="000000"/>
                          </w:rPr>
                          <w:t>進口及出口均不利</w:t>
                        </w:r>
                      </w:p>
                    </w:tc>
                    <w:tc>
                      <w:tcPr>
                        <w:tcW w:w="0" w:type="auto"/>
                        <w:shd w:val="clear" w:color="auto" w:fill="FFFFFF"/>
                        <w:vAlign w:val="center"/>
                        <w:hideMark/>
                      </w:tcPr>
                      <w:p w:rsidR="00E819D2" w:rsidRDefault="005B2D10">
                        <w:pPr>
                          <w:spacing w:line="360" w:lineRule="atLeast"/>
                          <w:rPr>
                            <w:rFonts w:ascii="微軟正黑體" w:eastAsia="微軟正黑體" w:hAnsi="微軟正黑體"/>
                            <w:color w:val="000000"/>
                          </w:rPr>
                        </w:pPr>
                        <w:r>
                          <w:rPr>
                            <w:rFonts w:ascii="微軟正黑體" w:eastAsia="微軟正黑體" w:hAnsi="微軟正黑體" w:hint="eastAsia"/>
                            <w:color w:val="000000"/>
                          </w:rPr>
                          <w:t>詳解：</w:t>
                        </w:r>
                        <w:r>
                          <w:rPr>
                            <w:rFonts w:ascii="微軟正黑體" w:eastAsia="微軟正黑體" w:hAnsi="微軟正黑體" w:hint="eastAsia"/>
                            <w:color w:val="000000"/>
                          </w:rPr>
                          <w:br/>
                          <w:t>當本國貨幣升值(匯率下降)時，表示本國商品變貴了，外國商品變便宜，因此，升值有利於進口而不利於出口。</w:t>
                        </w:r>
                        <w:r w:rsidR="00560EAE">
                          <w:rPr>
                            <w:rFonts w:ascii="微軟正黑體" w:eastAsia="微軟正黑體" w:hAnsi="微軟正黑體" w:hint="eastAsia"/>
                            <w:color w:val="000000"/>
                          </w:rPr>
                          <w:t>(第1</w:t>
                        </w:r>
                        <w:r w:rsidR="00560EAE">
                          <w:rPr>
                            <w:rFonts w:ascii="微軟正黑體" w:eastAsia="微軟正黑體" w:hAnsi="微軟正黑體"/>
                            <w:color w:val="000000"/>
                          </w:rPr>
                          <w:t>4</w:t>
                        </w:r>
                        <w:r w:rsidR="00560EAE">
                          <w:rPr>
                            <w:rFonts w:ascii="微軟正黑體" w:eastAsia="微軟正黑體" w:hAnsi="微軟正黑體" w:hint="eastAsia"/>
                            <w:color w:val="000000"/>
                          </w:rPr>
                          <w:t>章第二節</w:t>
                        </w:r>
                        <w:r w:rsidR="00560EAE">
                          <w:rPr>
                            <w:rFonts w:ascii="微軟正黑體" w:eastAsia="微軟正黑體" w:hAnsi="微軟正黑體"/>
                            <w:color w:val="000000"/>
                          </w:rPr>
                          <w:t>)</w:t>
                        </w:r>
                      </w:p>
                    </w:tc>
                  </w:tr>
                </w:tbl>
                <w:p w:rsidR="00E819D2" w:rsidRDefault="00E819D2"/>
              </w:tc>
            </w:tr>
            <w:tr w:rsidR="00E819D2">
              <w:trPr>
                <w:tblCellSpacing w:w="7" w:type="dxa"/>
              </w:trPr>
              <w:tc>
                <w:tcPr>
                  <w:tcW w:w="0" w:type="auto"/>
                  <w:shd w:val="clear" w:color="auto" w:fill="DDDDDD"/>
                  <w:vAlign w:val="center"/>
                  <w:hideMark/>
                </w:tcPr>
                <w:p w:rsidR="00E819D2" w:rsidRDefault="00E819D2">
                  <w:pPr>
                    <w:rPr>
                      <w:rFonts w:ascii="Times New Roman" w:eastAsia="Times New Roman" w:hAnsi="Times New Roman" w:cs="Times New Roman"/>
                      <w:sz w:val="20"/>
                      <w:szCs w:val="20"/>
                    </w:rPr>
                  </w:pPr>
                </w:p>
              </w:tc>
            </w:tr>
          </w:tbl>
          <w:p w:rsidR="00E819D2" w:rsidRDefault="005B2D10">
            <w:pPr>
              <w:pStyle w:val="z-1"/>
            </w:pPr>
            <w:r>
              <w:rPr>
                <w:rFonts w:hint="eastAsia"/>
              </w:rPr>
              <w:t>表單的底部</w:t>
            </w:r>
          </w:p>
          <w:p w:rsidR="00E819D2" w:rsidRDefault="00E819D2"/>
        </w:tc>
      </w:tr>
    </w:tbl>
    <w:p w:rsidR="00A8534F" w:rsidRDefault="00A8534F"/>
    <w:p w:rsidR="00715679" w:rsidRDefault="00221CA8" w:rsidP="00221CA8">
      <w:pPr>
        <w:widowControl w:val="0"/>
        <w:spacing w:line="360" w:lineRule="auto"/>
        <w:jc w:val="both"/>
        <w:rPr>
          <w:rFonts w:asciiTheme="minorEastAsia" w:eastAsiaTheme="minorEastAsia" w:hAnsiTheme="minorEastAsia" w:cs="Times New Roman"/>
          <w:b/>
          <w:kern w:val="2"/>
          <w:sz w:val="28"/>
          <w:szCs w:val="28"/>
        </w:rPr>
      </w:pPr>
      <w:r w:rsidRPr="00221CA8">
        <w:rPr>
          <w:rFonts w:asciiTheme="minorEastAsia" w:eastAsiaTheme="minorEastAsia" w:hAnsiTheme="minorEastAsia" w:cs="Times New Roman"/>
          <w:b/>
          <w:color w:val="FF0000"/>
          <w:kern w:val="2"/>
          <w:sz w:val="28"/>
          <w:szCs w:val="28"/>
          <w:highlight w:val="yellow"/>
        </w:rPr>
        <w:t>5.</w:t>
      </w:r>
      <w:r w:rsidR="00A8534F" w:rsidRPr="00221CA8">
        <w:rPr>
          <w:rFonts w:asciiTheme="minorEastAsia" w:eastAsiaTheme="minorEastAsia" w:hAnsiTheme="minorEastAsia" w:cs="Times New Roman"/>
          <w:b/>
          <w:color w:val="FF0000"/>
          <w:kern w:val="2"/>
          <w:sz w:val="28"/>
          <w:szCs w:val="28"/>
          <w:highlight w:val="yellow"/>
        </w:rPr>
        <w:t>(D)</w:t>
      </w:r>
      <w:r w:rsidR="00A8534F" w:rsidRPr="00221CA8">
        <w:rPr>
          <w:rFonts w:asciiTheme="minorEastAsia" w:eastAsiaTheme="minorEastAsia" w:hAnsiTheme="minorEastAsia" w:cs="Times New Roman"/>
          <w:b/>
          <w:kern w:val="2"/>
          <w:sz w:val="28"/>
          <w:szCs w:val="28"/>
        </w:rPr>
        <w:t>關於外匯的意義，下列何者有誤？</w:t>
      </w:r>
    </w:p>
    <w:p w:rsidR="00715679" w:rsidRDefault="00A8534F" w:rsidP="00221CA8">
      <w:pPr>
        <w:widowControl w:val="0"/>
        <w:spacing w:line="360" w:lineRule="auto"/>
        <w:jc w:val="both"/>
        <w:rPr>
          <w:rFonts w:asciiTheme="minorEastAsia" w:eastAsiaTheme="minorEastAsia" w:hAnsiTheme="minorEastAsia" w:cs="Times New Roman"/>
          <w:b/>
          <w:kern w:val="2"/>
          <w:sz w:val="28"/>
          <w:szCs w:val="28"/>
        </w:rPr>
      </w:pPr>
      <w:r w:rsidRPr="00221CA8">
        <w:rPr>
          <w:rFonts w:asciiTheme="minorEastAsia" w:eastAsiaTheme="minorEastAsia" w:hAnsiTheme="minorEastAsia" w:cs="Times New Roman"/>
          <w:b/>
          <w:kern w:val="2"/>
          <w:sz w:val="28"/>
          <w:szCs w:val="28"/>
        </w:rPr>
        <w:t xml:space="preserve">(A)美元不僅是國際上最主要的交易媒介，也是國際貿易與投資上最主要的計價單位和價值儲藏工具，因此美元是關鍵貨幣 </w:t>
      </w:r>
    </w:p>
    <w:p w:rsidR="00715679" w:rsidRDefault="00A8534F" w:rsidP="00221CA8">
      <w:pPr>
        <w:widowControl w:val="0"/>
        <w:spacing w:line="360" w:lineRule="auto"/>
        <w:jc w:val="both"/>
        <w:rPr>
          <w:rFonts w:asciiTheme="minorEastAsia" w:eastAsiaTheme="minorEastAsia" w:hAnsiTheme="minorEastAsia" w:cs="Times New Roman"/>
          <w:b/>
          <w:kern w:val="2"/>
          <w:sz w:val="28"/>
          <w:szCs w:val="28"/>
        </w:rPr>
      </w:pPr>
      <w:r w:rsidRPr="00221CA8">
        <w:rPr>
          <w:rFonts w:asciiTheme="minorEastAsia" w:eastAsiaTheme="minorEastAsia" w:hAnsiTheme="minorEastAsia" w:cs="Times New Roman"/>
          <w:b/>
          <w:kern w:val="2"/>
          <w:sz w:val="28"/>
          <w:szCs w:val="28"/>
        </w:rPr>
        <w:t xml:space="preserve">(B)國際準備包含黃金、外匯存底、特別提款權以及在國際貨幣基金的準備部位等四個項目 </w:t>
      </w:r>
    </w:p>
    <w:p w:rsidR="00715679" w:rsidRDefault="00A8534F" w:rsidP="00221CA8">
      <w:pPr>
        <w:widowControl w:val="0"/>
        <w:spacing w:line="360" w:lineRule="auto"/>
        <w:jc w:val="both"/>
        <w:rPr>
          <w:rFonts w:asciiTheme="minorEastAsia" w:eastAsiaTheme="minorEastAsia" w:hAnsiTheme="minorEastAsia" w:cs="Times New Roman"/>
          <w:b/>
          <w:kern w:val="2"/>
          <w:sz w:val="28"/>
          <w:szCs w:val="28"/>
        </w:rPr>
      </w:pPr>
      <w:r w:rsidRPr="00221CA8">
        <w:rPr>
          <w:rFonts w:asciiTheme="minorEastAsia" w:eastAsiaTheme="minorEastAsia" w:hAnsiTheme="minorEastAsia" w:cs="Times New Roman"/>
          <w:b/>
          <w:kern w:val="2"/>
          <w:sz w:val="28"/>
          <w:szCs w:val="28"/>
        </w:rPr>
        <w:lastRenderedPageBreak/>
        <w:t xml:space="preserve">(C)外匯存底是指一國中央銀行 (或貨幣當局) 所持有可隨時動用的「外匯」資產 </w:t>
      </w:r>
    </w:p>
    <w:p w:rsidR="00715679" w:rsidRDefault="00A8534F" w:rsidP="00221CA8">
      <w:pPr>
        <w:widowControl w:val="0"/>
        <w:spacing w:line="360" w:lineRule="auto"/>
        <w:jc w:val="both"/>
        <w:rPr>
          <w:rFonts w:asciiTheme="minorEastAsia" w:eastAsiaTheme="minorEastAsia" w:hAnsiTheme="minorEastAsia" w:cs="Times New Roman"/>
          <w:b/>
          <w:color w:val="00B050"/>
          <w:kern w:val="2"/>
          <w:sz w:val="28"/>
          <w:szCs w:val="28"/>
        </w:rPr>
      </w:pPr>
      <w:r w:rsidRPr="00221CA8">
        <w:rPr>
          <w:rFonts w:asciiTheme="minorEastAsia" w:eastAsiaTheme="minorEastAsia" w:hAnsiTheme="minorEastAsia" w:cs="Times New Roman"/>
          <w:b/>
          <w:kern w:val="2"/>
          <w:sz w:val="28"/>
          <w:szCs w:val="28"/>
        </w:rPr>
        <w:t>(D)外匯包括本國貨幣，以及可隨時變現的本國票據與有價證券</w:t>
      </w:r>
      <w:r w:rsidRPr="00221CA8">
        <w:rPr>
          <w:rFonts w:asciiTheme="minorEastAsia" w:eastAsiaTheme="minorEastAsia" w:hAnsiTheme="minorEastAsia" w:cs="Times New Roman"/>
          <w:b/>
          <w:color w:val="00B050"/>
          <w:kern w:val="2"/>
          <w:sz w:val="28"/>
          <w:szCs w:val="28"/>
        </w:rPr>
        <w:t xml:space="preserve"> </w:t>
      </w:r>
    </w:p>
    <w:p w:rsidR="00A8534F" w:rsidRPr="00221CA8" w:rsidRDefault="00A8534F" w:rsidP="00221CA8">
      <w:pPr>
        <w:widowControl w:val="0"/>
        <w:spacing w:line="360" w:lineRule="auto"/>
        <w:jc w:val="both"/>
        <w:rPr>
          <w:rFonts w:asciiTheme="minorEastAsia" w:eastAsiaTheme="minorEastAsia" w:hAnsiTheme="minorEastAsia" w:cs="Times New Roman"/>
          <w:b/>
          <w:kern w:val="2"/>
          <w:sz w:val="28"/>
          <w:szCs w:val="28"/>
        </w:rPr>
      </w:pPr>
      <w:r w:rsidRPr="00221CA8">
        <w:rPr>
          <w:rFonts w:asciiTheme="minorEastAsia" w:eastAsiaTheme="minorEastAsia" w:hAnsiTheme="minorEastAsia" w:cs="Times New Roman"/>
          <w:b/>
          <w:color w:val="FF0000"/>
          <w:kern w:val="2"/>
          <w:sz w:val="28"/>
          <w:szCs w:val="28"/>
          <w:highlight w:val="yellow"/>
        </w:rPr>
        <w:t>(p.389-393</w:t>
      </w:r>
      <w:r w:rsidR="00001FDB">
        <w:rPr>
          <w:rFonts w:asciiTheme="minorEastAsia" w:eastAsiaTheme="minorEastAsia" w:hAnsiTheme="minorEastAsia" w:cs="Times New Roman" w:hint="eastAsia"/>
          <w:b/>
          <w:color w:val="FF0000"/>
          <w:kern w:val="2"/>
          <w:sz w:val="28"/>
          <w:szCs w:val="28"/>
          <w:highlight w:val="yellow"/>
        </w:rPr>
        <w:t>，第1</w:t>
      </w:r>
      <w:r w:rsidR="00001FDB">
        <w:rPr>
          <w:rFonts w:asciiTheme="minorEastAsia" w:eastAsiaTheme="minorEastAsia" w:hAnsiTheme="minorEastAsia" w:cs="Times New Roman"/>
          <w:b/>
          <w:color w:val="FF0000"/>
          <w:kern w:val="2"/>
          <w:sz w:val="28"/>
          <w:szCs w:val="28"/>
          <w:highlight w:val="yellow"/>
        </w:rPr>
        <w:t>4</w:t>
      </w:r>
      <w:r w:rsidR="00001FDB">
        <w:rPr>
          <w:rFonts w:asciiTheme="minorEastAsia" w:eastAsiaTheme="minorEastAsia" w:hAnsiTheme="minorEastAsia" w:cs="Times New Roman" w:hint="eastAsia"/>
          <w:b/>
          <w:color w:val="FF0000"/>
          <w:kern w:val="2"/>
          <w:sz w:val="28"/>
          <w:szCs w:val="28"/>
          <w:highlight w:val="yellow"/>
        </w:rPr>
        <w:t>章第一節</w:t>
      </w:r>
      <w:r w:rsidRPr="00221CA8">
        <w:rPr>
          <w:rFonts w:asciiTheme="minorEastAsia" w:eastAsiaTheme="minorEastAsia" w:hAnsiTheme="minorEastAsia" w:cs="Times New Roman"/>
          <w:b/>
          <w:color w:val="FF0000"/>
          <w:kern w:val="2"/>
          <w:sz w:val="28"/>
          <w:szCs w:val="28"/>
          <w:highlight w:val="yellow"/>
        </w:rPr>
        <w:t>)</w:t>
      </w:r>
    </w:p>
    <w:p w:rsidR="00AF0694" w:rsidRPr="00221CA8" w:rsidRDefault="00AF0694" w:rsidP="00221CA8">
      <w:pPr>
        <w:spacing w:line="360" w:lineRule="auto"/>
        <w:rPr>
          <w:rFonts w:asciiTheme="minorEastAsia" w:eastAsiaTheme="minorEastAsia" w:hAnsiTheme="minorEastAsia"/>
          <w:b/>
        </w:rPr>
      </w:pPr>
    </w:p>
    <w:p w:rsidR="00715679" w:rsidRDefault="00221CA8"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color w:val="FF0000"/>
          <w:sz w:val="28"/>
          <w:szCs w:val="28"/>
          <w:highlight w:val="yellow"/>
        </w:rPr>
        <w:t>6.</w:t>
      </w:r>
      <w:r w:rsidR="00F82175" w:rsidRPr="00221CA8">
        <w:rPr>
          <w:rFonts w:asciiTheme="minorEastAsia" w:eastAsiaTheme="minorEastAsia" w:hAnsiTheme="minorEastAsia" w:cs="Times New Roman"/>
          <w:b/>
          <w:color w:val="FF0000"/>
          <w:sz w:val="28"/>
          <w:szCs w:val="28"/>
          <w:highlight w:val="yellow"/>
        </w:rPr>
        <w:t>(</w:t>
      </w:r>
      <w:r w:rsidR="00D0601A">
        <w:rPr>
          <w:rFonts w:asciiTheme="minorEastAsia" w:eastAsiaTheme="minorEastAsia" w:hAnsiTheme="minorEastAsia" w:cs="Times New Roman"/>
          <w:b/>
          <w:color w:val="FF0000"/>
          <w:sz w:val="28"/>
          <w:szCs w:val="28"/>
          <w:highlight w:val="yellow"/>
        </w:rPr>
        <w:t>C</w:t>
      </w:r>
      <w:r w:rsidR="00F82175" w:rsidRPr="00221CA8">
        <w:rPr>
          <w:rFonts w:asciiTheme="minorEastAsia" w:eastAsiaTheme="minorEastAsia" w:hAnsiTheme="minorEastAsia" w:cs="Times New Roman"/>
          <w:b/>
          <w:color w:val="FF0000"/>
          <w:sz w:val="28"/>
          <w:szCs w:val="28"/>
          <w:highlight w:val="yellow"/>
        </w:rPr>
        <w:t>)</w:t>
      </w:r>
      <w:r w:rsidR="00F82175" w:rsidRPr="00221CA8">
        <w:rPr>
          <w:rFonts w:asciiTheme="minorEastAsia" w:eastAsiaTheme="minorEastAsia" w:hAnsiTheme="minorEastAsia" w:cs="Times New Roman"/>
          <w:b/>
          <w:sz w:val="28"/>
          <w:szCs w:val="28"/>
        </w:rPr>
        <w:t>關於匯率的概念，下列何者有誤</w:t>
      </w:r>
      <w:r w:rsidR="00F82175" w:rsidRPr="00221CA8">
        <w:rPr>
          <w:rFonts w:asciiTheme="minorEastAsia" w:eastAsiaTheme="minorEastAsia" w:hAnsiTheme="minorEastAsia" w:cs="Times New Roman" w:hint="eastAsia"/>
          <w:b/>
          <w:sz w:val="28"/>
          <w:szCs w:val="28"/>
        </w:rPr>
        <w:t>？</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(A)</w:t>
      </w:r>
      <w:r w:rsidR="00D0601A" w:rsidRPr="00221CA8">
        <w:rPr>
          <w:rFonts w:asciiTheme="minorEastAsia" w:eastAsiaTheme="minorEastAsia" w:hAnsiTheme="minorEastAsia" w:cs="Times New Roman"/>
          <w:b/>
          <w:sz w:val="28"/>
          <w:szCs w:val="28"/>
        </w:rPr>
        <w:t>匯率是兩種貨幣買賣的價格或交換的比率，亦即兩種貨幣的兌換比率，是一種相對的概念</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(B)實質匯率等於名目匯率乘上外國物價水準相對於本國物價水準的比率</w:t>
      </w:r>
      <w:r w:rsidRPr="00221CA8">
        <w:rPr>
          <w:rFonts w:asciiTheme="minorEastAsia" w:eastAsiaTheme="minorEastAsia" w:hAnsiTheme="minorEastAsia" w:cs="Times New Roman" w:hint="eastAsia"/>
          <w:b/>
          <w:sz w:val="28"/>
          <w:szCs w:val="28"/>
        </w:rPr>
        <w:t xml:space="preserve"> </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(C)</w:t>
      </w:r>
      <w:r w:rsidR="00D0601A" w:rsidRPr="00221CA8">
        <w:rPr>
          <w:rFonts w:asciiTheme="minorEastAsia" w:eastAsiaTheme="minorEastAsia" w:hAnsiTheme="minorEastAsia" w:cs="Times New Roman"/>
          <w:b/>
          <w:sz w:val="28"/>
          <w:szCs w:val="28"/>
        </w:rPr>
        <w:t>對臺灣來說，1美元兌換30元台幣為間接匯率；對英國來說，1英磅換1.8888美元為直接匯率</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(D)</w:t>
      </w:r>
      <w:r w:rsidR="00D0601A" w:rsidRPr="00221CA8">
        <w:rPr>
          <w:rFonts w:asciiTheme="minorEastAsia" w:eastAsiaTheme="minorEastAsia" w:hAnsiTheme="minorEastAsia" w:cs="Times New Roman"/>
          <w:b/>
          <w:sz w:val="28"/>
          <w:szCs w:val="28"/>
        </w:rPr>
        <w:t>若以直接匯率的方式來表示匯率，則當匯率上升時，代表本國貨幣貶值，而外國貨幣升值</w:t>
      </w:r>
    </w:p>
    <w:p w:rsidR="00AF0694" w:rsidRPr="00221CA8" w:rsidRDefault="00F82175" w:rsidP="00221CA8">
      <w:pPr>
        <w:spacing w:line="360" w:lineRule="auto"/>
        <w:rPr>
          <w:rFonts w:asciiTheme="minorEastAsia" w:eastAsiaTheme="minorEastAsia" w:hAnsiTheme="minorEastAsia" w:cs="Times New Roman"/>
          <w:b/>
          <w:color w:val="FF0000"/>
          <w:sz w:val="28"/>
          <w:szCs w:val="28"/>
          <w:highlight w:val="yellow"/>
        </w:rPr>
      </w:pPr>
      <w:r w:rsidRPr="00221CA8">
        <w:rPr>
          <w:rFonts w:asciiTheme="minorEastAsia" w:eastAsiaTheme="minorEastAsia" w:hAnsiTheme="minorEastAsia" w:cs="Times New Roman"/>
          <w:b/>
          <w:color w:val="FF0000"/>
          <w:sz w:val="28"/>
          <w:szCs w:val="28"/>
          <w:highlight w:val="yellow"/>
        </w:rPr>
        <w:t>(第14章第二節)</w:t>
      </w:r>
    </w:p>
    <w:p w:rsidR="001F05FD" w:rsidRPr="00221CA8" w:rsidRDefault="001F05FD" w:rsidP="00221CA8">
      <w:pPr>
        <w:spacing w:line="360" w:lineRule="auto"/>
        <w:rPr>
          <w:rFonts w:asciiTheme="minorEastAsia" w:eastAsiaTheme="minorEastAsia" w:hAnsiTheme="minorEastAsia"/>
          <w:b/>
        </w:rPr>
      </w:pPr>
    </w:p>
    <w:p w:rsidR="00D0601A" w:rsidRDefault="00221CA8" w:rsidP="00221CA8">
      <w:pPr>
        <w:spacing w:line="360" w:lineRule="auto"/>
        <w:jc w:val="both"/>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color w:val="FF0000"/>
          <w:sz w:val="28"/>
          <w:szCs w:val="28"/>
          <w:highlight w:val="yellow"/>
        </w:rPr>
        <w:t>7.</w:t>
      </w:r>
      <w:r w:rsidR="00F82175" w:rsidRPr="00221CA8">
        <w:rPr>
          <w:rFonts w:asciiTheme="minorEastAsia" w:eastAsiaTheme="minorEastAsia" w:hAnsiTheme="minorEastAsia" w:cs="Times New Roman"/>
          <w:b/>
          <w:color w:val="FF0000"/>
          <w:sz w:val="28"/>
          <w:szCs w:val="28"/>
          <w:highlight w:val="yellow"/>
        </w:rPr>
        <w:t>(B)</w:t>
      </w:r>
      <w:r w:rsidR="00F82175" w:rsidRPr="00221CA8">
        <w:rPr>
          <w:rFonts w:asciiTheme="minorEastAsia" w:eastAsiaTheme="minorEastAsia" w:hAnsiTheme="minorEastAsia" w:cs="Times New Roman"/>
          <w:b/>
          <w:sz w:val="28"/>
          <w:szCs w:val="28"/>
        </w:rPr>
        <w:t>若日本物價水準在</w:t>
      </w:r>
      <w:proofErr w:type="gramStart"/>
      <w:r w:rsidR="00F82175" w:rsidRPr="00221CA8">
        <w:rPr>
          <w:rFonts w:asciiTheme="minorEastAsia" w:eastAsiaTheme="minorEastAsia" w:hAnsiTheme="minorEastAsia" w:cs="Times New Roman"/>
          <w:b/>
          <w:sz w:val="28"/>
          <w:szCs w:val="28"/>
        </w:rPr>
        <w:t>一</w:t>
      </w:r>
      <w:proofErr w:type="gramEnd"/>
      <w:r w:rsidR="00F82175" w:rsidRPr="00221CA8">
        <w:rPr>
          <w:rFonts w:asciiTheme="minorEastAsia" w:eastAsiaTheme="minorEastAsia" w:hAnsiTheme="minorEastAsia" w:cs="Times New Roman"/>
          <w:b/>
          <w:sz w:val="28"/>
          <w:szCs w:val="28"/>
        </w:rPr>
        <w:t>年內上漲2%，而美國上漲5%，則根據</w:t>
      </w:r>
      <w:r w:rsidR="00001FDB">
        <w:rPr>
          <w:rFonts w:asciiTheme="minorEastAsia" w:eastAsiaTheme="minorEastAsia" w:hAnsiTheme="minorEastAsia" w:cs="Times New Roman" w:hint="eastAsia"/>
          <w:b/>
          <w:sz w:val="28"/>
          <w:szCs w:val="28"/>
        </w:rPr>
        <w:t>相對</w:t>
      </w:r>
      <w:r w:rsidR="00F82175" w:rsidRPr="00221CA8">
        <w:rPr>
          <w:rFonts w:asciiTheme="minorEastAsia" w:eastAsiaTheme="minorEastAsia" w:hAnsiTheme="minorEastAsia" w:cs="Times New Roman"/>
          <w:b/>
          <w:sz w:val="28"/>
          <w:szCs w:val="28"/>
        </w:rPr>
        <w:t xml:space="preserve"> PPP 理論，日圓兌美元匯率的變動率應為</w:t>
      </w:r>
      <w:r w:rsidR="00F82175" w:rsidRPr="00221CA8">
        <w:rPr>
          <w:rFonts w:asciiTheme="minorEastAsia" w:eastAsiaTheme="minorEastAsia" w:hAnsiTheme="minorEastAsia" w:cs="Times New Roman" w:hint="eastAsia"/>
          <w:b/>
          <w:sz w:val="28"/>
          <w:szCs w:val="28"/>
        </w:rPr>
        <w:t>？</w:t>
      </w:r>
    </w:p>
    <w:p w:rsidR="00D0601A" w:rsidRDefault="00F82175" w:rsidP="00221CA8">
      <w:pPr>
        <w:spacing w:line="360" w:lineRule="auto"/>
        <w:jc w:val="both"/>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 xml:space="preserve">(A)2% </w:t>
      </w:r>
    </w:p>
    <w:p w:rsidR="00D0601A" w:rsidRDefault="00F82175" w:rsidP="00221CA8">
      <w:pPr>
        <w:spacing w:line="360" w:lineRule="auto"/>
        <w:jc w:val="both"/>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 xml:space="preserve">(B)-3% </w:t>
      </w:r>
    </w:p>
    <w:p w:rsidR="00D0601A" w:rsidRDefault="00F82175" w:rsidP="00221CA8">
      <w:pPr>
        <w:spacing w:line="360" w:lineRule="auto"/>
        <w:jc w:val="both"/>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 xml:space="preserve">(C)4% </w:t>
      </w:r>
    </w:p>
    <w:p w:rsidR="00AF3A70" w:rsidRDefault="00F82175" w:rsidP="00221CA8">
      <w:pPr>
        <w:spacing w:line="360" w:lineRule="auto"/>
        <w:jc w:val="both"/>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 xml:space="preserve">(D)-5% </w:t>
      </w:r>
    </w:p>
    <w:p w:rsidR="00F82175" w:rsidRPr="00221CA8" w:rsidRDefault="00F82175" w:rsidP="00221CA8">
      <w:pPr>
        <w:spacing w:line="360" w:lineRule="auto"/>
        <w:jc w:val="both"/>
        <w:rPr>
          <w:rFonts w:asciiTheme="minorEastAsia" w:eastAsiaTheme="minorEastAsia" w:hAnsiTheme="minorEastAsia" w:cs="Times New Roman"/>
          <w:b/>
          <w:sz w:val="28"/>
          <w:szCs w:val="28"/>
        </w:rPr>
      </w:pPr>
      <w:bookmarkStart w:id="0" w:name="_GoBack"/>
      <w:bookmarkEnd w:id="0"/>
      <w:r w:rsidRPr="00221CA8">
        <w:rPr>
          <w:rFonts w:asciiTheme="minorEastAsia" w:eastAsiaTheme="minorEastAsia" w:hAnsiTheme="minorEastAsia" w:cs="Times New Roman"/>
          <w:b/>
          <w:color w:val="FF0000"/>
          <w:sz w:val="28"/>
          <w:szCs w:val="28"/>
          <w:highlight w:val="yellow"/>
        </w:rPr>
        <w:t>(p.402 計算實例</w:t>
      </w:r>
      <w:r w:rsidR="00001FDB">
        <w:rPr>
          <w:rFonts w:asciiTheme="minorEastAsia" w:eastAsiaTheme="minorEastAsia" w:hAnsiTheme="minorEastAsia" w:cs="Times New Roman" w:hint="eastAsia"/>
          <w:b/>
          <w:color w:val="FF0000"/>
          <w:sz w:val="28"/>
          <w:szCs w:val="28"/>
          <w:highlight w:val="yellow"/>
        </w:rPr>
        <w:t>，第1</w:t>
      </w:r>
      <w:r w:rsidR="00001FDB">
        <w:rPr>
          <w:rFonts w:asciiTheme="minorEastAsia" w:eastAsiaTheme="minorEastAsia" w:hAnsiTheme="minorEastAsia" w:cs="Times New Roman"/>
          <w:b/>
          <w:color w:val="FF0000"/>
          <w:sz w:val="28"/>
          <w:szCs w:val="28"/>
          <w:highlight w:val="yellow"/>
        </w:rPr>
        <w:t>4</w:t>
      </w:r>
      <w:r w:rsidR="00001FDB">
        <w:rPr>
          <w:rFonts w:asciiTheme="minorEastAsia" w:eastAsiaTheme="minorEastAsia" w:hAnsiTheme="minorEastAsia" w:cs="Times New Roman" w:hint="eastAsia"/>
          <w:b/>
          <w:color w:val="FF0000"/>
          <w:sz w:val="28"/>
          <w:szCs w:val="28"/>
          <w:highlight w:val="yellow"/>
        </w:rPr>
        <w:t>章第三節</w:t>
      </w:r>
      <w:r w:rsidRPr="00221CA8">
        <w:rPr>
          <w:rFonts w:asciiTheme="minorEastAsia" w:eastAsiaTheme="minorEastAsia" w:hAnsiTheme="minorEastAsia" w:cs="Times New Roman"/>
          <w:b/>
          <w:color w:val="FF0000"/>
          <w:sz w:val="28"/>
          <w:szCs w:val="28"/>
          <w:highlight w:val="yellow"/>
        </w:rPr>
        <w:t>)</w:t>
      </w:r>
    </w:p>
    <w:p w:rsidR="00F82175" w:rsidRPr="00221CA8" w:rsidRDefault="00F82175" w:rsidP="00221CA8">
      <w:pPr>
        <w:spacing w:line="360" w:lineRule="auto"/>
        <w:rPr>
          <w:rFonts w:asciiTheme="minorEastAsia" w:eastAsiaTheme="minorEastAsia" w:hAnsiTheme="minorEastAsia"/>
          <w:b/>
        </w:rPr>
      </w:pPr>
    </w:p>
    <w:p w:rsidR="00715679" w:rsidRDefault="00221CA8"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color w:val="FF0000"/>
          <w:sz w:val="28"/>
          <w:szCs w:val="28"/>
          <w:highlight w:val="yellow"/>
        </w:rPr>
        <w:lastRenderedPageBreak/>
        <w:t>8.</w:t>
      </w:r>
      <w:r w:rsidR="00F82175" w:rsidRPr="00221CA8">
        <w:rPr>
          <w:rFonts w:asciiTheme="minorEastAsia" w:eastAsiaTheme="minorEastAsia" w:hAnsiTheme="minorEastAsia" w:cs="Times New Roman"/>
          <w:b/>
          <w:color w:val="FF0000"/>
          <w:sz w:val="28"/>
          <w:szCs w:val="28"/>
          <w:highlight w:val="yellow"/>
        </w:rPr>
        <w:t>(</w:t>
      </w:r>
      <w:r w:rsidR="00D46197">
        <w:rPr>
          <w:rFonts w:asciiTheme="minorEastAsia" w:eastAsiaTheme="minorEastAsia" w:hAnsiTheme="minorEastAsia" w:cs="Times New Roman"/>
          <w:b/>
          <w:color w:val="FF0000"/>
          <w:sz w:val="28"/>
          <w:szCs w:val="28"/>
          <w:highlight w:val="yellow"/>
        </w:rPr>
        <w:t>C</w:t>
      </w:r>
      <w:r w:rsidR="00F82175" w:rsidRPr="00221CA8">
        <w:rPr>
          <w:rFonts w:asciiTheme="minorEastAsia" w:eastAsiaTheme="minorEastAsia" w:hAnsiTheme="minorEastAsia" w:cs="Times New Roman"/>
          <w:b/>
          <w:color w:val="FF0000"/>
          <w:sz w:val="28"/>
          <w:szCs w:val="28"/>
          <w:highlight w:val="yellow"/>
        </w:rPr>
        <w:t>)</w:t>
      </w:r>
      <w:r w:rsidR="00D46197">
        <w:rPr>
          <w:rFonts w:asciiTheme="minorEastAsia" w:eastAsiaTheme="minorEastAsia" w:hAnsiTheme="minorEastAsia" w:cs="Times New Roman" w:hint="eastAsia"/>
          <w:b/>
          <w:sz w:val="28"/>
          <w:szCs w:val="28"/>
        </w:rPr>
        <w:t>若本國利率為3</w:t>
      </w:r>
      <w:r w:rsidR="00D46197">
        <w:rPr>
          <w:rFonts w:asciiTheme="minorEastAsia" w:eastAsiaTheme="minorEastAsia" w:hAnsiTheme="minorEastAsia" w:cs="Times New Roman"/>
          <w:b/>
          <w:sz w:val="28"/>
          <w:szCs w:val="28"/>
        </w:rPr>
        <w:t>%</w:t>
      </w:r>
      <w:r w:rsidR="00D46197">
        <w:rPr>
          <w:rFonts w:asciiTheme="minorEastAsia" w:eastAsiaTheme="minorEastAsia" w:hAnsiTheme="minorEastAsia" w:cs="Times New Roman" w:hint="eastAsia"/>
          <w:b/>
          <w:sz w:val="28"/>
          <w:szCs w:val="28"/>
        </w:rPr>
        <w:t>，美國利率為5</w:t>
      </w:r>
      <w:r w:rsidR="00D46197">
        <w:rPr>
          <w:rFonts w:asciiTheme="minorEastAsia" w:eastAsiaTheme="minorEastAsia" w:hAnsiTheme="minorEastAsia" w:cs="Times New Roman"/>
          <w:b/>
          <w:sz w:val="28"/>
          <w:szCs w:val="28"/>
        </w:rPr>
        <w:t>%</w:t>
      </w:r>
      <w:r w:rsidR="00D46197">
        <w:rPr>
          <w:rFonts w:asciiTheme="minorEastAsia" w:eastAsiaTheme="minorEastAsia" w:hAnsiTheme="minorEastAsia" w:cs="Times New Roman" w:hint="eastAsia"/>
          <w:b/>
          <w:sz w:val="28"/>
          <w:szCs w:val="28"/>
        </w:rPr>
        <w:t xml:space="preserve">，即期匯率為 </w:t>
      </w:r>
      <w:r w:rsidR="00D46197">
        <w:rPr>
          <w:rFonts w:asciiTheme="minorEastAsia" w:eastAsiaTheme="minorEastAsia" w:hAnsiTheme="minorEastAsia" w:cs="Times New Roman"/>
          <w:b/>
          <w:sz w:val="28"/>
          <w:szCs w:val="28"/>
        </w:rPr>
        <w:t xml:space="preserve">(NT/US) </w:t>
      </w:r>
      <w:r w:rsidR="00D46197">
        <w:rPr>
          <w:rFonts w:asciiTheme="minorEastAsia" w:eastAsiaTheme="minorEastAsia" w:hAnsiTheme="minorEastAsia" w:cs="Times New Roman" w:hint="eastAsia"/>
          <w:b/>
          <w:sz w:val="28"/>
          <w:szCs w:val="28"/>
        </w:rPr>
        <w:t>為3</w:t>
      </w:r>
      <w:r w:rsidR="00D46197">
        <w:rPr>
          <w:rFonts w:asciiTheme="minorEastAsia" w:eastAsiaTheme="minorEastAsia" w:hAnsiTheme="minorEastAsia" w:cs="Times New Roman"/>
          <w:b/>
          <w:sz w:val="28"/>
          <w:szCs w:val="28"/>
        </w:rPr>
        <w:t>3.500</w:t>
      </w:r>
      <w:r w:rsidR="00D46197">
        <w:rPr>
          <w:rFonts w:asciiTheme="minorEastAsia" w:eastAsiaTheme="minorEastAsia" w:hAnsiTheme="minorEastAsia" w:cs="Times New Roman" w:hint="eastAsia"/>
          <w:b/>
          <w:sz w:val="28"/>
          <w:szCs w:val="28"/>
        </w:rPr>
        <w:t>，則根據無風險利率平價理論，3個月期美元遠期匯率應該為多少？升水或貼水</w:t>
      </w:r>
      <w:r w:rsidR="00F82175" w:rsidRPr="00221CA8">
        <w:rPr>
          <w:rFonts w:asciiTheme="minorEastAsia" w:eastAsiaTheme="minorEastAsia" w:hAnsiTheme="minorEastAsia" w:cs="Times New Roman"/>
          <w:b/>
          <w:sz w:val="28"/>
          <w:szCs w:val="28"/>
        </w:rPr>
        <w:t>？</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(A)</w:t>
      </w:r>
      <w:r w:rsidR="00D46197">
        <w:rPr>
          <w:rFonts w:asciiTheme="minorEastAsia" w:eastAsiaTheme="minorEastAsia" w:hAnsiTheme="minorEastAsia" w:cs="Times New Roman" w:hint="eastAsia"/>
          <w:b/>
          <w:sz w:val="28"/>
          <w:szCs w:val="28"/>
        </w:rPr>
        <w:t>3</w:t>
      </w:r>
      <w:r w:rsidR="00D46197">
        <w:rPr>
          <w:rFonts w:asciiTheme="minorEastAsia" w:eastAsiaTheme="minorEastAsia" w:hAnsiTheme="minorEastAsia" w:cs="Times New Roman"/>
          <w:b/>
          <w:sz w:val="28"/>
          <w:szCs w:val="28"/>
        </w:rPr>
        <w:t>1.3325</w:t>
      </w:r>
      <w:r w:rsidR="00D46197">
        <w:rPr>
          <w:rFonts w:asciiTheme="minorEastAsia" w:eastAsiaTheme="minorEastAsia" w:hAnsiTheme="minorEastAsia" w:cs="Times New Roman" w:hint="eastAsia"/>
          <w:b/>
          <w:sz w:val="28"/>
          <w:szCs w:val="28"/>
        </w:rPr>
        <w:t>，升水</w:t>
      </w:r>
      <w:r w:rsidRPr="00221CA8">
        <w:rPr>
          <w:rFonts w:asciiTheme="minorEastAsia" w:eastAsiaTheme="minorEastAsia" w:hAnsiTheme="minorEastAsia" w:cs="Times New Roman"/>
          <w:b/>
          <w:sz w:val="28"/>
          <w:szCs w:val="28"/>
        </w:rPr>
        <w:t xml:space="preserve"> </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(B)</w:t>
      </w:r>
      <w:r w:rsidR="00D46197">
        <w:rPr>
          <w:rFonts w:asciiTheme="minorEastAsia" w:eastAsiaTheme="minorEastAsia" w:hAnsiTheme="minorEastAsia" w:cs="Times New Roman" w:hint="eastAsia"/>
          <w:b/>
          <w:sz w:val="28"/>
          <w:szCs w:val="28"/>
        </w:rPr>
        <w:t>3</w:t>
      </w:r>
      <w:r w:rsidR="00D46197">
        <w:rPr>
          <w:rFonts w:asciiTheme="minorEastAsia" w:eastAsiaTheme="minorEastAsia" w:hAnsiTheme="minorEastAsia" w:cs="Times New Roman"/>
          <w:b/>
          <w:sz w:val="28"/>
          <w:szCs w:val="28"/>
        </w:rPr>
        <w:t>2.3325</w:t>
      </w:r>
      <w:r w:rsidR="00D46197">
        <w:rPr>
          <w:rFonts w:asciiTheme="minorEastAsia" w:eastAsiaTheme="minorEastAsia" w:hAnsiTheme="minorEastAsia" w:cs="Times New Roman" w:hint="eastAsia"/>
          <w:b/>
          <w:sz w:val="28"/>
          <w:szCs w:val="28"/>
        </w:rPr>
        <w:t>，貼水</w:t>
      </w:r>
      <w:r w:rsidRPr="00221CA8">
        <w:rPr>
          <w:rFonts w:asciiTheme="minorEastAsia" w:eastAsiaTheme="minorEastAsia" w:hAnsiTheme="minorEastAsia" w:cs="Times New Roman" w:hint="eastAsia"/>
          <w:b/>
          <w:sz w:val="28"/>
          <w:szCs w:val="28"/>
        </w:rPr>
        <w:t xml:space="preserve"> </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(C)</w:t>
      </w:r>
      <w:r w:rsidR="00D46197">
        <w:rPr>
          <w:rFonts w:asciiTheme="minorEastAsia" w:eastAsiaTheme="minorEastAsia" w:hAnsiTheme="minorEastAsia" w:cs="Times New Roman" w:hint="eastAsia"/>
          <w:b/>
          <w:sz w:val="28"/>
          <w:szCs w:val="28"/>
        </w:rPr>
        <w:t>3</w:t>
      </w:r>
      <w:r w:rsidR="00D46197">
        <w:rPr>
          <w:rFonts w:asciiTheme="minorEastAsia" w:eastAsiaTheme="minorEastAsia" w:hAnsiTheme="minorEastAsia" w:cs="Times New Roman"/>
          <w:b/>
          <w:sz w:val="28"/>
          <w:szCs w:val="28"/>
        </w:rPr>
        <w:t>3.3325</w:t>
      </w:r>
      <w:r w:rsidR="00D46197">
        <w:rPr>
          <w:rFonts w:asciiTheme="minorEastAsia" w:eastAsiaTheme="minorEastAsia" w:hAnsiTheme="minorEastAsia" w:cs="Times New Roman" w:hint="eastAsia"/>
          <w:b/>
          <w:sz w:val="28"/>
          <w:szCs w:val="28"/>
        </w:rPr>
        <w:t>，貼水</w:t>
      </w:r>
      <w:r w:rsidRPr="00221CA8">
        <w:rPr>
          <w:rFonts w:asciiTheme="minorEastAsia" w:eastAsiaTheme="minorEastAsia" w:hAnsiTheme="minorEastAsia" w:cs="Times New Roman" w:hint="eastAsia"/>
          <w:b/>
          <w:sz w:val="28"/>
          <w:szCs w:val="28"/>
        </w:rPr>
        <w:t xml:space="preserve"> </w:t>
      </w:r>
    </w:p>
    <w:p w:rsidR="00715679" w:rsidRDefault="00F82175" w:rsidP="00221CA8">
      <w:pPr>
        <w:spacing w:line="360" w:lineRule="auto"/>
        <w:rPr>
          <w:rFonts w:asciiTheme="minorEastAsia" w:eastAsiaTheme="minorEastAsia" w:hAnsiTheme="minorEastAsia" w:cs="Times New Roman"/>
          <w:b/>
          <w:sz w:val="28"/>
          <w:szCs w:val="28"/>
        </w:rPr>
      </w:pPr>
      <w:r w:rsidRPr="00221CA8">
        <w:rPr>
          <w:rFonts w:asciiTheme="minorEastAsia" w:eastAsiaTheme="minorEastAsia" w:hAnsiTheme="minorEastAsia" w:cs="Times New Roman"/>
          <w:b/>
          <w:sz w:val="28"/>
          <w:szCs w:val="28"/>
        </w:rPr>
        <w:t>(D)</w:t>
      </w:r>
      <w:r w:rsidR="00D46197">
        <w:rPr>
          <w:rFonts w:asciiTheme="minorEastAsia" w:eastAsiaTheme="minorEastAsia" w:hAnsiTheme="minorEastAsia" w:cs="Times New Roman" w:hint="eastAsia"/>
          <w:b/>
          <w:sz w:val="28"/>
          <w:szCs w:val="28"/>
        </w:rPr>
        <w:t>3</w:t>
      </w:r>
      <w:r w:rsidR="00D46197">
        <w:rPr>
          <w:rFonts w:asciiTheme="minorEastAsia" w:eastAsiaTheme="minorEastAsia" w:hAnsiTheme="minorEastAsia" w:cs="Times New Roman"/>
          <w:b/>
          <w:sz w:val="28"/>
          <w:szCs w:val="28"/>
        </w:rPr>
        <w:t>4.3325</w:t>
      </w:r>
      <w:r w:rsidR="00D46197">
        <w:rPr>
          <w:rFonts w:asciiTheme="minorEastAsia" w:eastAsiaTheme="minorEastAsia" w:hAnsiTheme="minorEastAsia" w:cs="Times New Roman" w:hint="eastAsia"/>
          <w:b/>
          <w:sz w:val="28"/>
          <w:szCs w:val="28"/>
        </w:rPr>
        <w:t>，升水</w:t>
      </w:r>
      <w:r w:rsidRPr="00221CA8">
        <w:rPr>
          <w:rFonts w:asciiTheme="minorEastAsia" w:eastAsiaTheme="minorEastAsia" w:hAnsiTheme="minorEastAsia" w:cs="Times New Roman"/>
          <w:b/>
          <w:sz w:val="28"/>
          <w:szCs w:val="28"/>
        </w:rPr>
        <w:t xml:space="preserve"> </w:t>
      </w:r>
    </w:p>
    <w:p w:rsidR="00AF0694" w:rsidRPr="00715679" w:rsidRDefault="00F82175" w:rsidP="00715679">
      <w:pPr>
        <w:spacing w:line="360" w:lineRule="auto"/>
        <w:rPr>
          <w:rFonts w:asciiTheme="minorEastAsia" w:eastAsiaTheme="minorEastAsia" w:hAnsiTheme="minorEastAsia" w:cs="Times New Roman"/>
          <w:b/>
          <w:color w:val="FF0000"/>
          <w:sz w:val="28"/>
          <w:szCs w:val="28"/>
          <w:highlight w:val="yellow"/>
        </w:rPr>
      </w:pPr>
      <w:r w:rsidRPr="00221CA8">
        <w:rPr>
          <w:rFonts w:asciiTheme="minorEastAsia" w:eastAsiaTheme="minorEastAsia" w:hAnsiTheme="minorEastAsia" w:cs="Times New Roman"/>
          <w:b/>
          <w:color w:val="FF0000"/>
          <w:sz w:val="28"/>
          <w:szCs w:val="28"/>
          <w:highlight w:val="yellow"/>
        </w:rPr>
        <w:t>(第14章第</w:t>
      </w:r>
      <w:r w:rsidR="00BC2924">
        <w:rPr>
          <w:rFonts w:asciiTheme="minorEastAsia" w:eastAsiaTheme="minorEastAsia" w:hAnsiTheme="minorEastAsia" w:cs="Times New Roman" w:hint="eastAsia"/>
          <w:b/>
          <w:color w:val="FF0000"/>
          <w:sz w:val="28"/>
          <w:szCs w:val="28"/>
          <w:highlight w:val="yellow"/>
        </w:rPr>
        <w:t>四</w:t>
      </w:r>
      <w:r w:rsidRPr="00221CA8">
        <w:rPr>
          <w:rFonts w:asciiTheme="minorEastAsia" w:eastAsiaTheme="minorEastAsia" w:hAnsiTheme="minorEastAsia" w:cs="Times New Roman"/>
          <w:b/>
          <w:color w:val="FF0000"/>
          <w:sz w:val="28"/>
          <w:szCs w:val="28"/>
          <w:highlight w:val="yellow"/>
        </w:rPr>
        <w:t>節)</w:t>
      </w:r>
    </w:p>
    <w:sectPr w:rsidR="00AF0694" w:rsidRPr="00715679" w:rsidSect="005B2D10">
      <w:pgSz w:w="16838" w:h="11906" w:orient="landscape"/>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D10" w:rsidRDefault="005B2D10" w:rsidP="005B2D10">
      <w:r>
        <w:separator/>
      </w:r>
    </w:p>
  </w:endnote>
  <w:endnote w:type="continuationSeparator" w:id="0">
    <w:p w:rsidR="005B2D10" w:rsidRDefault="005B2D10" w:rsidP="005B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D10" w:rsidRDefault="005B2D10" w:rsidP="005B2D10">
      <w:r>
        <w:separator/>
      </w:r>
    </w:p>
  </w:footnote>
  <w:footnote w:type="continuationSeparator" w:id="0">
    <w:p w:rsidR="005B2D10" w:rsidRDefault="005B2D10" w:rsidP="005B2D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1F84"/>
    <w:multiLevelType w:val="hybridMultilevel"/>
    <w:tmpl w:val="F064ED98"/>
    <w:lvl w:ilvl="0" w:tplc="972AA412">
      <w:start w:val="1"/>
      <w:numFmt w:val="decimal"/>
      <w:lvlText w:val="%1."/>
      <w:lvlJc w:val="left"/>
      <w:pPr>
        <w:ind w:left="480" w:hanging="480"/>
      </w:pPr>
      <w:rPr>
        <w:b w:val="0"/>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0714705"/>
    <w:multiLevelType w:val="multilevel"/>
    <w:tmpl w:val="AE0CA0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D2526"/>
    <w:multiLevelType w:val="multilevel"/>
    <w:tmpl w:val="BD0E31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B54729C"/>
    <w:multiLevelType w:val="multilevel"/>
    <w:tmpl w:val="1340E0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579279E"/>
    <w:multiLevelType w:val="multilevel"/>
    <w:tmpl w:val="2E76B3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C6949AC"/>
    <w:multiLevelType w:val="multilevel"/>
    <w:tmpl w:val="3556A4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110567D"/>
    <w:multiLevelType w:val="hybridMultilevel"/>
    <w:tmpl w:val="82B6F91E"/>
    <w:lvl w:ilvl="0" w:tplc="95E0211C">
      <w:start w:val="1"/>
      <w:numFmt w:val="decimal"/>
      <w:lvlText w:val="%1."/>
      <w:lvlJc w:val="left"/>
      <w:pPr>
        <w:ind w:left="480" w:hanging="480"/>
      </w:pPr>
      <w:rPr>
        <w:b w:val="0"/>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CF312B"/>
    <w:multiLevelType w:val="multilevel"/>
    <w:tmpl w:val="E1FE70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B62D19"/>
    <w:multiLevelType w:val="multilevel"/>
    <w:tmpl w:val="CAD633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97773D6"/>
    <w:multiLevelType w:val="multilevel"/>
    <w:tmpl w:val="3A948F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E6342C3"/>
    <w:multiLevelType w:val="multilevel"/>
    <w:tmpl w:val="F5B836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07A01F3"/>
    <w:multiLevelType w:val="multilevel"/>
    <w:tmpl w:val="DA9663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8"/>
  </w:num>
  <w:num w:numId="2">
    <w:abstractNumId w:val="1"/>
  </w:num>
  <w:num w:numId="3">
    <w:abstractNumId w:val="11"/>
  </w:num>
  <w:num w:numId="4">
    <w:abstractNumId w:val="4"/>
  </w:num>
  <w:num w:numId="5">
    <w:abstractNumId w:val="7"/>
  </w:num>
  <w:num w:numId="6">
    <w:abstractNumId w:val="3"/>
  </w:num>
  <w:num w:numId="7">
    <w:abstractNumId w:val="9"/>
  </w:num>
  <w:num w:numId="8">
    <w:abstractNumId w:val="2"/>
  </w:num>
  <w:num w:numId="9">
    <w:abstractNumId w:val="5"/>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noPunctuationKerning/>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D10"/>
    <w:rsid w:val="00001FDB"/>
    <w:rsid w:val="001F05FD"/>
    <w:rsid w:val="00221CA8"/>
    <w:rsid w:val="002A3131"/>
    <w:rsid w:val="00390470"/>
    <w:rsid w:val="00560EAE"/>
    <w:rsid w:val="005B2D10"/>
    <w:rsid w:val="00715679"/>
    <w:rsid w:val="00841E2B"/>
    <w:rsid w:val="00A8534F"/>
    <w:rsid w:val="00AF0694"/>
    <w:rsid w:val="00AF3A70"/>
    <w:rsid w:val="00BC2924"/>
    <w:rsid w:val="00D0601A"/>
    <w:rsid w:val="00D4383F"/>
    <w:rsid w:val="00D46197"/>
    <w:rsid w:val="00E819D2"/>
    <w:rsid w:val="00F821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1BD14699"/>
  <w15:chartTrackingRefBased/>
  <w15:docId w15:val="{CB7F339F-9942-44F7-BAE7-DF1A734A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csstabs">
    <w:name w:val="csstabs"/>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tbbodybg">
    <w:name w:val="csstbbodybg"/>
    <w:basedOn w:val="a"/>
    <w:pPr>
      <w:shd w:val="clear" w:color="auto" w:fill="07AEB0"/>
      <w:spacing w:before="100" w:beforeAutospacing="1" w:after="100" w:afterAutospacing="1"/>
    </w:pPr>
    <w:rPr>
      <w:color w:val="ECECEC"/>
    </w:rPr>
  </w:style>
  <w:style w:type="paragraph" w:customStyle="1" w:styleId="csstbbugie5">
    <w:name w:val="csstbbugie5"/>
    <w:basedOn w:val="a"/>
    <w:pPr>
      <w:shd w:val="clear" w:color="auto" w:fill="07AEB0"/>
      <w:spacing w:before="100" w:beforeAutospacing="1" w:after="100" w:afterAutospacing="1"/>
    </w:pPr>
  </w:style>
  <w:style w:type="paragraph" w:customStyle="1" w:styleId="csstbbtn">
    <w:name w:val="csstbbtn"/>
    <w:basedOn w:val="a"/>
    <w:pPr>
      <w:spacing w:before="100" w:beforeAutospacing="1" w:after="100" w:afterAutospacing="1"/>
    </w:pPr>
  </w:style>
  <w:style w:type="paragraph" w:customStyle="1" w:styleId="csstoolbar">
    <w:name w:val="csstoolbar"/>
    <w:basedOn w:val="a"/>
    <w:pPr>
      <w:shd w:val="clear" w:color="auto" w:fill="07AEB0"/>
      <w:spacing w:before="100" w:beforeAutospacing="1" w:after="100" w:afterAutospacing="1"/>
    </w:pPr>
  </w:style>
  <w:style w:type="paragraph" w:customStyle="1" w:styleId="csstbhead">
    <w:name w:val="csstbhead"/>
    <w:basedOn w:val="a"/>
    <w:pPr>
      <w:shd w:val="clear" w:color="auto" w:fill="FFFFFF"/>
      <w:spacing w:before="100" w:beforeAutospacing="1" w:after="100" w:afterAutospacing="1" w:line="450" w:lineRule="atLeast"/>
    </w:pPr>
    <w:rPr>
      <w:rFonts w:ascii="微軟正黑體" w:eastAsia="微軟正黑體" w:hAnsi="微軟正黑體"/>
      <w:b/>
      <w:bCs/>
      <w:color w:val="000000"/>
      <w:spacing w:val="15"/>
    </w:rPr>
  </w:style>
  <w:style w:type="paragraph" w:customStyle="1" w:styleId="csstbtable">
    <w:name w:val="csstbtable"/>
    <w:basedOn w:val="a"/>
    <w:pPr>
      <w:pBdr>
        <w:top w:val="single" w:sz="2" w:space="0" w:color="FFFFFF"/>
        <w:left w:val="single" w:sz="2" w:space="0" w:color="FFFFFF"/>
        <w:bottom w:val="single" w:sz="2" w:space="0" w:color="FFFFFF"/>
        <w:right w:val="single" w:sz="2" w:space="0" w:color="FFFFFF"/>
      </w:pBdr>
      <w:shd w:val="clear" w:color="auto" w:fill="ECECEC"/>
      <w:spacing w:before="100" w:beforeAutospacing="1" w:after="100" w:afterAutospacing="1"/>
    </w:pPr>
  </w:style>
  <w:style w:type="paragraph" w:customStyle="1" w:styleId="csstbtr">
    <w:name w:val="csstbtr"/>
    <w:basedOn w:val="a"/>
    <w:pPr>
      <w:pBdr>
        <w:left w:val="single" w:sz="2" w:space="6" w:color="CCCCE6"/>
        <w:right w:val="single" w:sz="2" w:space="2" w:color="CCCCE6"/>
      </w:pBdr>
      <w:shd w:val="clear" w:color="auto" w:fill="FFFFFF"/>
      <w:spacing w:before="100" w:beforeAutospacing="1" w:after="100" w:afterAutospacing="1"/>
    </w:pPr>
    <w:rPr>
      <w:color w:val="000000"/>
    </w:rPr>
  </w:style>
  <w:style w:type="paragraph" w:customStyle="1" w:styleId="csstbtd">
    <w:name w:val="csstbtd"/>
    <w:basedOn w:val="a"/>
    <w:pPr>
      <w:pBdr>
        <w:left w:val="single" w:sz="2" w:space="8" w:color="07AEB0"/>
        <w:right w:val="single" w:sz="2" w:space="8" w:color="07AEB0"/>
      </w:pBdr>
      <w:shd w:val="clear" w:color="auto" w:fill="07AEB0"/>
      <w:spacing w:before="100" w:beforeAutospacing="1" w:after="100" w:afterAutospacing="1" w:line="360" w:lineRule="atLeast"/>
    </w:pPr>
    <w:rPr>
      <w:rFonts w:ascii="微軟正黑體" w:eastAsia="微軟正黑體" w:hAnsi="微軟正黑體"/>
      <w:b/>
      <w:bCs/>
      <w:color w:val="000000"/>
      <w:spacing w:val="15"/>
    </w:rPr>
  </w:style>
  <w:style w:type="paragraph" w:customStyle="1" w:styleId="csstbfocus">
    <w:name w:val="csstbfocus"/>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360" w:lineRule="atLeast"/>
    </w:pPr>
    <w:rPr>
      <w:rFonts w:ascii="微軟正黑體" w:eastAsia="微軟正黑體" w:hAnsi="微軟正黑體"/>
      <w:b/>
      <w:bCs/>
      <w:color w:val="07AEB0"/>
      <w:spacing w:val="15"/>
    </w:rPr>
  </w:style>
  <w:style w:type="paragraph" w:customStyle="1" w:styleId="csstbfocusfromto">
    <w:name w:val="csstbfocusfromto"/>
    <w:basedOn w:val="a"/>
    <w:pPr>
      <w:pBdr>
        <w:top w:val="single" w:sz="6" w:space="0" w:color="FFFFFF"/>
        <w:left w:val="single" w:sz="6" w:space="2" w:color="FFFFFF"/>
        <w:bottom w:val="single" w:sz="6" w:space="1" w:color="FFFFFF"/>
        <w:right w:val="single" w:sz="6" w:space="2" w:color="FFFFFF"/>
      </w:pBdr>
      <w:shd w:val="clear" w:color="auto" w:fill="FFFFFF"/>
      <w:spacing w:before="100" w:beforeAutospacing="1" w:after="100" w:afterAutospacing="1" w:line="480" w:lineRule="atLeast"/>
    </w:pPr>
    <w:rPr>
      <w:rFonts w:ascii="微軟正黑體" w:eastAsia="微軟正黑體" w:hAnsi="微軟正黑體"/>
      <w:b/>
      <w:bCs/>
      <w:color w:val="07AEB0"/>
      <w:spacing w:val="15"/>
    </w:rPr>
  </w:style>
  <w:style w:type="paragraph" w:customStyle="1" w:styleId="csstbblur">
    <w:name w:val="csstbblur"/>
    <w:basedOn w:val="a"/>
    <w:pPr>
      <w:pBdr>
        <w:top w:val="single" w:sz="6" w:space="0" w:color="07AEB0"/>
        <w:left w:val="single" w:sz="6" w:space="2" w:color="07AEB0"/>
        <w:bottom w:val="single" w:sz="6" w:space="1" w:color="07AEB0"/>
        <w:right w:val="single" w:sz="6" w:space="2" w:color="07AEB0"/>
      </w:pBdr>
      <w:shd w:val="clear" w:color="auto" w:fill="07AEB0"/>
      <w:spacing w:line="360" w:lineRule="atLeast"/>
      <w:ind w:left="30" w:right="30"/>
    </w:pPr>
    <w:rPr>
      <w:rFonts w:ascii="微軟正黑體" w:eastAsia="微軟正黑體" w:hAnsi="微軟正黑體"/>
      <w:color w:val="FFFFFF"/>
      <w:spacing w:val="15"/>
    </w:rPr>
  </w:style>
  <w:style w:type="paragraph" w:customStyle="1" w:styleId="csstable">
    <w:name w:val="csstable"/>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csstrhelp">
    <w:name w:val="csstrhelp"/>
    <w:basedOn w:val="a"/>
    <w:pPr>
      <w:shd w:val="clear" w:color="auto" w:fill="C0C0C0"/>
      <w:spacing w:before="100" w:beforeAutospacing="1" w:after="100" w:afterAutospacing="1" w:line="384" w:lineRule="atLeast"/>
    </w:pPr>
    <w:rPr>
      <w:rFonts w:ascii="微軟正黑體" w:eastAsia="微軟正黑體" w:hAnsi="微軟正黑體"/>
      <w:b/>
      <w:bCs/>
      <w:color w:val="FFFFFF"/>
    </w:rPr>
  </w:style>
  <w:style w:type="paragraph" w:customStyle="1" w:styleId="csstrhead">
    <w:name w:val="csstrhead"/>
    <w:basedOn w:val="a"/>
    <w:pPr>
      <w:shd w:val="clear" w:color="auto" w:fill="0DB9BB"/>
      <w:spacing w:before="100" w:beforeAutospacing="1" w:after="100" w:afterAutospacing="1" w:line="384" w:lineRule="atLeast"/>
    </w:pPr>
    <w:rPr>
      <w:rFonts w:ascii="微軟正黑體" w:eastAsia="微軟正黑體" w:hAnsi="微軟正黑體"/>
      <w:color w:val="FFFFFF"/>
    </w:rPr>
  </w:style>
  <w:style w:type="paragraph" w:customStyle="1" w:styleId="csstrevn">
    <w:name w:val="csstrevn"/>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odd">
    <w:name w:val="csstrodd"/>
    <w:basedOn w:val="a"/>
    <w:pPr>
      <w:shd w:val="clear" w:color="auto" w:fill="ECECEC"/>
      <w:spacing w:before="100" w:beforeAutospacing="1" w:after="100" w:afterAutospacing="1" w:line="432" w:lineRule="atLeast"/>
    </w:pPr>
    <w:rPr>
      <w:rFonts w:ascii="微軟正黑體" w:eastAsia="微軟正黑體" w:hAnsi="微軟正黑體"/>
      <w:color w:val="000000"/>
    </w:rPr>
  </w:style>
  <w:style w:type="paragraph" w:customStyle="1" w:styleId="learn-path-stress">
    <w:name w:val="learn-path-stress"/>
    <w:basedOn w:val="a"/>
    <w:pPr>
      <w:shd w:val="clear" w:color="auto" w:fill="FFFF99"/>
      <w:spacing w:before="100" w:beforeAutospacing="1" w:after="100" w:afterAutospacing="1" w:line="552" w:lineRule="atLeast"/>
    </w:pPr>
    <w:rPr>
      <w:b/>
      <w:bCs/>
      <w:sz w:val="31"/>
      <w:szCs w:val="31"/>
    </w:rPr>
  </w:style>
  <w:style w:type="paragraph" w:customStyle="1" w:styleId="cssinput">
    <w:name w:val="cssinput"/>
    <w:basedOn w:val="a"/>
    <w:pPr>
      <w:pBdr>
        <w:top w:val="single" w:sz="6" w:space="0" w:color="DCDCDC"/>
        <w:left w:val="single" w:sz="6" w:space="2" w:color="DCDCDC"/>
        <w:bottom w:val="single" w:sz="6" w:space="0" w:color="DCDCDC"/>
        <w:right w:val="single" w:sz="6" w:space="0" w:color="DCDCDC"/>
      </w:pBdr>
      <w:shd w:val="clear" w:color="auto" w:fill="FFFFFF"/>
      <w:spacing w:before="100" w:beforeAutospacing="1" w:after="100" w:afterAutospacing="1"/>
    </w:pPr>
    <w:rPr>
      <w:rFonts w:ascii="微軟正黑體" w:eastAsia="微軟正黑體" w:hAnsi="微軟正黑體"/>
      <w:color w:val="242424"/>
    </w:rPr>
  </w:style>
  <w:style w:type="paragraph" w:customStyle="1" w:styleId="cssbtn">
    <w:name w:val="cssbtn"/>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cssbtndisabled">
    <w:name w:val="cssbtn[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cssanchor">
    <w:name w:val="cssanchor"/>
    <w:basedOn w:val="a"/>
    <w:pPr>
      <w:spacing w:before="100" w:beforeAutospacing="1" w:after="100" w:afterAutospacing="1" w:line="384" w:lineRule="atLeast"/>
    </w:pPr>
    <w:rPr>
      <w:rFonts w:ascii="微軟正黑體" w:eastAsia="微軟正黑體" w:hAnsi="微軟正黑體"/>
      <w:color w:val="242424"/>
    </w:rPr>
  </w:style>
  <w:style w:type="paragraph" w:customStyle="1" w:styleId="cssul">
    <w:name w:val="cssul"/>
    <w:basedOn w:val="a"/>
    <w:pPr>
      <w:spacing w:before="100" w:beforeAutospacing="1"/>
    </w:pPr>
  </w:style>
  <w:style w:type="paragraph" w:customStyle="1" w:styleId="cssol">
    <w:name w:val="cssol"/>
    <w:basedOn w:val="a"/>
    <w:pPr>
      <w:spacing w:before="100" w:beforeAutospacing="1"/>
      <w:ind w:left="150"/>
    </w:pPr>
  </w:style>
  <w:style w:type="paragraph" w:customStyle="1" w:styleId="csscalebg01">
    <w:name w:val="csscalebg01"/>
    <w:basedOn w:val="a"/>
    <w:pPr>
      <w:shd w:val="clear" w:color="auto" w:fill="ECECEC"/>
      <w:spacing w:before="100" w:beforeAutospacing="1" w:after="100" w:afterAutospacing="1"/>
    </w:pPr>
  </w:style>
  <w:style w:type="paragraph" w:customStyle="1" w:styleId="csscalebg02">
    <w:name w:val="csscalebg02"/>
    <w:basedOn w:val="a"/>
    <w:pPr>
      <w:shd w:val="clear" w:color="auto" w:fill="F5CCF6"/>
      <w:spacing w:before="100" w:beforeAutospacing="1" w:after="100" w:afterAutospacing="1"/>
    </w:pPr>
  </w:style>
  <w:style w:type="paragraph" w:customStyle="1" w:styleId="csscalefont01">
    <w:name w:val="csscalefont01"/>
    <w:basedOn w:val="a"/>
    <w:pPr>
      <w:spacing w:before="100" w:beforeAutospacing="1" w:after="100" w:afterAutospacing="1" w:line="384" w:lineRule="atLeast"/>
    </w:pPr>
    <w:rPr>
      <w:rFonts w:ascii="微軟正黑體" w:eastAsia="微軟正黑體" w:hAnsi="微軟正黑體"/>
      <w:color w:val="FF0000"/>
      <w:spacing w:val="15"/>
    </w:rPr>
  </w:style>
  <w:style w:type="paragraph" w:customStyle="1" w:styleId="csscalefont02">
    <w:name w:val="csscalefont02"/>
    <w:basedOn w:val="a"/>
    <w:pPr>
      <w:spacing w:before="100" w:beforeAutospacing="1" w:after="100" w:afterAutospacing="1" w:line="384" w:lineRule="atLeast"/>
    </w:pPr>
    <w:rPr>
      <w:rFonts w:ascii="微軟正黑體" w:eastAsia="微軟正黑體" w:hAnsi="微軟正黑體"/>
      <w:color w:val="00A930"/>
      <w:spacing w:val="15"/>
    </w:rPr>
  </w:style>
  <w:style w:type="paragraph" w:customStyle="1" w:styleId="csscalefont03">
    <w:name w:val="csscalefont03"/>
    <w:basedOn w:val="a"/>
    <w:pPr>
      <w:spacing w:before="100" w:beforeAutospacing="1" w:after="100" w:afterAutospacing="1" w:line="384" w:lineRule="atLeast"/>
    </w:pPr>
    <w:rPr>
      <w:rFonts w:ascii="微軟正黑體" w:eastAsia="微軟正黑體" w:hAnsi="微軟正黑體"/>
      <w:color w:val="C0C0C0"/>
      <w:spacing w:val="15"/>
    </w:rPr>
  </w:style>
  <w:style w:type="paragraph" w:customStyle="1" w:styleId="csscalefont04">
    <w:name w:val="csscalefont04"/>
    <w:basedOn w:val="a"/>
    <w:pPr>
      <w:shd w:val="clear" w:color="auto" w:fill="E2D19F"/>
      <w:spacing w:before="100" w:beforeAutospacing="1" w:after="100" w:afterAutospacing="1" w:line="384" w:lineRule="atLeast"/>
    </w:pPr>
    <w:rPr>
      <w:rFonts w:ascii="微軟正黑體" w:eastAsia="微軟正黑體" w:hAnsi="微軟正黑體"/>
      <w:color w:val="BC8AD7"/>
      <w:spacing w:val="15"/>
    </w:rPr>
  </w:style>
  <w:style w:type="paragraph" w:customStyle="1" w:styleId="cssfont01">
    <w:name w:val="cssfont01"/>
    <w:basedOn w:val="a"/>
    <w:pPr>
      <w:spacing w:before="100" w:beforeAutospacing="1" w:after="100" w:afterAutospacing="1" w:line="384" w:lineRule="atLeast"/>
    </w:pPr>
    <w:rPr>
      <w:rFonts w:ascii="微軟正黑體" w:eastAsia="微軟正黑體" w:hAnsi="微軟正黑體"/>
      <w:color w:val="008F29"/>
      <w:spacing w:val="15"/>
    </w:rPr>
  </w:style>
  <w:style w:type="paragraph" w:customStyle="1" w:styleId="cssmyhead">
    <w:name w:val="cssmyhead"/>
    <w:basedOn w:val="a"/>
    <w:pPr>
      <w:shd w:val="clear" w:color="auto" w:fill="0DB9BB"/>
      <w:spacing w:before="100" w:beforeAutospacing="1" w:after="100" w:afterAutospacing="1" w:line="384" w:lineRule="atLeast"/>
    </w:pPr>
    <w:rPr>
      <w:rFonts w:ascii="微軟正黑體" w:eastAsia="微軟正黑體" w:hAnsi="微軟正黑體"/>
      <w:b/>
      <w:bCs/>
      <w:color w:val="FFFFFF"/>
      <w:spacing w:val="15"/>
    </w:rPr>
  </w:style>
  <w:style w:type="paragraph" w:customStyle="1" w:styleId="box01">
    <w:name w:val="box01"/>
    <w:basedOn w:val="a"/>
    <w:pPr>
      <w:pBdr>
        <w:top w:val="single" w:sz="6" w:space="0" w:color="1BCDD1"/>
        <w:left w:val="single" w:sz="6" w:space="0" w:color="1BCDD1"/>
        <w:bottom w:val="single" w:sz="6" w:space="0" w:color="1BCDD1"/>
        <w:right w:val="single" w:sz="6" w:space="0" w:color="1BCDD1"/>
      </w:pBdr>
      <w:shd w:val="clear" w:color="auto" w:fill="DDDDDD"/>
      <w:spacing w:before="100" w:beforeAutospacing="1" w:after="100" w:afterAutospacing="1"/>
    </w:pPr>
  </w:style>
  <w:style w:type="paragraph" w:customStyle="1" w:styleId="box02">
    <w:name w:val="box02"/>
    <w:basedOn w:val="a"/>
    <w:pPr>
      <w:pBdr>
        <w:top w:val="single" w:sz="6" w:space="0" w:color="A0B5D3"/>
        <w:left w:val="single" w:sz="6" w:space="0" w:color="A0B5D3"/>
        <w:bottom w:val="single" w:sz="6" w:space="0" w:color="A0B5D3"/>
        <w:right w:val="single" w:sz="6" w:space="0" w:color="A0B5D3"/>
      </w:pBdr>
      <w:shd w:val="clear" w:color="auto" w:fill="FFFFFF"/>
      <w:spacing w:before="100" w:beforeAutospacing="1" w:after="100" w:afterAutospacing="1"/>
    </w:pPr>
    <w:rPr>
      <w:color w:val="000000"/>
    </w:rPr>
  </w:style>
  <w:style w:type="paragraph" w:customStyle="1" w:styleId="box03">
    <w:name w:val="box03"/>
    <w:basedOn w:val="a"/>
    <w:pPr>
      <w:pBdr>
        <w:top w:val="single" w:sz="6" w:space="0" w:color="A0B5D3"/>
        <w:left w:val="single" w:sz="6" w:space="0" w:color="A0B5D3"/>
        <w:bottom w:val="single" w:sz="6" w:space="0" w:color="A0B5D3"/>
        <w:right w:val="single" w:sz="6" w:space="0" w:color="A0B5D3"/>
      </w:pBdr>
      <w:shd w:val="clear" w:color="auto" w:fill="D0D0D0"/>
      <w:spacing w:before="100" w:beforeAutospacing="1" w:after="100" w:afterAutospacing="1"/>
    </w:pPr>
    <w:rPr>
      <w:color w:val="000000"/>
    </w:rPr>
  </w:style>
  <w:style w:type="paragraph" w:customStyle="1" w:styleId="box04">
    <w:name w:val="box04"/>
    <w:basedOn w:val="a"/>
    <w:pPr>
      <w:pBdr>
        <w:top w:val="single" w:sz="6" w:space="0" w:color="7070B8"/>
        <w:left w:val="single" w:sz="6" w:space="0" w:color="7070B8"/>
        <w:right w:val="single" w:sz="6" w:space="0" w:color="7070B8"/>
      </w:pBdr>
      <w:shd w:val="clear" w:color="auto" w:fill="E4E2F3"/>
      <w:spacing w:before="100" w:beforeAutospacing="1" w:after="100" w:afterAutospacing="1"/>
    </w:pPr>
  </w:style>
  <w:style w:type="paragraph" w:customStyle="1" w:styleId="box05">
    <w:name w:val="box05"/>
    <w:basedOn w:val="a"/>
    <w:pPr>
      <w:pBdr>
        <w:left w:val="single" w:sz="6" w:space="0" w:color="7070B8"/>
        <w:bottom w:val="single" w:sz="6" w:space="0" w:color="7070B8"/>
        <w:right w:val="single" w:sz="6" w:space="0" w:color="7070B8"/>
      </w:pBdr>
      <w:shd w:val="clear" w:color="auto" w:fill="E4E2F3"/>
      <w:spacing w:before="100" w:beforeAutospacing="1" w:after="100" w:afterAutospacing="1"/>
    </w:pPr>
  </w:style>
  <w:style w:type="paragraph" w:customStyle="1" w:styleId="box06">
    <w:name w:val="box06"/>
    <w:basedOn w:val="a"/>
    <w:pPr>
      <w:pBdr>
        <w:left w:val="single" w:sz="6" w:space="0" w:color="7070B8"/>
        <w:right w:val="single" w:sz="6" w:space="0" w:color="7070B8"/>
      </w:pBdr>
      <w:shd w:val="clear" w:color="auto" w:fill="E4E2F3"/>
      <w:spacing w:before="100" w:beforeAutospacing="1" w:after="100" w:afterAutospacing="1"/>
    </w:pPr>
  </w:style>
  <w:style w:type="paragraph" w:customStyle="1" w:styleId="bg01">
    <w:name w:val="bg01"/>
    <w:basedOn w:val="a"/>
    <w:pPr>
      <w:shd w:val="clear" w:color="auto" w:fill="E3E9F2"/>
      <w:spacing w:before="100" w:beforeAutospacing="1" w:after="100" w:afterAutospacing="1"/>
    </w:pPr>
  </w:style>
  <w:style w:type="paragraph" w:customStyle="1" w:styleId="bg02">
    <w:name w:val="bg02"/>
    <w:basedOn w:val="a"/>
    <w:pPr>
      <w:shd w:val="clear" w:color="auto" w:fill="0DB9BB"/>
      <w:spacing w:before="100" w:beforeAutospacing="1" w:after="100" w:afterAutospacing="1" w:line="450" w:lineRule="atLeast"/>
    </w:pPr>
    <w:rPr>
      <w:rFonts w:ascii="微軟正黑體" w:eastAsia="微軟正黑體" w:hAnsi="微軟正黑體"/>
      <w:color w:val="FFFFFF"/>
    </w:rPr>
  </w:style>
  <w:style w:type="paragraph" w:customStyle="1" w:styleId="bg03">
    <w:name w:val="bg03"/>
    <w:basedOn w:val="a"/>
    <w:pPr>
      <w:shd w:val="clear" w:color="auto" w:fill="FFFFFF"/>
      <w:spacing w:before="100" w:beforeAutospacing="1" w:after="100" w:afterAutospacing="1" w:line="360" w:lineRule="atLeast"/>
    </w:pPr>
    <w:rPr>
      <w:rFonts w:ascii="微軟正黑體" w:eastAsia="微軟正黑體" w:hAnsi="微軟正黑體"/>
      <w:color w:val="000000"/>
    </w:rPr>
  </w:style>
  <w:style w:type="paragraph" w:customStyle="1" w:styleId="bg04">
    <w:name w:val="bg04"/>
    <w:basedOn w:val="a"/>
    <w:pPr>
      <w:shd w:val="clear" w:color="auto" w:fill="F9F9F9"/>
      <w:spacing w:before="100" w:beforeAutospacing="1" w:after="100" w:afterAutospacing="1" w:line="360" w:lineRule="atLeast"/>
    </w:pPr>
    <w:rPr>
      <w:rFonts w:ascii="微軟正黑體" w:eastAsia="微軟正黑體" w:hAnsi="微軟正黑體"/>
      <w:color w:val="000000"/>
    </w:rPr>
  </w:style>
  <w:style w:type="paragraph" w:customStyle="1" w:styleId="bg05">
    <w:name w:val="bg05"/>
    <w:basedOn w:val="a"/>
    <w:pPr>
      <w:shd w:val="clear" w:color="auto" w:fill="8CAAE6"/>
      <w:spacing w:before="100" w:beforeAutospacing="1" w:after="100" w:afterAutospacing="1"/>
    </w:pPr>
    <w:rPr>
      <w:color w:val="000000"/>
    </w:rPr>
  </w:style>
  <w:style w:type="paragraph" w:customStyle="1" w:styleId="bg06">
    <w:name w:val="bg06"/>
    <w:basedOn w:val="a"/>
    <w:pPr>
      <w:shd w:val="clear" w:color="auto" w:fill="E6E6FA"/>
      <w:spacing w:before="100" w:beforeAutospacing="1" w:after="100" w:afterAutospacing="1"/>
    </w:pPr>
    <w:rPr>
      <w:color w:val="000000"/>
    </w:rPr>
  </w:style>
  <w:style w:type="paragraph" w:customStyle="1" w:styleId="bg07">
    <w:name w:val="bg07"/>
    <w:basedOn w:val="a"/>
    <w:pPr>
      <w:shd w:val="clear" w:color="auto" w:fill="FFA07A"/>
      <w:spacing w:before="100" w:beforeAutospacing="1" w:after="100" w:afterAutospacing="1"/>
    </w:pPr>
    <w:rPr>
      <w:color w:val="000000"/>
    </w:rPr>
  </w:style>
  <w:style w:type="paragraph" w:customStyle="1" w:styleId="bg08">
    <w:name w:val="bg08"/>
    <w:basedOn w:val="a"/>
    <w:pPr>
      <w:shd w:val="clear" w:color="auto" w:fill="E6EEFD"/>
      <w:spacing w:before="100" w:beforeAutospacing="1" w:after="100" w:afterAutospacing="1"/>
    </w:pPr>
  </w:style>
  <w:style w:type="paragraph" w:customStyle="1" w:styleId="font01">
    <w:name w:val="font01"/>
    <w:basedOn w:val="a"/>
    <w:pPr>
      <w:spacing w:before="100" w:beforeAutospacing="1" w:after="100" w:afterAutospacing="1" w:line="384" w:lineRule="atLeast"/>
    </w:pPr>
    <w:rPr>
      <w:rFonts w:ascii="微軟正黑體" w:eastAsia="微軟正黑體" w:hAnsi="微軟正黑體"/>
      <w:color w:val="000000"/>
    </w:rPr>
  </w:style>
  <w:style w:type="paragraph" w:customStyle="1" w:styleId="font02">
    <w:name w:val="font02"/>
    <w:basedOn w:val="a"/>
    <w:pPr>
      <w:spacing w:before="100" w:beforeAutospacing="1" w:after="100" w:afterAutospacing="1" w:line="384" w:lineRule="atLeast"/>
    </w:pPr>
    <w:rPr>
      <w:b/>
      <w:bCs/>
      <w:color w:val="000000"/>
      <w:spacing w:val="30"/>
    </w:rPr>
  </w:style>
  <w:style w:type="paragraph" w:customStyle="1" w:styleId="font03">
    <w:name w:val="font03"/>
    <w:basedOn w:val="a"/>
    <w:pPr>
      <w:spacing w:before="100" w:beforeAutospacing="1" w:after="100" w:afterAutospacing="1" w:line="432" w:lineRule="atLeast"/>
    </w:pPr>
    <w:rPr>
      <w:rFonts w:ascii="Tahoma" w:hAnsi="Tahoma" w:cs="Tahoma"/>
      <w:b/>
      <w:bCs/>
      <w:color w:val="000000"/>
      <w:spacing w:val="15"/>
      <w:sz w:val="29"/>
      <w:szCs w:val="29"/>
    </w:rPr>
  </w:style>
  <w:style w:type="paragraph" w:customStyle="1" w:styleId="font04">
    <w:name w:val="font04"/>
    <w:basedOn w:val="a"/>
    <w:pPr>
      <w:spacing w:before="100" w:beforeAutospacing="1" w:after="100" w:afterAutospacing="1" w:line="384" w:lineRule="atLeast"/>
    </w:pPr>
    <w:rPr>
      <w:color w:val="FF0000"/>
      <w:spacing w:val="30"/>
    </w:rPr>
  </w:style>
  <w:style w:type="paragraph" w:customStyle="1" w:styleId="font05">
    <w:name w:val="font05"/>
    <w:basedOn w:val="a"/>
    <w:pPr>
      <w:spacing w:before="100" w:beforeAutospacing="1" w:after="100" w:afterAutospacing="1" w:line="432" w:lineRule="atLeast"/>
    </w:pPr>
    <w:rPr>
      <w:rFonts w:ascii="Tahoma" w:hAnsi="Tahoma" w:cs="Tahoma"/>
      <w:color w:val="003366"/>
      <w:spacing w:val="15"/>
      <w:sz w:val="29"/>
      <w:szCs w:val="29"/>
    </w:rPr>
  </w:style>
  <w:style w:type="paragraph" w:customStyle="1" w:styleId="font06">
    <w:name w:val="font06"/>
    <w:basedOn w:val="a"/>
    <w:pPr>
      <w:spacing w:before="100" w:beforeAutospacing="1" w:after="100" w:afterAutospacing="1"/>
    </w:pPr>
    <w:rPr>
      <w:color w:val="7878AA"/>
      <w:spacing w:val="15"/>
    </w:rPr>
  </w:style>
  <w:style w:type="paragraph" w:customStyle="1" w:styleId="linkfnt01">
    <w:name w:val="link_fnt01"/>
    <w:basedOn w:val="a"/>
    <w:pPr>
      <w:spacing w:before="100" w:beforeAutospacing="1" w:after="100" w:afterAutospacing="1" w:line="384" w:lineRule="atLeast"/>
    </w:pPr>
    <w:rPr>
      <w:rFonts w:ascii="Tahoma" w:hAnsi="Tahoma" w:cs="Tahoma"/>
      <w:color w:val="006699"/>
      <w:spacing w:val="15"/>
    </w:rPr>
  </w:style>
  <w:style w:type="paragraph" w:customStyle="1" w:styleId="color01">
    <w:name w:val="color01"/>
    <w:basedOn w:val="a"/>
    <w:pPr>
      <w:spacing w:before="100" w:beforeAutospacing="1" w:after="100" w:afterAutospacing="1"/>
    </w:pPr>
    <w:rPr>
      <w:color w:val="FF0000"/>
    </w:rPr>
  </w:style>
  <w:style w:type="paragraph" w:customStyle="1" w:styleId="color02">
    <w:name w:val="color02"/>
    <w:basedOn w:val="a"/>
    <w:pPr>
      <w:spacing w:before="100" w:beforeAutospacing="1" w:after="100" w:afterAutospacing="1"/>
    </w:pPr>
    <w:rPr>
      <w:color w:val="008000"/>
    </w:rPr>
  </w:style>
  <w:style w:type="paragraph" w:customStyle="1" w:styleId="color03">
    <w:name w:val="color03"/>
    <w:basedOn w:val="a"/>
    <w:pPr>
      <w:spacing w:before="100" w:beforeAutospacing="1" w:after="100" w:afterAutospacing="1"/>
    </w:pPr>
    <w:rPr>
      <w:color w:val="0000FF"/>
    </w:rPr>
  </w:style>
  <w:style w:type="paragraph" w:customStyle="1" w:styleId="color04">
    <w:name w:val="color04"/>
    <w:basedOn w:val="a"/>
    <w:pPr>
      <w:spacing w:before="100" w:beforeAutospacing="1" w:after="100" w:afterAutospacing="1"/>
    </w:pPr>
    <w:rPr>
      <w:color w:val="000000"/>
    </w:rPr>
  </w:style>
  <w:style w:type="paragraph" w:customStyle="1" w:styleId="button01">
    <w:name w:val="button01"/>
    <w:basedOn w:val="a"/>
    <w:pPr>
      <w:pBdr>
        <w:top w:val="single" w:sz="6" w:space="0" w:color="05AAAC"/>
        <w:left w:val="single" w:sz="6" w:space="0" w:color="05AAAC"/>
        <w:bottom w:val="single" w:sz="6" w:space="0" w:color="05AAAC"/>
        <w:right w:val="single" w:sz="6" w:space="0" w:color="05AAAC"/>
      </w:pBdr>
      <w:shd w:val="clear" w:color="auto" w:fill="17CACE"/>
      <w:spacing w:before="100" w:beforeAutospacing="1" w:after="100" w:afterAutospacing="1"/>
    </w:pPr>
    <w:rPr>
      <w:rFonts w:ascii="微軟正黑體" w:eastAsia="微軟正黑體" w:hAnsi="微軟正黑體"/>
      <w:color w:val="FFFFFF"/>
    </w:rPr>
  </w:style>
  <w:style w:type="paragraph" w:customStyle="1" w:styleId="button01disabled">
    <w:name w:val="button01[disabled]"/>
    <w:basedOn w:val="a"/>
    <w:pPr>
      <w:pBdr>
        <w:top w:val="single" w:sz="6" w:space="0" w:color="DCDCDC"/>
        <w:left w:val="single" w:sz="6" w:space="0" w:color="DCDCDC"/>
        <w:bottom w:val="single" w:sz="6" w:space="0" w:color="DCDCDC"/>
        <w:right w:val="single" w:sz="6" w:space="0" w:color="DCDCDC"/>
      </w:pBdr>
      <w:shd w:val="clear" w:color="auto" w:fill="F9F9F9"/>
      <w:spacing w:before="100" w:beforeAutospacing="1" w:after="100" w:afterAutospacing="1"/>
    </w:pPr>
    <w:rPr>
      <w:rFonts w:ascii="微軟正黑體" w:eastAsia="微軟正黑體" w:hAnsi="微軟正黑體"/>
      <w:color w:val="C0C0C0"/>
    </w:rPr>
  </w:style>
  <w:style w:type="paragraph" w:customStyle="1" w:styleId="node-lcms">
    <w:name w:val="node-lcms"/>
    <w:basedOn w:val="a"/>
    <w:pPr>
      <w:spacing w:before="100" w:beforeAutospacing="1" w:after="100" w:afterAutospacing="1"/>
      <w:ind w:left="120"/>
    </w:pPr>
  </w:style>
  <w:style w:type="paragraph" w:customStyle="1" w:styleId="cketop">
    <w:name w:val="cke_top"/>
    <w:basedOn w:val="a"/>
    <w:pPr>
      <w:spacing w:before="100" w:beforeAutospacing="1" w:after="100" w:afterAutospacing="1"/>
    </w:pPr>
  </w:style>
  <w:style w:type="paragraph" w:customStyle="1" w:styleId="ckecontents">
    <w:name w:val="cke_contents"/>
    <w:basedOn w:val="a"/>
    <w:pPr>
      <w:spacing w:before="100" w:beforeAutospacing="1" w:after="100" w:afterAutospacing="1"/>
    </w:pPr>
  </w:style>
  <w:style w:type="paragraph" w:customStyle="1" w:styleId="ckebottom">
    <w:name w:val="cke_bottom"/>
    <w:basedOn w:val="a"/>
    <w:pPr>
      <w:spacing w:before="100" w:beforeAutospacing="1" w:after="100" w:afterAutospacing="1"/>
    </w:pPr>
  </w:style>
  <w:style w:type="paragraph" w:customStyle="1" w:styleId="cssanchor1">
    <w:name w:val="cssanchor1"/>
    <w:basedOn w:val="a"/>
    <w:pPr>
      <w:spacing w:before="100" w:beforeAutospacing="1" w:after="100" w:afterAutospacing="1" w:line="384" w:lineRule="atLeast"/>
    </w:pPr>
    <w:rPr>
      <w:rFonts w:ascii="微軟正黑體" w:eastAsia="微軟正黑體" w:hAnsi="微軟正黑體"/>
      <w:b/>
      <w:bCs/>
      <w:color w:val="FFFFFF"/>
    </w:rPr>
  </w:style>
  <w:style w:type="paragraph" w:customStyle="1" w:styleId="cssanchor2">
    <w:name w:val="cssanchor2"/>
    <w:basedOn w:val="a"/>
    <w:pPr>
      <w:spacing w:before="100" w:beforeAutospacing="1" w:after="100" w:afterAutospacing="1" w:line="384" w:lineRule="atLeast"/>
    </w:pPr>
    <w:rPr>
      <w:rFonts w:ascii="微軟正黑體" w:eastAsia="微軟正黑體" w:hAnsi="微軟正黑體"/>
      <w:b/>
      <w:bCs/>
      <w:color w:val="FFFFFF"/>
      <w:u w:val="single"/>
    </w:rPr>
  </w:style>
  <w:style w:type="paragraph" w:customStyle="1" w:styleId="csstrevn1">
    <w:name w:val="csstrevn1"/>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2">
    <w:name w:val="csstrevn2"/>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sstrevn3">
    <w:name w:val="csstrevn3"/>
    <w:basedOn w:val="a"/>
    <w:pPr>
      <w:shd w:val="clear" w:color="auto" w:fill="FFFFFF"/>
      <w:spacing w:before="100" w:beforeAutospacing="1" w:after="100" w:afterAutospacing="1" w:line="432" w:lineRule="atLeast"/>
    </w:pPr>
    <w:rPr>
      <w:rFonts w:ascii="微軟正黑體" w:eastAsia="微軟正黑體" w:hAnsi="微軟正黑體"/>
      <w:color w:val="000000"/>
    </w:rPr>
  </w:style>
  <w:style w:type="paragraph" w:customStyle="1" w:styleId="cketop1">
    <w:name w:val="cke_top1"/>
    <w:basedOn w:val="a"/>
    <w:pPr>
      <w:spacing w:before="100" w:beforeAutospacing="1" w:after="100" w:afterAutospacing="1"/>
    </w:pPr>
  </w:style>
  <w:style w:type="paragraph" w:customStyle="1" w:styleId="ckecontents1">
    <w:name w:val="cke_contents1"/>
    <w:basedOn w:val="a"/>
    <w:pPr>
      <w:spacing w:before="100" w:beforeAutospacing="1" w:after="100" w:afterAutospacing="1"/>
    </w:pPr>
  </w:style>
  <w:style w:type="paragraph" w:customStyle="1" w:styleId="ckebottom1">
    <w:name w:val="cke_bottom1"/>
    <w:basedOn w:val="a"/>
    <w:pPr>
      <w:spacing w:before="100" w:beforeAutospacing="1" w:after="100" w:afterAutospacing="1"/>
    </w:pPr>
  </w:style>
  <w:style w:type="paragraph" w:styleId="z-">
    <w:name w:val="HTML Top of Form"/>
    <w:basedOn w:val="a"/>
    <w:next w:val="a"/>
    <w:link w:val="z-0"/>
    <w:hidden/>
    <w:uiPriority w:val="99"/>
    <w:semiHidden/>
    <w:unhideWhenUsed/>
    <w:pPr>
      <w:pBdr>
        <w:bottom w:val="single" w:sz="6" w:space="1" w:color="auto"/>
      </w:pBdr>
      <w:jc w:val="center"/>
    </w:pPr>
    <w:rPr>
      <w:rFonts w:ascii="Arial" w:hAnsi="Arial" w:cs="Arial"/>
      <w:vanish/>
      <w:sz w:val="16"/>
      <w:szCs w:val="16"/>
    </w:rPr>
  </w:style>
  <w:style w:type="character" w:customStyle="1" w:styleId="z-0">
    <w:name w:val="z-表單的頂端 字元"/>
    <w:basedOn w:val="a0"/>
    <w:link w:val="z-"/>
    <w:uiPriority w:val="99"/>
    <w:semiHidden/>
    <w:rPr>
      <w:rFonts w:ascii="Arial" w:eastAsia="新細明體" w:hAnsi="Arial" w:cs="Arial"/>
      <w:vanish/>
      <w:sz w:val="16"/>
      <w:szCs w:val="16"/>
    </w:rPr>
  </w:style>
  <w:style w:type="paragraph" w:styleId="Web">
    <w:name w:val="Normal (Web)"/>
    <w:basedOn w:val="a"/>
    <w:uiPriority w:val="99"/>
    <w:semiHidden/>
    <w:unhideWhenUsed/>
    <w:pPr>
      <w:spacing w:before="100" w:beforeAutospacing="1" w:after="100" w:afterAutospacing="1"/>
    </w:pPr>
  </w:style>
  <w:style w:type="paragraph" w:styleId="z-1">
    <w:name w:val="HTML Bottom of Form"/>
    <w:basedOn w:val="a"/>
    <w:next w:val="a"/>
    <w:link w:val="z-2"/>
    <w:hidden/>
    <w:uiPriority w:val="99"/>
    <w:semiHidden/>
    <w:unhideWhenUsed/>
    <w:pPr>
      <w:pBdr>
        <w:top w:val="single" w:sz="6" w:space="1" w:color="auto"/>
      </w:pBdr>
      <w:jc w:val="center"/>
    </w:pPr>
    <w:rPr>
      <w:rFonts w:ascii="Arial" w:hAnsi="Arial" w:cs="Arial"/>
      <w:vanish/>
      <w:sz w:val="16"/>
      <w:szCs w:val="16"/>
    </w:rPr>
  </w:style>
  <w:style w:type="character" w:customStyle="1" w:styleId="z-2">
    <w:name w:val="z-表單的底部 字元"/>
    <w:basedOn w:val="a0"/>
    <w:link w:val="z-1"/>
    <w:uiPriority w:val="99"/>
    <w:semiHidden/>
    <w:rPr>
      <w:rFonts w:ascii="Arial" w:eastAsia="新細明體" w:hAnsi="Arial" w:cs="Arial"/>
      <w:vanish/>
      <w:sz w:val="16"/>
      <w:szCs w:val="16"/>
    </w:rPr>
  </w:style>
  <w:style w:type="paragraph" w:styleId="a3">
    <w:name w:val="header"/>
    <w:basedOn w:val="a"/>
    <w:link w:val="a4"/>
    <w:uiPriority w:val="99"/>
    <w:unhideWhenUsed/>
    <w:rsid w:val="005B2D10"/>
    <w:pPr>
      <w:tabs>
        <w:tab w:val="center" w:pos="4153"/>
        <w:tab w:val="right" w:pos="8306"/>
      </w:tabs>
      <w:snapToGrid w:val="0"/>
    </w:pPr>
    <w:rPr>
      <w:sz w:val="20"/>
      <w:szCs w:val="20"/>
    </w:rPr>
  </w:style>
  <w:style w:type="character" w:customStyle="1" w:styleId="a4">
    <w:name w:val="頁首 字元"/>
    <w:basedOn w:val="a0"/>
    <w:link w:val="a3"/>
    <w:uiPriority w:val="99"/>
    <w:rsid w:val="005B2D10"/>
    <w:rPr>
      <w:rFonts w:ascii="新細明體" w:eastAsia="新細明體" w:hAnsi="新細明體" w:cs="新細明體"/>
    </w:rPr>
  </w:style>
  <w:style w:type="paragraph" w:styleId="a5">
    <w:name w:val="footer"/>
    <w:basedOn w:val="a"/>
    <w:link w:val="a6"/>
    <w:uiPriority w:val="99"/>
    <w:unhideWhenUsed/>
    <w:rsid w:val="005B2D10"/>
    <w:pPr>
      <w:tabs>
        <w:tab w:val="center" w:pos="4153"/>
        <w:tab w:val="right" w:pos="8306"/>
      </w:tabs>
      <w:snapToGrid w:val="0"/>
    </w:pPr>
    <w:rPr>
      <w:sz w:val="20"/>
      <w:szCs w:val="20"/>
    </w:rPr>
  </w:style>
  <w:style w:type="character" w:customStyle="1" w:styleId="a6">
    <w:name w:val="頁尾 字元"/>
    <w:basedOn w:val="a0"/>
    <w:link w:val="a5"/>
    <w:uiPriority w:val="99"/>
    <w:rsid w:val="005B2D10"/>
    <w:rPr>
      <w:rFonts w:ascii="新細明體" w:eastAsia="新細明體" w:hAnsi="新細明體" w:cs="新細明體"/>
    </w:rPr>
  </w:style>
  <w:style w:type="paragraph" w:styleId="a7">
    <w:name w:val="List Paragraph"/>
    <w:basedOn w:val="a"/>
    <w:uiPriority w:val="34"/>
    <w:qFormat/>
    <w:rsid w:val="00F82175"/>
    <w:pPr>
      <w:widowControl w:val="0"/>
      <w:ind w:leftChars="200" w:left="480"/>
    </w:pPr>
    <w:rPr>
      <w:rFonts w:asciiTheme="minorHAnsi" w:eastAsiaTheme="minorEastAsia" w:hAnsiTheme="minorHAnsi" w:cstheme="minorBid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4.wmf"/><Relationship Id="rId18" Type="http://schemas.openxmlformats.org/officeDocument/2006/relationships/control" Target="activeX/activeX8.xml"/><Relationship Id="rId26" Type="http://schemas.openxmlformats.org/officeDocument/2006/relationships/control" Target="activeX/activeX16.xml"/><Relationship Id="rId3" Type="http://schemas.openxmlformats.org/officeDocument/2006/relationships/settings" Target="settings.xml"/><Relationship Id="rId21" Type="http://schemas.openxmlformats.org/officeDocument/2006/relationships/control" Target="activeX/activeX11.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5.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24" Type="http://schemas.openxmlformats.org/officeDocument/2006/relationships/control" Target="activeX/activeX14.xml"/><Relationship Id="rId5" Type="http://schemas.openxmlformats.org/officeDocument/2006/relationships/footnotes" Target="footnotes.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10" Type="http://schemas.openxmlformats.org/officeDocument/2006/relationships/control" Target="activeX/activeX1.xml"/><Relationship Id="rId19" Type="http://schemas.openxmlformats.org/officeDocument/2006/relationships/control" Target="activeX/activeX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1029</Words>
  <Characters>990</Characters>
  <Application>Microsoft Office Word</Application>
  <DocSecurity>0</DocSecurity>
  <Lines>8</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2025-07-27T06:18:00Z</dcterms:created>
  <dcterms:modified xsi:type="dcterms:W3CDTF">2025-08-02T05:52:00Z</dcterms:modified>
</cp:coreProperties>
</file>