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ocument-a-project-status-report"/>
    <w:p>
      <w:pPr>
        <w:pStyle w:val="Heading1"/>
      </w:pPr>
      <w:r>
        <w:t xml:space="preserve">Document A — Project Status Report</w:t>
      </w:r>
    </w:p>
    <w:p>
      <w:pPr>
        <w:pStyle w:val="FirstParagraph"/>
      </w:pPr>
      <w:r>
        <w:rPr>
          <w:iCs/>
          <w:i/>
        </w:rPr>
        <w:t xml:space="preserve">Exercise 2, Round 1 (Summarize). Fictional. Meridian Technical Services.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MERIDIAN TECHNICAL SERVICES</w:t>
      </w:r>
      <w:r>
        <w:t xml:space="preserve"> </w:t>
      </w:r>
      <w:r>
        <w:rPr>
          <w:bCs/>
          <w:b/>
        </w:rPr>
        <w:t xml:space="preserve">Project Status Report — Harbour Point Vessel Recertification</w:t>
      </w:r>
      <w:r>
        <w:t xml:space="preserve"> </w:t>
      </w:r>
      <w:r>
        <w:rPr>
          <w:bCs/>
          <w:b/>
        </w:rPr>
        <w:t xml:space="preserve">Reporting period:</w:t>
      </w:r>
      <w:r>
        <w:t xml:space="preserve"> </w:t>
      </w:r>
      <w:r>
        <w:t xml:space="preserve">Q2 ·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Programme Office ·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Internal</w:t>
      </w:r>
    </w:p>
    <w:p>
      <w:r>
        <w:pict>
          <v:rect style="width:0;height:1.5pt" o:hralign="center" o:hrstd="t" o:hr="t"/>
        </w:pict>
      </w:r>
    </w:p>
    <w:bookmarkStart w:id="20" w:name="background"/>
    <w:p>
      <w:pPr>
        <w:pStyle w:val="Heading2"/>
      </w:pPr>
      <w:r>
        <w:t xml:space="preserve">1. Background</w:t>
      </w:r>
    </w:p>
    <w:p>
      <w:pPr>
        <w:pStyle w:val="FirstParagraph"/>
      </w:pPr>
      <w:r>
        <w:t xml:space="preserve">Meridian Technical Services (MTS) was engaged by Harbour Point Industries in January to</w:t>
      </w:r>
      <w:r>
        <w:t xml:space="preserve"> </w:t>
      </w:r>
      <w:r>
        <w:t xml:space="preserve">recertify 214 pressure vessels across three sites following a change to the applicable</w:t>
      </w:r>
      <w:r>
        <w:t xml:space="preserve"> </w:t>
      </w:r>
      <w:r>
        <w:t xml:space="preserve">inspection standard. The engagement covers documentation review, non-destructive</w:t>
      </w:r>
      <w:r>
        <w:t xml:space="preserve"> </w:t>
      </w:r>
      <w:r>
        <w:t xml:space="preserve">examination, remediation recommendations, and issue of recertification records. The</w:t>
      </w:r>
      <w:r>
        <w:t xml:space="preserve"> </w:t>
      </w:r>
      <w:r>
        <w:t xml:space="preserve">contract value is £2.4m over eighteen months, structured in three phases with a client</w:t>
      </w:r>
      <w:r>
        <w:t xml:space="preserve"> </w:t>
      </w:r>
      <w:r>
        <w:t xml:space="preserve">gate review at the end of each.</w:t>
      </w:r>
    </w:p>
    <w:p>
      <w:pPr>
        <w:pStyle w:val="BodyText"/>
      </w:pPr>
      <w:r>
        <w:t xml:space="preserve">Phase 1 (documentation review and inventory reconciliation) was scheduled for completion</w:t>
      </w:r>
      <w:r>
        <w:t xml:space="preserve"> </w:t>
      </w:r>
      <w:r>
        <w:t xml:space="preserve">at the end of Q1. Phase 2 (examination and testing) is scheduled to run Q2 through Q4.</w:t>
      </w:r>
      <w:r>
        <w:t xml:space="preserve"> </w:t>
      </w:r>
      <w:r>
        <w:t xml:space="preserve">Phase 3 (remediation oversight and records issue) closes the engagement.</w:t>
      </w:r>
    </w:p>
    <w:bookmarkEnd w:id="20"/>
    <w:bookmarkStart w:id="21" w:name="progress-this-period"/>
    <w:p>
      <w:pPr>
        <w:pStyle w:val="Heading2"/>
      </w:pPr>
      <w:r>
        <w:t xml:space="preserve">2. Progress this period</w:t>
      </w:r>
    </w:p>
    <w:p>
      <w:pPr>
        <w:pStyle w:val="FirstParagraph"/>
      </w:pPr>
      <w:r>
        <w:t xml:space="preserve">Phase 1 completed six weeks late, on 14 May rather than the planned 31 March. Phase 2</w:t>
      </w:r>
      <w:r>
        <w:t xml:space="preserve"> </w:t>
      </w:r>
      <w:r>
        <w:t xml:space="preserve">commenced on a staggered basis from 22 April, with examination teams mobilised to Site A</w:t>
      </w:r>
      <w:r>
        <w:t xml:space="preserve"> </w:t>
      </w:r>
      <w:r>
        <w:t xml:space="preserve">and Site B while Site C documentation was still being reconciled.</w:t>
      </w:r>
    </w:p>
    <w:p>
      <w:pPr>
        <w:pStyle w:val="BodyText"/>
      </w:pPr>
      <w:r>
        <w:t xml:space="preserve">As of the end of the period, 61 of 214 vessels have completed examination. This is</w:t>
      </w:r>
      <w:r>
        <w:t xml:space="preserve"> </w:t>
      </w:r>
      <w:r>
        <w:t xml:space="preserve">against a plan of 84. Examination throughput has stabilised at approximately 11 vessels</w:t>
      </w:r>
      <w:r>
        <w:t xml:space="preserve"> </w:t>
      </w:r>
      <w:r>
        <w:t xml:space="preserve">per week across the two mobilised teams, which is close to the planned rate of 12; the</w:t>
      </w:r>
      <w:r>
        <w:t xml:space="preserve"> </w:t>
      </w:r>
      <w:r>
        <w:t xml:space="preserve">shortfall is entirely attributable to the late start rather than to productivity.</w:t>
      </w:r>
    </w:p>
    <w:p>
      <w:pPr>
        <w:pStyle w:val="BodyText"/>
      </w:pPr>
      <w:r>
        <w:t xml:space="preserve">Site C mobilisation is now scheduled for 8 July.</w:t>
      </w:r>
    </w:p>
    <w:bookmarkEnd w:id="21"/>
    <w:bookmarkStart w:id="22" w:name="the-documentation-problem"/>
    <w:p>
      <w:pPr>
        <w:pStyle w:val="Heading2"/>
      </w:pPr>
      <w:r>
        <w:t xml:space="preserve">3. The documentation problem</w:t>
      </w:r>
    </w:p>
    <w:p>
      <w:pPr>
        <w:pStyle w:val="FirstParagraph"/>
      </w:pPr>
      <w:r>
        <w:t xml:space="preserve">The principal cause of the Phase 1 overrun was the condition of the client’s</w:t>
      </w:r>
      <w:r>
        <w:t xml:space="preserve"> </w:t>
      </w:r>
      <w:r>
        <w:t xml:space="preserve">documentation. The tender assumed a complete and current vessel register with linked</w:t>
      </w:r>
      <w:r>
        <w:t xml:space="preserve"> </w:t>
      </w:r>
      <w:r>
        <w:t xml:space="preserve">design and inspection history. What was found was materially different:</w:t>
      </w:r>
    </w:p>
    <w:p>
      <w:pPr>
        <w:numPr>
          <w:ilvl w:val="0"/>
          <w:numId w:val="1001"/>
        </w:numPr>
        <w:pStyle w:val="Compact"/>
      </w:pPr>
      <w:r>
        <w:t xml:space="preserve">31 vessels had no design documentation traceable in the client’s system. Records were</w:t>
      </w:r>
      <w:r>
        <w:t xml:space="preserve"> </w:t>
      </w:r>
      <w:r>
        <w:t xml:space="preserve">eventually located in three separate archives, one of which was a physical store at a</w:t>
      </w:r>
      <w:r>
        <w:t xml:space="preserve"> </w:t>
      </w:r>
      <w:r>
        <w:t xml:space="preserve">decommissioned site.</w:t>
      </w:r>
    </w:p>
    <w:p>
      <w:pPr>
        <w:numPr>
          <w:ilvl w:val="0"/>
          <w:numId w:val="1001"/>
        </w:numPr>
        <w:pStyle w:val="Compact"/>
      </w:pPr>
      <w:r>
        <w:t xml:space="preserve">47 vessels carried conflicting identification between the maintenance system and the</w:t>
      </w:r>
      <w:r>
        <w:t xml:space="preserve"> </w:t>
      </w:r>
      <w:r>
        <w:t xml:space="preserve">physical asset tags. Reconciliation required a site walk-down that was not in scope.</w:t>
      </w:r>
    </w:p>
    <w:p>
      <w:pPr>
        <w:numPr>
          <w:ilvl w:val="0"/>
          <w:numId w:val="1001"/>
        </w:numPr>
        <w:pStyle w:val="Compact"/>
      </w:pPr>
      <w:r>
        <w:t xml:space="preserve">12 vessels in the register could not be located at all. Nine were subsequently</w:t>
      </w:r>
      <w:r>
        <w:t xml:space="preserve"> </w:t>
      </w:r>
      <w:r>
        <w:t xml:space="preserve">confirmed as disposed of in 2019 without register update. Three remain unaccounted for</w:t>
      </w:r>
      <w:r>
        <w:t xml:space="preserve"> </w:t>
      </w:r>
      <w:r>
        <w:t xml:space="preserve">and have been escalated to the client.</w:t>
      </w:r>
    </w:p>
    <w:p>
      <w:pPr>
        <w:numPr>
          <w:ilvl w:val="0"/>
          <w:numId w:val="1001"/>
        </w:numPr>
        <w:pStyle w:val="Compact"/>
      </w:pPr>
      <w:r>
        <w:t xml:space="preserve">The inspection history for approximately a third of the population exists only as</w:t>
      </w:r>
      <w:r>
        <w:t xml:space="preserve"> </w:t>
      </w:r>
      <w:r>
        <w:t xml:space="preserve">scanned PDFs of handwritten records, many of poor legibility.</w:t>
      </w:r>
    </w:p>
    <w:p>
      <w:pPr>
        <w:pStyle w:val="FirstParagraph"/>
      </w:pPr>
      <w:r>
        <w:t xml:space="preserve">Approximately 340 additional person-hours were expended on reconciliation beyond the</w:t>
      </w:r>
      <w:r>
        <w:t xml:space="preserve"> </w:t>
      </w:r>
      <w:r>
        <w:t xml:space="preserve">tendered allowance. A variation request covering this work was submitted on 2 May and</w:t>
      </w:r>
      <w:r>
        <w:t xml:space="preserve"> </w:t>
      </w:r>
      <w:r>
        <w:t xml:space="preserve">remains unanswered at the time of writing.</w:t>
      </w:r>
    </w:p>
    <w:bookmarkEnd w:id="22"/>
    <w:bookmarkStart w:id="23" w:name="technical-findings-to-date"/>
    <w:p>
      <w:pPr>
        <w:pStyle w:val="Heading2"/>
      </w:pPr>
      <w:r>
        <w:t xml:space="preserve">4. Technical findings to date</w:t>
      </w:r>
    </w:p>
    <w:p>
      <w:pPr>
        <w:pStyle w:val="FirstParagraph"/>
      </w:pPr>
      <w:r>
        <w:t xml:space="preserve">Of the 61 vessels examined, 52 have been recommended for recertification without</w:t>
      </w:r>
      <w:r>
        <w:t xml:space="preserve"> </w:t>
      </w:r>
      <w:r>
        <w:t xml:space="preserve">remediation. Seven require minor remediation, principally coating repair and replacement</w:t>
      </w:r>
      <w:r>
        <w:t xml:space="preserve"> </w:t>
      </w:r>
      <w:r>
        <w:t xml:space="preserve">of gasket sets, and are expected to clear on re-examination.</w:t>
      </w:r>
    </w:p>
    <w:p>
      <w:pPr>
        <w:pStyle w:val="BodyText"/>
      </w:pPr>
      <w:r>
        <w:t xml:space="preserve">Two vessels — HP-A-118 and HP-A-141 — have been found to exhibit wall thinning beyond the</w:t>
      </w:r>
      <w:r>
        <w:t xml:space="preserve"> </w:t>
      </w:r>
      <w:r>
        <w:t xml:space="preserve">allowable limit at the lower circumferential weld. Both have been reported to the client</w:t>
      </w:r>
      <w:r>
        <w:t xml:space="preserve"> </w:t>
      </w:r>
      <w:r>
        <w:t xml:space="preserve">under the immediate notification provisions and taken out of service pending client</w:t>
      </w:r>
      <w:r>
        <w:t xml:space="preserve"> </w:t>
      </w:r>
      <w:r>
        <w:t xml:space="preserve">decision. The pattern of thinning is consistent between the two units and both were</w:t>
      </w:r>
      <w:r>
        <w:t xml:space="preserve"> </w:t>
      </w:r>
      <w:r>
        <w:t xml:space="preserve">manufactured in the same batch. There are a further 19 vessels from that batch in the</w:t>
      </w:r>
      <w:r>
        <w:t xml:space="preserve"> </w:t>
      </w:r>
      <w:r>
        <w:t xml:space="preserve">population, of which 4 have already been examined and cleared.</w:t>
      </w:r>
    </w:p>
    <w:p>
      <w:pPr>
        <w:pStyle w:val="BodyText"/>
      </w:pPr>
      <w:r>
        <w:t xml:space="preserve">The programme office recommends that the remaining 15 vessels from that batch be brought</w:t>
      </w:r>
      <w:r>
        <w:t xml:space="preserve"> </w:t>
      </w:r>
      <w:r>
        <w:t xml:space="preserve">forward in the examination sequence. This has been raised with the client and is awaiting</w:t>
      </w:r>
      <w:r>
        <w:t xml:space="preserve"> </w:t>
      </w:r>
      <w:r>
        <w:t xml:space="preserve">direction.</w:t>
      </w:r>
    </w:p>
    <w:bookmarkEnd w:id="23"/>
    <w:bookmarkStart w:id="24" w:name="commercial-position"/>
    <w:p>
      <w:pPr>
        <w:pStyle w:val="Heading2"/>
      </w:pPr>
      <w:r>
        <w:t xml:space="preserve">5. Commercial position</w:t>
      </w:r>
    </w:p>
    <w:p>
      <w:pPr>
        <w:pStyle w:val="FirstParagraph"/>
      </w:pPr>
      <w:r>
        <w:t xml:space="preserve">The engagement remains within the contracted value but the margin position has</w:t>
      </w:r>
      <w:r>
        <w:t xml:space="preserve"> </w:t>
      </w:r>
      <w:r>
        <w:t xml:space="preserve">deteriorated. The unrecovered reconciliation effort represents approximately £41,000 at</w:t>
      </w:r>
      <w:r>
        <w:t xml:space="preserve"> </w:t>
      </w:r>
      <w:r>
        <w:t xml:space="preserve">cost. If the variation is not accepted, projected margin at completion falls from 18% to</w:t>
      </w:r>
      <w:r>
        <w:t xml:space="preserve"> </w:t>
      </w:r>
      <w:r>
        <w:t xml:space="preserve">approximately 12%.</w:t>
      </w:r>
    </w:p>
    <w:p>
      <w:pPr>
        <w:pStyle w:val="BodyText"/>
      </w:pPr>
      <w:r>
        <w:t xml:space="preserve">Invoicing is current. The client has paid all submitted invoices within terms.</w:t>
      </w:r>
    </w:p>
    <w:p>
      <w:pPr>
        <w:pStyle w:val="BodyText"/>
      </w:pPr>
      <w:r>
        <w:t xml:space="preserve">The Phase 1 gate review was held on 22 May and passed with two actions, both closed.</w:t>
      </w:r>
    </w:p>
    <w:bookmarkEnd w:id="24"/>
    <w:bookmarkStart w:id="25" w:name="schedule-position"/>
    <w:p>
      <w:pPr>
        <w:pStyle w:val="Heading2"/>
      </w:pPr>
      <w:r>
        <w:t xml:space="preserve">6. Schedule position</w:t>
      </w:r>
    </w:p>
    <w:p>
      <w:pPr>
        <w:pStyle w:val="FirstParagraph"/>
      </w:pPr>
      <w:r>
        <w:t xml:space="preserve">Completion is currently forecast at seven weeks beyond the contracted date. Two mitigation</w:t>
      </w:r>
      <w:r>
        <w:t xml:space="preserve"> </w:t>
      </w:r>
      <w:r>
        <w:t xml:space="preserve">options have been assessed: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Third examination team.</w:t>
      </w:r>
      <w:r>
        <w:t xml:space="preserve"> </w:t>
      </w:r>
      <w:r>
        <w:t xml:space="preserve">Would recover approximately five of the seven weeks. Cost</w:t>
      </w:r>
      <w:r>
        <w:t xml:space="preserve"> </w:t>
      </w:r>
      <w:r>
        <w:t xml:space="preserve">approximately £95,000, not recoverable under the current contract structure. Requires a</w:t>
      </w:r>
      <w:r>
        <w:t xml:space="preserve"> </w:t>
      </w:r>
      <w:r>
        <w:t xml:space="preserve">variation.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Extended working at Sites A and B.</w:t>
      </w:r>
      <w:r>
        <w:t xml:space="preserve"> </w:t>
      </w:r>
      <w:r>
        <w:t xml:space="preserve">Would recover approximately three weeks at a</w:t>
      </w:r>
      <w:r>
        <w:t xml:space="preserve"> </w:t>
      </w:r>
      <w:r>
        <w:t xml:space="preserve">cost of approximately £30,000, with a fatigue-management assessment required before it</w:t>
      </w:r>
      <w:r>
        <w:t xml:space="preserve"> </w:t>
      </w:r>
      <w:r>
        <w:t xml:space="preserve">can be approved.</w:t>
      </w:r>
    </w:p>
    <w:p>
      <w:pPr>
        <w:pStyle w:val="FirstParagraph"/>
      </w:pPr>
      <w:r>
        <w:t xml:space="preserve">Neither option has been authorised. A decision is requested by 15 July; beyond that date</w:t>
      </w:r>
      <w:r>
        <w:t xml:space="preserve"> </w:t>
      </w:r>
      <w:r>
        <w:t xml:space="preserve">the third-team option becomes ineffective because of mobilisation lead time.</w:t>
      </w:r>
    </w:p>
    <w:bookmarkEnd w:id="25"/>
    <w:bookmarkStart w:id="26" w:name="risks"/>
    <w:p>
      <w:pPr>
        <w:pStyle w:val="Heading2"/>
      </w:pPr>
      <w:r>
        <w:t xml:space="preserve">7. Risks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Variation not accepted (high likelihood, high impact).</w:t>
      </w:r>
      <w:r>
        <w:t xml:space="preserve"> </w:t>
      </w:r>
      <w:r>
        <w:t xml:space="preserve">Unrecovered cost, and a</w:t>
      </w:r>
      <w:r>
        <w:t xml:space="preserve"> </w:t>
      </w:r>
      <w:r>
        <w:t xml:space="preserve">precedent for the Site C reconciliation which is expected to present similar problems.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Batch issue extends (medium likelihood, high impact).</w:t>
      </w:r>
      <w:r>
        <w:t xml:space="preserve"> </w:t>
      </w:r>
      <w:r>
        <w:t xml:space="preserve">If a significant proportion of</w:t>
      </w:r>
      <w:r>
        <w:t xml:space="preserve"> </w:t>
      </w:r>
      <w:r>
        <w:t xml:space="preserve">the remaining 15 batch vessels fail, the remediation scope grows well beyond the</w:t>
      </w:r>
      <w:r>
        <w:t xml:space="preserve"> </w:t>
      </w:r>
      <w:r>
        <w:t xml:space="preserve">Phase 3 allowance and the client’s operational position becomes difficult.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Site C documentation (high likelihood, medium impact).</w:t>
      </w:r>
      <w:r>
        <w:t xml:space="preserve"> </w:t>
      </w:r>
      <w:r>
        <w:t xml:space="preserve">No reason to expect Site C</w:t>
      </w:r>
      <w:r>
        <w:t xml:space="preserve"> </w:t>
      </w:r>
      <w:r>
        <w:t xml:space="preserve">to be in better condition than Sites A and B. Mobilisation on 8 July may slip again.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 person dependency (medium likelihood, medium impact).</w:t>
      </w:r>
      <w:r>
        <w:t xml:space="preserve"> </w:t>
      </w:r>
      <w:r>
        <w:t xml:space="preserve">The lead examiner for the</w:t>
      </w:r>
      <w:r>
        <w:t xml:space="preserve"> </w:t>
      </w:r>
      <w:r>
        <w:t xml:space="preserve">batch investigation is the only person on the engagement qualified for that examination</w:t>
      </w:r>
      <w:r>
        <w:t xml:space="preserve"> </w:t>
      </w:r>
      <w:r>
        <w:t xml:space="preserve">method. No cover is currently identified.</w:t>
      </w:r>
    </w:p>
    <w:bookmarkEnd w:id="26"/>
    <w:bookmarkStart w:id="27" w:name="actions-requested-of-the-client"/>
    <w:p>
      <w:pPr>
        <w:pStyle w:val="Heading2"/>
      </w:pPr>
      <w:r>
        <w:t xml:space="preserve">8. Actions requested of the client</w:t>
      </w:r>
    </w:p>
    <w:p>
      <w:pPr>
        <w:numPr>
          <w:ilvl w:val="0"/>
          <w:numId w:val="1004"/>
        </w:numPr>
        <w:pStyle w:val="Compact"/>
      </w:pPr>
      <w:r>
        <w:t xml:space="preserve">Response to the variation request of 2 May.</w:t>
      </w:r>
    </w:p>
    <w:p>
      <w:pPr>
        <w:numPr>
          <w:ilvl w:val="0"/>
          <w:numId w:val="1004"/>
        </w:numPr>
        <w:pStyle w:val="Compact"/>
      </w:pPr>
      <w:r>
        <w:t xml:space="preserve">Direction on bringing forward the remaining 15 batch vessels.</w:t>
      </w:r>
    </w:p>
    <w:p>
      <w:pPr>
        <w:numPr>
          <w:ilvl w:val="0"/>
          <w:numId w:val="1004"/>
        </w:numPr>
        <w:pStyle w:val="Compact"/>
      </w:pPr>
      <w:r>
        <w:t xml:space="preserve">Decision on schedule mitigation by 15 July.</w:t>
      </w:r>
    </w:p>
    <w:p>
      <w:pPr>
        <w:numPr>
          <w:ilvl w:val="0"/>
          <w:numId w:val="1004"/>
        </w:numPr>
        <w:pStyle w:val="Compact"/>
      </w:pPr>
      <w:r>
        <w:t xml:space="preserve">Confirmation of the status of the three unaccounted vessels.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report.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2026-09-22T18:38:14Z</dcterms:created>
  <dcterms:modified xsi:type="dcterms:W3CDTF">2026-09-22T18:38:14Z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