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0261bd7dd1913ada0237481029aee3dcf91039"/>
    <w:p>
      <w:pPr>
        <w:pStyle w:val="Heading1"/>
      </w:pPr>
      <w:r>
        <w:t xml:space="preserve">Document C — Technical Passage and Raw Notes</w:t>
      </w:r>
    </w:p>
    <w:p>
      <w:pPr>
        <w:pStyle w:val="FirstParagraph"/>
      </w:pPr>
      <w:r>
        <w:rPr>
          <w:iCs/>
          <w:i/>
        </w:rPr>
        <w:t xml:space="preserve">Exercise 2, Round 3 (Transform). Fictional. Meridian Technical Services.</w:t>
      </w:r>
    </w:p>
    <w:p>
      <w:r>
        <w:pict>
          <v:rect style="width:0;height:1.5pt" o:hralign="center" o:hrstd="t" o:hr="t"/>
        </w:pict>
      </w:r>
    </w:p>
    <w:bookmarkStart w:id="20" w:name="c1-technical-passage"/>
    <w:p>
      <w:pPr>
        <w:pStyle w:val="Heading2"/>
      </w:pPr>
      <w:r>
        <w:t xml:space="preserve">C1 — Technical passage</w:t>
      </w:r>
    </w:p>
    <w:p>
      <w:pPr>
        <w:pStyle w:val="BlockText"/>
      </w:pPr>
      <w:r>
        <w:t xml:space="preserve">Rewrite this twice: once for a general audience with no engineering background, and</w:t>
      </w:r>
      <w:r>
        <w:t xml:space="preserve"> </w:t>
      </w:r>
      <w:r>
        <w:t xml:space="preserve">once for a board audience in three sentences (schedule and cost implications only).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Extract from Examination Report HP-EX-0441, section 6.2 — Wall Thickness Findings</w:t>
      </w:r>
    </w:p>
    <w:p>
      <w:pPr>
        <w:pStyle w:val="BodyText"/>
      </w:pPr>
      <w:r>
        <w:t xml:space="preserve">Ultrasonic thickness measurement was performed at the lower circumferential weld of</w:t>
      </w:r>
      <w:r>
        <w:t xml:space="preserve"> </w:t>
      </w:r>
      <w:r>
        <w:t xml:space="preserve">vessels HP-A-118 and HP-A-141 using a 5 MHz dual-element probe on a 50 mm grid, with</w:t>
      </w:r>
      <w:r>
        <w:t xml:space="preserve"> </w:t>
      </w:r>
      <w:r>
        <w:t xml:space="preserve">supplementary readings at 25 mm spacing where the initial grid indicated local variation.</w:t>
      </w:r>
      <w:r>
        <w:t xml:space="preserve"> </w:t>
      </w:r>
      <w:r>
        <w:t xml:space="preserve">Couplant was applied throughout and surface preparation was to Sa 2½ where the existing</w:t>
      </w:r>
      <w:r>
        <w:t xml:space="preserve"> </w:t>
      </w:r>
      <w:r>
        <w:t xml:space="preserve">coating precluded direct contact.</w:t>
      </w:r>
    </w:p>
    <w:p>
      <w:pPr>
        <w:pStyle w:val="BodyText"/>
      </w:pPr>
      <w:r>
        <w:t xml:space="preserve">Nominal wall thickness at this location is 14.2 mm with a design minimum of 11.8 mm</w:t>
      </w:r>
      <w:r>
        <w:t xml:space="preserve"> </w:t>
      </w:r>
      <w:r>
        <w:t xml:space="preserve">established by the original design calculation and unchanged by the revised standard.</w:t>
      </w:r>
      <w:r>
        <w:t xml:space="preserve"> </w:t>
      </w:r>
      <w:r>
        <w:t xml:space="preserve">Measured values on HP-A-118 ranged from 10.4 mm to 13.9 mm across 46 grid points, with 7</w:t>
      </w:r>
      <w:r>
        <w:t xml:space="preserve"> </w:t>
      </w:r>
      <w:r>
        <w:t xml:space="preserve">points falling below the design minimum and a minimum recorded value of 10.4 mm at grid</w:t>
      </w:r>
      <w:r>
        <w:t xml:space="preserve"> </w:t>
      </w:r>
      <w:r>
        <w:t xml:space="preserve">reference D4. HP-A-141 exhibited a comparable distribution, with 5 points below the design</w:t>
      </w:r>
      <w:r>
        <w:t xml:space="preserve"> </w:t>
      </w:r>
      <w:r>
        <w:t xml:space="preserve">minimum and a minimum recorded value of 10.9 mm at grid reference C4.</w:t>
      </w:r>
    </w:p>
    <w:p>
      <w:pPr>
        <w:pStyle w:val="BodyText"/>
      </w:pPr>
      <w:r>
        <w:t xml:space="preserve">In both cases the sub-minimum readings cluster on the lower quadrant within 200 mm of the</w:t>
      </w:r>
      <w:r>
        <w:t xml:space="preserve"> </w:t>
      </w:r>
      <w:r>
        <w:t xml:space="preserve">weld toe, in a pattern consistent with preferential corrosion at a location of periodic</w:t>
      </w:r>
      <w:r>
        <w:t xml:space="preserve"> </w:t>
      </w:r>
      <w:r>
        <w:t xml:space="preserve">condensate retention rather than with a manufacturing deficiency. The morphology observed</w:t>
      </w:r>
      <w:r>
        <w:t xml:space="preserve"> </w:t>
      </w:r>
      <w:r>
        <w:t xml:space="preserve">on visual examination following coating removal supports this interpretation. The rate of</w:t>
      </w:r>
      <w:r>
        <w:t xml:space="preserve"> </w:t>
      </w:r>
      <w:r>
        <w:t xml:space="preserve">loss cannot be established from a single examination; the previous recorded examination of</w:t>
      </w:r>
      <w:r>
        <w:t xml:space="preserve"> </w:t>
      </w:r>
      <w:r>
        <w:t xml:space="preserve">either unit was in 2018 and the records for that examination consist of a scanned</w:t>
      </w:r>
      <w:r>
        <w:t xml:space="preserve"> </w:t>
      </w:r>
      <w:r>
        <w:t xml:space="preserve">handwritten summary without recorded measurement values.</w:t>
      </w:r>
    </w:p>
    <w:p>
      <w:pPr>
        <w:pStyle w:val="BodyText"/>
      </w:pPr>
      <w:r>
        <w:t xml:space="preserve">Both units have been reported under the immediate notification provisions of the contract</w:t>
      </w:r>
      <w:r>
        <w:t xml:space="preserve"> </w:t>
      </w:r>
      <w:r>
        <w:t xml:space="preserve">and removed from service pending client determination. Continued service at reduced</w:t>
      </w:r>
      <w:r>
        <w:t xml:space="preserve"> </w:t>
      </w:r>
      <w:r>
        <w:t xml:space="preserve">operating pressure may be technically supportable but is outside the scope of this report</w:t>
      </w:r>
      <w:r>
        <w:t xml:space="preserve"> </w:t>
      </w:r>
      <w:r>
        <w:t xml:space="preserve">and would require a fitness-for-service assessment to the applicable standard.</w:t>
      </w:r>
    </w:p>
    <w:p>
      <w:pPr>
        <w:pStyle w:val="BodyText"/>
      </w:pPr>
      <w:r>
        <w:t xml:space="preserve">Vessels HP-A-118 and HP-A-141 originate from manufacturing batch 1997-K, of which 21 units</w:t>
      </w:r>
      <w:r>
        <w:t xml:space="preserve"> </w:t>
      </w:r>
      <w:r>
        <w:t xml:space="preserve">are present in the examination population. Four further units from this batch have been</w:t>
      </w:r>
      <w:r>
        <w:t xml:space="preserve"> </w:t>
      </w:r>
      <w:r>
        <w:t xml:space="preserve">examined and cleared without adverse finding. The remaining 15 units have not yet been</w:t>
      </w:r>
      <w:r>
        <w:t xml:space="preserve"> </w:t>
      </w:r>
      <w:r>
        <w:t xml:space="preserve">examined.</w:t>
      </w:r>
    </w:p>
    <w:p>
      <w:r>
        <w:pict>
          <v:rect style="width:0;height:1.5pt" o:hralign="center" o:hrstd="t" o:hr="t"/>
        </w:pict>
      </w:r>
    </w:p>
    <w:bookmarkEnd w:id="20"/>
    <w:bookmarkStart w:id="21" w:name="c2-raw-notes"/>
    <w:p>
      <w:pPr>
        <w:pStyle w:val="Heading2"/>
      </w:pPr>
      <w:r>
        <w:t xml:space="preserve">C2 — Raw notes</w:t>
      </w:r>
    </w:p>
    <w:p>
      <w:pPr>
        <w:pStyle w:val="BlockText"/>
      </w:pPr>
      <w:r>
        <w:t xml:space="preserve">Turn these into a table with columns:</w:t>
      </w:r>
      <w:r>
        <w:t xml:space="preserve"> </w:t>
      </w:r>
      <w:r>
        <w:rPr>
          <w:bCs/>
          <w:b/>
        </w:rPr>
        <w:t xml:space="preserve">Item | Owner | Due | Status | Risk if it slips</w:t>
      </w:r>
    </w:p>
    <w:p>
      <w:pPr>
        <w:pStyle w:val="BlockText"/>
      </w:pPr>
      <w:r>
        <w:t xml:space="preserve">The notes do not contain all of that. Watch carefully what the model does with the gaps.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Programme office scratch notes — Tuesday catch-up</w:t>
      </w:r>
    </w:p>
    <w:p>
      <w:pPr>
        <w:numPr>
          <w:ilvl w:val="0"/>
          <w:numId w:val="1001"/>
        </w:numPr>
        <w:pStyle w:val="Compact"/>
      </w:pPr>
      <w:r>
        <w:t xml:space="preserve">variation request from 2 May still no answer. Chased twice. R. Vance chasing again this</w:t>
      </w:r>
      <w:r>
        <w:t xml:space="preserve"> </w:t>
      </w:r>
      <w:r>
        <w:t xml:space="preserve">week, wants an answer before the 15th</w:t>
      </w:r>
    </w:p>
    <w:p>
      <w:pPr>
        <w:numPr>
          <w:ilvl w:val="0"/>
          <w:numId w:val="1001"/>
        </w:numPr>
        <w:pStyle w:val="Compact"/>
      </w:pPr>
      <w:r>
        <w:t xml:space="preserve">batch 1997-K — 15 units outstanding. Need client direction on resequencing. Sam raised</w:t>
      </w:r>
      <w:r>
        <w:t xml:space="preserve"> </w:t>
      </w:r>
      <w:r>
        <w:t xml:space="preserve">it at the gate review, no response yet</w:t>
      </w:r>
    </w:p>
    <w:p>
      <w:pPr>
        <w:numPr>
          <w:ilvl w:val="0"/>
          <w:numId w:val="1001"/>
        </w:numPr>
        <w:pStyle w:val="Compact"/>
      </w:pPr>
      <w:r>
        <w:t xml:space="preserve">third team option dies on 15 July, mobilisation lead time. Decision needed before then,</w:t>
      </w:r>
      <w:r>
        <w:t xml:space="preserve"> </w:t>
      </w:r>
      <w:r>
        <w:t xml:space="preserve">no owner assigned to actually get the decision</w:t>
      </w:r>
    </w:p>
    <w:p>
      <w:pPr>
        <w:numPr>
          <w:ilvl w:val="0"/>
          <w:numId w:val="1001"/>
        </w:numPr>
        <w:pStyle w:val="Compact"/>
      </w:pPr>
      <w:r>
        <w:t xml:space="preserve">fatigue assessment for extended working — needs doing before we can even offer that</w:t>
      </w:r>
      <w:r>
        <w:t xml:space="preserve"> </w:t>
      </w:r>
      <w:r>
        <w:t xml:space="preserve">option. Priya said she’d look at it</w:t>
      </w:r>
    </w:p>
    <w:p>
      <w:pPr>
        <w:numPr>
          <w:ilvl w:val="0"/>
          <w:numId w:val="1001"/>
        </w:numPr>
        <w:pStyle w:val="Compact"/>
      </w:pPr>
      <w:r>
        <w:t xml:space="preserve">Site C mobilisation 8 July. Documentation reconciliation not started. Same problem as A</w:t>
      </w:r>
      <w:r>
        <w:t xml:space="preserve"> </w:t>
      </w:r>
      <w:r>
        <w:t xml:space="preserve">and B expected</w:t>
      </w:r>
    </w:p>
    <w:p>
      <w:pPr>
        <w:numPr>
          <w:ilvl w:val="0"/>
          <w:numId w:val="1001"/>
        </w:numPr>
        <w:pStyle w:val="Compact"/>
      </w:pPr>
      <w:r>
        <w:t xml:space="preserve">three unaccounted vessels — client has not come back. Been six weeks</w:t>
      </w:r>
    </w:p>
    <w:p>
      <w:pPr>
        <w:numPr>
          <w:ilvl w:val="0"/>
          <w:numId w:val="1001"/>
        </w:numPr>
        <w:pStyle w:val="Compact"/>
      </w:pPr>
      <w:r>
        <w:t xml:space="preserve">lead examiner for the batch work is single point of failure. Nobody has looked at cover.</w:t>
      </w:r>
      <w:r>
        <w:t xml:space="preserve"> </w:t>
      </w:r>
      <w:r>
        <w:t xml:space="preserve">Discussed three times now</w:t>
      </w:r>
    </w:p>
    <w:p>
      <w:pPr>
        <w:numPr>
          <w:ilvl w:val="0"/>
          <w:numId w:val="1001"/>
        </w:numPr>
        <w:pStyle w:val="Compact"/>
      </w:pPr>
      <w:r>
        <w:t xml:space="preserve">invoicing current, nothing to do</w:t>
      </w:r>
    </w:p>
    <w:p>
      <w:pPr>
        <w:numPr>
          <w:ilvl w:val="0"/>
          <w:numId w:val="1001"/>
        </w:numPr>
        <w:pStyle w:val="Compact"/>
      </w:pPr>
      <w:r>
        <w:t xml:space="preserve">gate review actions both closed, confirmed Friday</w:t>
      </w:r>
    </w:p>
    <w:p>
      <w:pPr>
        <w:numPr>
          <w:ilvl w:val="0"/>
          <w:numId w:val="1001"/>
        </w:numPr>
        <w:pStyle w:val="Compact"/>
      </w:pPr>
      <w:r>
        <w:t xml:space="preserve">someone needs to update the risk register with the batch issue, it’s still showing as</w:t>
      </w:r>
      <w:r>
        <w:t xml:space="preserve"> </w:t>
      </w:r>
      <w:r>
        <w:t xml:space="preserve">medium impact from before we found 118 and 141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2026-09-22T18:38:14Z</dcterms:created>
  <dcterms:modified xsi:type="dcterms:W3CDTF">2026-09-22T18:38:14Z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