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xercise-3-source-packet"/>
    <w:p>
      <w:pPr>
        <w:pStyle w:val="Heading1"/>
      </w:pPr>
      <w:r>
        <w:t xml:space="preserve">Exercise 3 — Source Packet</w:t>
      </w:r>
    </w:p>
    <w:p>
      <w:pPr>
        <w:pStyle w:val="FirstParagraph"/>
      </w:pPr>
      <w:r>
        <w:rPr>
          <w:iCs/>
          <w:i/>
        </w:rPr>
        <w:t xml:space="preserve">Everything the assistant was given. Check the outputs against this — and only this.</w:t>
      </w:r>
    </w:p>
    <w:p>
      <w:pPr>
        <w:pStyle w:val="BodyText"/>
      </w:pPr>
      <w:r>
        <w:rPr>
          <w:iCs/>
          <w:i/>
        </w:rPr>
        <w:t xml:space="preserve">Fictional. Meridian Technical Services.</w:t>
      </w:r>
    </w:p>
    <w:p>
      <w:r>
        <w:pict>
          <v:rect style="width:0;height:1.5pt" o:hralign="center" o:hrstd="t" o:hr="t"/>
        </w:pict>
      </w:r>
    </w:p>
    <w:bookmarkStart w:id="20" w:name="Xababece6b529a346eba91b985a05381bd69f2bb"/>
    <w:p>
      <w:pPr>
        <w:pStyle w:val="Heading2"/>
      </w:pPr>
      <w:r>
        <w:t xml:space="preserve">S1 — Standards and procedure register (extract)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MTS-PR-112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Examination Planning and Sequencing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MTS-PR-114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Thickness Findings Below Design Minimum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MTS-PR-114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Thickness Findings Below Design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MTS-PR-118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Notification to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MTS-PR-121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Issue and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MTS-PR-130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Fitness-for-Service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2025-04</w:t>
            </w:r>
          </w:p>
        </w:tc>
      </w:tr>
    </w:tbl>
    <w:p>
      <w:pPr>
        <w:pStyle w:val="BodyText"/>
      </w:pPr>
      <w:r>
        <w:rPr>
          <w:iCs/>
          <w:i/>
        </w:rPr>
        <w:t xml:space="preserve">No other revisions of any of the above are in issue.</w:t>
      </w:r>
    </w:p>
    <w:p>
      <w:r>
        <w:pict>
          <v:rect style="width:0;height:1.5pt" o:hralign="center" o:hrstd="t" o:hr="t"/>
        </w:pict>
      </w:r>
    </w:p>
    <w:bookmarkEnd w:id="20"/>
    <w:bookmarkStart w:id="21" w:name="X4aec34a1ad471aeec5b7755209611a051dfd673"/>
    <w:p>
      <w:pPr>
        <w:pStyle w:val="Heading2"/>
      </w:pPr>
      <w:r>
        <w:t xml:space="preserve">S2 — MTS-PR-114 Rev B, clause 7.4 (verbatim extract)</w:t>
      </w:r>
    </w:p>
    <w:p>
      <w:pPr>
        <w:pStyle w:val="BlockText"/>
      </w:pPr>
      <w:r>
        <w:rPr>
          <w:bCs/>
          <w:b/>
        </w:rPr>
        <w:t xml:space="preserve">7.4 — Vessels exhibiting readings below design minimum</w:t>
      </w:r>
    </w:p>
    <w:p>
      <w:pPr>
        <w:pStyle w:val="BlockText"/>
      </w:pPr>
      <w:r>
        <w:t xml:space="preserve">Where examination identifies any measured value below the established design minimum,</w:t>
      </w:r>
      <w:r>
        <w:t xml:space="preserve"> </w:t>
      </w:r>
      <w:r>
        <w:t xml:space="preserve">the vessel</w:t>
      </w:r>
      <w:r>
        <w:t xml:space="preserve"> </w:t>
      </w:r>
      <w:r>
        <w:rPr>
          <w:bCs/>
          <w:b/>
        </w:rPr>
        <w:t xml:space="preserve">shall not be returned to service</w:t>
      </w:r>
      <w:r>
        <w:t xml:space="preserve"> </w:t>
      </w:r>
      <w:r>
        <w:t xml:space="preserve">on the basis of a shortened</w:t>
      </w:r>
      <w:r>
        <w:t xml:space="preserve"> </w:t>
      </w:r>
      <w:r>
        <w:t xml:space="preserve">re-examination interval, at full or reduced operating pressure.</w:t>
      </w:r>
    </w:p>
    <w:p>
      <w:pPr>
        <w:pStyle w:val="BlockText"/>
      </w:pPr>
      <w:r>
        <w:t xml:space="preserve">Return to service shall require, in sequence:</w:t>
      </w:r>
    </w:p>
    <w:p>
      <w:pPr>
        <w:numPr>
          <w:ilvl w:val="0"/>
          <w:numId w:val="1001"/>
        </w:numPr>
        <w:pStyle w:val="Compact"/>
      </w:pPr>
      <w:r>
        <w:t xml:space="preserve">a fitness-for-service assessment carried out to MTS-PR-130;</w:t>
      </w:r>
    </w:p>
    <w:p>
      <w:pPr>
        <w:numPr>
          <w:ilvl w:val="0"/>
          <w:numId w:val="1001"/>
        </w:numPr>
        <w:pStyle w:val="Compact"/>
      </w:pPr>
      <w:r>
        <w:t xml:space="preserve">written authorisation by the designated Technical Authority; and</w:t>
      </w:r>
    </w:p>
    <w:p>
      <w:pPr>
        <w:numPr>
          <w:ilvl w:val="0"/>
          <w:numId w:val="1001"/>
        </w:numPr>
        <w:pStyle w:val="Compact"/>
      </w:pPr>
      <w:r>
        <w:t xml:space="preserve">entry of both (a) and (b) in the vessel record before service resumes.</w:t>
      </w:r>
    </w:p>
    <w:p>
      <w:pPr>
        <w:pStyle w:val="BlockText"/>
      </w:pPr>
      <w:r>
        <w:t xml:space="preserve">This clause departs from common industry practice, which permits return to service under</w:t>
      </w:r>
      <w:r>
        <w:t xml:space="preserve"> </w:t>
      </w:r>
      <w:r>
        <w:t xml:space="preserve">a shortened interval in defined circumstances.</w:t>
      </w:r>
      <w:r>
        <w:t xml:space="preserve"> </w:t>
      </w:r>
      <w:r>
        <w:rPr>
          <w:bCs/>
          <w:b/>
        </w:rPr>
        <w:t xml:space="preserve">The departure is deliberate.</w:t>
      </w:r>
      <w:r>
        <w:t xml:space="preserve"> </w:t>
      </w:r>
      <w:r>
        <w:t xml:space="preserve">Rev A of</w:t>
      </w:r>
      <w:r>
        <w:t xml:space="preserve"> </w:t>
      </w:r>
      <w:r>
        <w:t xml:space="preserve">this procedure permitted the shortened-interval route; that provision was withdrawn in</w:t>
      </w:r>
      <w:r>
        <w:t xml:space="preserve"> </w:t>
      </w:r>
      <w:r>
        <w:t xml:space="preserve">2025 following internal review.</w:t>
      </w:r>
    </w:p>
    <w:p>
      <w:r>
        <w:pict>
          <v:rect style="width:0;height:1.5pt" o:hralign="center" o:hrstd="t" o:hr="t"/>
        </w:pict>
      </w:r>
    </w:p>
    <w:bookmarkEnd w:id="21"/>
    <w:bookmarkStart w:id="22" w:name="X110263f3bb96c50abf40766ace81a105e51b4bd"/>
    <w:p>
      <w:pPr>
        <w:pStyle w:val="Heading2"/>
      </w:pPr>
      <w:r>
        <w:t xml:space="preserve">S3 — Examination programme figures (as at end of period)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Vessels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Vessels examined to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 to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Cleared without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remediation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 allowable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Examination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 per week, 2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reconciliation hours beyond tender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of unrecovered reconciliation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~£41,000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at completion if variation refused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~12% (from 18%)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Variation request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May —</w:t>
            </w:r>
            <w:r>
              <w:t xml:space="preserve"> </w:t>
            </w:r>
            <w:r>
              <w:rPr>
                <w:bCs/>
                <w:b/>
              </w:rPr>
              <w:t xml:space="preserve">unanswered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Invoices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paid within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 unaccounted vessels — client query raised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Unanswered, 6 weeks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76c84704cf8cfaef37972154ad9d6a24b5c97d1"/>
    <w:p>
      <w:pPr>
        <w:pStyle w:val="Heading2"/>
      </w:pPr>
      <w:r>
        <w:t xml:space="preserve">S4 — Examination findings, HP-A-118 and HP-A-141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HP-A-118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HP-A-141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 wall thickness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 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 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Grid points 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Points below design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recorded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10.4 mm</w:t>
            </w:r>
            <w:r>
              <w:t xml:space="preserve"> </w:t>
            </w:r>
            <w:r>
              <w:t xml:space="preserve">(grid D4)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10.9 mm</w:t>
            </w:r>
            <w:r>
              <w:t xml:space="preserve"> </w:t>
            </w:r>
            <w:r>
              <w:t xml:space="preserve">(grid C4)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1997-K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1997-K</w:t>
            </w:r>
          </w:p>
        </w:tc>
      </w:tr>
    </w:tbl>
    <w:p>
      <w:pPr>
        <w:pStyle w:val="BodyText"/>
      </w:pPr>
      <w:r>
        <w:rPr>
          <w:bCs/>
          <w:b/>
        </w:rPr>
        <w:t xml:space="preserve">Batch 1997-K:</w:t>
      </w:r>
      <w:r>
        <w:t xml:space="preserve"> </w:t>
      </w:r>
      <w:r>
        <w:t xml:space="preserve">21 units in the examination population. 2 found below limit. 4 examined</w:t>
      </w:r>
      <w:r>
        <w:t xml:space="preserve"> </w:t>
      </w:r>
      <w:r>
        <w:t xml:space="preserve">and cleared.</w:t>
      </w:r>
      <w:r>
        <w:t xml:space="preserve"> </w:t>
      </w:r>
      <w:r>
        <w:rPr>
          <w:bCs/>
          <w:b/>
        </w:rPr>
        <w:t xml:space="preserve">15 not yet examined.</w:t>
      </w:r>
    </w:p>
    <w:p>
      <w:pPr>
        <w:pStyle w:val="BodyText"/>
      </w:pPr>
      <w:r>
        <w:rPr>
          <w:bCs/>
          <w:b/>
        </w:rPr>
        <w:t xml:space="preserve">Rate of loss:</w:t>
      </w:r>
      <w:r>
        <w:t xml:space="preserve"> </w:t>
      </w:r>
      <w:r>
        <w:t xml:space="preserve">cannot be established from a single examination. The previous recorded</w:t>
      </w:r>
      <w:r>
        <w:t xml:space="preserve"> </w:t>
      </w:r>
      <w:r>
        <w:t xml:space="preserve">examination of either unit was in 2018 and consists of a scanned handwritten summary</w:t>
      </w:r>
      <w:r>
        <w:t xml:space="preserve"> </w:t>
      </w:r>
      <w:r>
        <w:rPr>
          <w:bCs/>
          <w:b/>
        </w:rPr>
        <w:t xml:space="preserve">without recorded measurement values.</w:t>
      </w:r>
    </w:p>
    <w:p>
      <w:pPr>
        <w:pStyle w:val="BodyText"/>
      </w:pPr>
      <w:r>
        <w:rPr>
          <w:bCs/>
          <w:b/>
        </w:rPr>
        <w:t xml:space="preserve">Resequencing of the remaining 15 units:</w:t>
      </w:r>
      <w:r>
        <w:t xml:space="preserve"> </w:t>
      </w:r>
      <w:r>
        <w:t xml:space="preserve">requested of the client.</w:t>
      </w:r>
      <w:r>
        <w:t xml:space="preserve"> </w:t>
      </w:r>
      <w:r>
        <w:rPr>
          <w:bCs/>
          <w:b/>
        </w:rPr>
        <w:t xml:space="preserve">No direction</w:t>
      </w:r>
      <w:r>
        <w:rPr>
          <w:bCs/>
          <w:b/>
        </w:rPr>
        <w:t xml:space="preserve"> </w:t>
      </w:r>
      <w:r>
        <w:rPr>
          <w:bCs/>
          <w:b/>
        </w:rPr>
        <w:t xml:space="preserve">received.</w:t>
      </w:r>
    </w:p>
    <w:p>
      <w:r>
        <w:pict>
          <v:rect style="width:0;height:1.5pt" o:hralign="center" o:hrstd="t" o:hr="t"/>
        </w:pict>
      </w:r>
    </w:p>
    <w:bookmarkEnd w:id="23"/>
    <w:bookmarkStart w:id="24" w:name="X638a8fcb3b3cdf582513d621692569ecb1aaf52"/>
    <w:p>
      <w:pPr>
        <w:pStyle w:val="Heading2"/>
      </w:pPr>
      <w:r>
        <w:t xml:space="preserve">S5 — Policy statement 4.3 (verbatim, complete)</w:t>
      </w:r>
    </w:p>
    <w:p>
      <w:pPr>
        <w:pStyle w:val="BlockText"/>
      </w:pPr>
      <w:r>
        <w:rPr>
          <w:bCs/>
          <w:b/>
        </w:rPr>
        <w:t xml:space="preserve">4.3 — Independence of examination and assessment</w:t>
      </w:r>
    </w:p>
    <w:p>
      <w:pPr>
        <w:pStyle w:val="BlockText"/>
      </w:pPr>
      <w:r>
        <w:t xml:space="preserve">Meridian Technical Services maintains a separation between the personnel who carry out</w:t>
      </w:r>
      <w:r>
        <w:t xml:space="preserve"> </w:t>
      </w:r>
      <w:r>
        <w:t xml:space="preserve">examination and those who determine fitness for service. This separation exists to</w:t>
      </w:r>
      <w:r>
        <w:t xml:space="preserve"> </w:t>
      </w:r>
      <w:r>
        <w:t xml:space="preserve">ensure that the determination is not influenced by the commercial or schedule position</w:t>
      </w:r>
      <w:r>
        <w:t xml:space="preserve"> </w:t>
      </w:r>
      <w:r>
        <w:t xml:space="preserve">of the examination activity. It applies to all engagements irrespective of client</w:t>
      </w:r>
      <w:r>
        <w:t xml:space="preserve"> </w:t>
      </w:r>
      <w:r>
        <w:t xml:space="preserve">preference, and is not subject to waiver at engagement level. Where a client requests a</w:t>
      </w:r>
      <w:r>
        <w:t xml:space="preserve"> </w:t>
      </w:r>
      <w:r>
        <w:t xml:space="preserve">combined arrangement, the request is declined and the reason recorded.</w:t>
      </w:r>
    </w:p>
    <w:p>
      <w:pPr>
        <w:pStyle w:val="FirstParagraph"/>
      </w:pPr>
      <w:r>
        <w:rPr>
          <w:iCs/>
          <w:i/>
        </w:rPr>
        <w:t xml:space="preserve">This is the complete text of policy statement 4.3. There is no further text and no</w:t>
      </w:r>
      <w:r>
        <w:rPr>
          <w:iCs/>
          <w:i/>
        </w:rPr>
        <w:t xml:space="preserve"> </w:t>
      </w:r>
      <w:r>
        <w:rPr>
          <w:iCs/>
          <w:i/>
        </w:rPr>
        <w:t xml:space="preserve">associated procedure.</w:t>
      </w:r>
    </w:p>
    <w:p>
      <w:r>
        <w:pict>
          <v:rect style="width:0;height:1.5pt" o:hralign="center" o:hrstd="t" o:hr="t"/>
        </w:pict>
      </w:r>
    </w:p>
    <w:bookmarkEnd w:id="24"/>
    <w:bookmarkStart w:id="25" w:name="X3d9d837c507cde5b078b57c16dcef5fef5c28e1"/>
    <w:p>
      <w:pPr>
        <w:pStyle w:val="Heading2"/>
      </w:pPr>
      <w:r>
        <w:t xml:space="preserve">S6 — Staff survey (summary of the 40 comments)</w:t>
      </w:r>
    </w:p>
    <w:p>
      <w:pPr>
        <w:pStyle w:val="FirstParagraph"/>
      </w:pPr>
      <w:r>
        <w:t xml:space="preserve">The full 40 comments are Document B from Exercise 2. Relevant characteristics: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7 comments</w:t>
      </w:r>
      <w:r>
        <w:t xml:space="preserve"> </w:t>
      </w:r>
      <w:r>
        <w:t xml:space="preserve">are explicitly positive about the process itself</w:t>
      </w:r>
    </w:p>
    <w:p>
      <w:pPr>
        <w:numPr>
          <w:ilvl w:val="0"/>
          <w:numId w:val="1002"/>
        </w:numPr>
        <w:pStyle w:val="Compact"/>
      </w:pPr>
      <w:r>
        <w:t xml:space="preserve">Complaints concentrate on</w:t>
      </w:r>
      <w:r>
        <w:t xml:space="preserve"> </w:t>
      </w:r>
      <w:r>
        <w:rPr>
          <w:bCs/>
          <w:b/>
        </w:rPr>
        <w:t xml:space="preserve">implementation</w:t>
      </w:r>
      <w:r>
        <w:t xml:space="preserve">: the application, duplication with existing</w:t>
      </w:r>
      <w:r>
        <w:t xml:space="preserve"> </w:t>
      </w:r>
      <w:r>
        <w:t xml:space="preserve">paperwork, inadequate training, connectivity</w:t>
      </w:r>
    </w:p>
    <w:p>
      <w:pPr>
        <w:numPr>
          <w:ilvl w:val="0"/>
          <w:numId w:val="1002"/>
        </w:numPr>
        <w:pStyle w:val="Compact"/>
      </w:pPr>
      <w:r>
        <w:t xml:space="preserve">Several critics state that the</w:t>
      </w:r>
      <w:r>
        <w:t xml:space="preserve"> </w:t>
      </w:r>
      <w:r>
        <w:rPr>
          <w:bCs/>
          <w:b/>
        </w:rPr>
        <w:t xml:space="preserve">process is sound and the software is not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comment requests that the briefing be withdrawn</w:t>
      </w:r>
    </w:p>
    <w:p>
      <w:pPr>
        <w:numPr>
          <w:ilvl w:val="0"/>
          <w:numId w:val="1002"/>
        </w:numPr>
        <w:pStyle w:val="Compact"/>
      </w:pPr>
      <w:r>
        <w:t xml:space="preserve">Roughly</w:t>
      </w:r>
      <w:r>
        <w:t xml:space="preserve"> </w:t>
      </w:r>
      <w:r>
        <w:rPr>
          <w:bCs/>
          <w:b/>
        </w:rPr>
        <w:t xml:space="preserve">24</w:t>
      </w:r>
      <w:r>
        <w:t xml:space="preserve"> </w:t>
      </w:r>
      <w:r>
        <w:t xml:space="preserve">comments are wholly negative in tone; the remainder are positive, mixed,</w:t>
      </w:r>
      <w:r>
        <w:t xml:space="preserve"> </w:t>
      </w:r>
      <w:r>
        <w:t xml:space="preserve">or neutral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source packet.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2026-09-22T18:38:14Z</dcterms:created>
  <dcterms:modified xsi:type="dcterms:W3CDTF">2026-09-22T18:38:14Z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