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p14">
  <w:body>
    <w:p w14:paraId="4DBF9816">
      <w:pPr>
        <w:pStyle w:val="8"/>
        <w:ind w:left="360" w:firstLine="0" w:firstLineChars="0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工程师学院专业学位研究生学位论文修改说明表</w:t>
      </w:r>
    </w:p>
    <w:tbl>
      <w:tblPr>
        <w:tblStyle w:val="4"/>
        <w:tblW w:w="0" w:type="auto"/>
        <w:tblInd w:w="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83"/>
        <w:gridCol w:w="567"/>
        <w:gridCol w:w="1985"/>
        <w:gridCol w:w="567"/>
        <w:gridCol w:w="1276"/>
        <w:gridCol w:w="2885"/>
      </w:tblGrid>
      <w:tr w14:paraId="646743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4F9C77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姓名</w:t>
            </w:r>
          </w:p>
        </w:tc>
        <w:tc>
          <w:tcPr>
            <w:tcW w:w="311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龙泳江</w:t>
            </w:r>
          </w:p>
        </w:tc>
        <w:tc>
          <w:tcPr>
            <w:tcW w:w="1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4AE74FD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学号</w:t>
            </w:r>
          </w:p>
        </w:tc>
        <w:tc>
          <w:tcPr>
            <w:tcW w:w="2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22360325</w:t>
            </w:r>
          </w:p>
        </w:tc>
      </w:tr>
      <w:tr w14:paraId="1F0209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59B3A58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导师</w:t>
            </w:r>
          </w:p>
        </w:tc>
        <w:tc>
          <w:tcPr>
            <w:tcW w:w="311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苏中根</w:t>
            </w:r>
          </w:p>
        </w:tc>
        <w:tc>
          <w:tcPr>
            <w:tcW w:w="1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86691A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专业</w:t>
            </w:r>
          </w:p>
        </w:tc>
        <w:tc>
          <w:tcPr>
            <w:tcW w:w="28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电子信息（大数据技术与工程）</w:t>
            </w:r>
          </w:p>
        </w:tc>
      </w:tr>
      <w:tr w14:paraId="014A6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001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9B6054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申请授予学位的时间</w:t>
            </w:r>
          </w:p>
        </w:tc>
        <w:tc>
          <w:tcPr>
            <w:tcW w:w="416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2026年9月</w:t>
            </w:r>
          </w:p>
        </w:tc>
      </w:tr>
      <w:tr w14:paraId="0C812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9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2B66C4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论文题目</w:t>
            </w:r>
          </w:p>
        </w:tc>
        <w:tc>
          <w:tcPr>
            <w:tcW w:w="6713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基于机器学习的固态硬盘故障预测与寿命提升方法研究</w:t>
            </w:r>
          </w:p>
        </w:tc>
      </w:tr>
      <w:tr w14:paraId="112B3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9D0B6F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评阅意见</w:t>
            </w:r>
          </w:p>
        </w:tc>
        <w:tc>
          <w:tcPr>
            <w:tcW w:w="7563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说明：本表先填列已完成修改所对应的评阅意见。评阅意见书编号为 979656974、979656977、979656981。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一、专家1（意见书 979656974，总体评价 B，同意修改后直接答辩）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3. 第三章主要采用阿里云公开数据集中的MB1和MB2进行验证，两个子集来源和采集环境相近，不足以证明方法具有跨数据中心、跨厂商和跨硬件型号的泛化能力。建议补充其他公开数据集或不同硬件平台上的实验，否则应弱化方法通用性和工程适用性的相关结论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4. 论文根据三轮实验结果选择最优参数 (W) 和 (k)，但未清楚说明在该过程训练集和测试集的区分方法，实验条件介绍不清晰，建议仅使用训练集和验证集完成超参数及阈值选择，测试集只用于最终评价。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二、专家2（意见书 979656977，总体评价 B，同意答辩）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写作方面：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（2）摘要中，针对故障预测部分的介绍仅提及“实现了对故障盘的精准、及时检出”，感觉不够完整；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（3）摘要中针对软件部分提到“并通过功能测试验证了其从理论模型到实际运维流程的转化能力”，该表述建议斟酌其合理性；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（4）建议加强论文中方法在具体应用场景中的“代价”分析，即评估论文的方法是否会带来新的负面效果；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（9）第6.2节第四部分中提到“未来可引入LLM等可解释性机器学习方法，为运维人员提供更具操作性的故障归因分析”，然而LLM是否具备可解释性尚存争议，建议重新斟酌该表述；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（10）是否可补充论文方法的推广适用范围？以增强论文的实用性说明。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三、专家3（意见书 979656981，总体评价 A，同意答辩）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（2）第27页有些字母的字体不一致，最好统一字母及数字的字体；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（3）公式（3-7）的示性函数，可以考虑替换为sgn符号函数，是否更具广泛性？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4）由于本文方法具有较强工程价值，可以考虑极限仿真测试（放在6.2节阐述即可）——比如坏块、弱块的更多可能情况，是否可以通过好的SSD仿真植入特定坏块或弱块的设置，这样能全面考察算法的误报及漏报情况。</w:t>
            </w:r>
          </w:p>
        </w:tc>
      </w:tr>
      <w:tr w14:paraId="05FF1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ECD717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修改说明</w:t>
            </w:r>
          </w:p>
        </w:tc>
        <w:tc>
          <w:tcPr>
            <w:tcW w:w="7563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说明：以下仅针对上栏已摘录、且已在现行稿中落地的条目逐条说明。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一、对应专家1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3. 未补充其他公开数据集或不同硬件平台实验。已在第三章“适用边界与后续方向”写明：本章结论主要建立在阿里云公开的两种 MLC-SSD 子集上，跨厂商、跨工艺的泛化尚未验证。第六章展望将跨硬件平台泛化列为后续工作，据此弱化了方法通用性与工程适用性方面的表述。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4. 已在第三章实验协议中明确：超参数 (W,k) 与分类阈值仅依据各轮验证月的盘级 F0.5 选取，测试月不参与任何超参或阈值选择，仅用于最终评价。按该协议重选后，MB1 主配置为 W=1、k=2，测试集盘级 F0.5 为 0.919；MB2 主配置为 W=2、k=2。中英文摘要中的相应数字已同步。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二、对应专家2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（2）摘要故障预测部分已改为报告 MB1、MB2 的盘级 F0.5，分别为 0.919 与 0.490，并说明 MB1 与最强基线并列最优，同时具有更低误报与更高精确率，能够对故障盘给出有效检出。英文摘要已同步修改。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（3）已删除“从理论模型到实际运维流程的转化能力”这一表述。摘要改为“通过功能测试覆盖采集—推理—预警处置链路”；第六章相应段落已同步。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（4）已在第三章“适用边界与后续方向”补充应用代价分析：方法优先压低误报，相应代价是漏报上升，以及告警时刻更靠近故障日。文中给出 MB1 的 FPR 为 2.71×10^−5、Precision 为 0.981，MB2 在严控误报下 TPR 约 0.19，已检出故障盘的提前量中位数为 1 天。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（9）已删除将 LLM 作为可解释性方法的表述。第 6.2 节改为：后续可结合树模型特征重要性、注意力融合权重与基于规则的归因方法，定位对预警贡献较大的 SMART 属性与突变通道，便于运维人员核对告警依据。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（10）已补充方法的适用边界与部署口径。第三章写明适用数据范围为阿里云公开的两种 MLC-SSD 子集；在该范围内部署时，需在误报、漏报与近端告警窗口之间取舍。QLC/PLC 及跨硬件情形列入第六章后续工作。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三、对应专家3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（2）已去掉正文与附录中的等宽字体标记，字段名改与正文一致的罗马字体，以统一字母及数字的字体。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（3）公式（3-7）中统计跳变频率的示性函数已替换为符号函数 sgn，并在式后给出 sgn(·) 的定义。</w:t>
            </w:r>
          </w:p>
          <w:p>
            <w:pPr>
              <w:pStyle w:val="8"/>
              <w:ind w:firstLine="0" w:firstLineChars="0"/>
              <w:jc w:val="both"/>
              <w:rPr>
                <w:rFonts w:ascii="仿宋" w:hAnsi="仿宋" w:eastAsia="仿宋"/>
                <w:sz w:val="24"/>
                <w:szCs w:val="24"/>
              </w:rPr>
            </w:pPr>
            <w:r>
              <w:rPr>
                <w:rFonts w:hint="eastAsia" w:ascii="仿宋" w:hAnsi="仿宋" w:eastAsia="仿宋"/>
                <w:sz w:val="24"/>
                <w:szCs w:val="24"/>
              </w:rPr>
              <w:t>（4）已按专家意见放在第 6.2 节阐述。展望第五点补充：后续可在健康 SSD 上仿真植入特定坏块或弱块，系统考察相关算法在更多情形下的误报与漏报表现。</w:t>
            </w:r>
          </w:p>
        </w:tc>
      </w:tr>
      <w:tr w14:paraId="15C24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84B3D0">
            <w:pPr>
              <w:pStyle w:val="8"/>
              <w:ind w:firstLine="0" w:firstLineChars="0"/>
              <w:jc w:val="center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导师意见</w:t>
            </w:r>
          </w:p>
        </w:tc>
        <w:tc>
          <w:tcPr>
            <w:tcW w:w="28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AF271F">
            <w:pPr>
              <w:pStyle w:val="8"/>
              <w:spacing w:line="440" w:lineRule="exact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是否对所有评阅意见进行了合理性修改？</w:t>
            </w:r>
          </w:p>
        </w:tc>
        <w:tc>
          <w:tcPr>
            <w:tcW w:w="47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D891B2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</w:p>
        </w:tc>
      </w:tr>
      <w:tr w14:paraId="2C59C6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157B53">
            <w:pPr>
              <w:widowControl/>
              <w:jc w:val="left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28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9C85971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论文修改是否完善？</w:t>
            </w:r>
          </w:p>
        </w:tc>
        <w:tc>
          <w:tcPr>
            <w:tcW w:w="47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6E8CBD9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</w:p>
        </w:tc>
      </w:tr>
      <w:tr w14:paraId="11A38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23A1F3">
            <w:pPr>
              <w:widowControl/>
              <w:jc w:val="left"/>
              <w:rPr>
                <w:rFonts w:ascii="仿宋" w:hAnsi="仿宋" w:eastAsia="仿宋"/>
                <w:sz w:val="28"/>
                <w:szCs w:val="28"/>
              </w:rPr>
            </w:pPr>
          </w:p>
        </w:tc>
        <w:tc>
          <w:tcPr>
            <w:tcW w:w="7563" w:type="dxa"/>
            <w:gridSpan w:val="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0E35B52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</w:p>
          <w:p w14:paraId="07925AF6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</w:p>
          <w:p w14:paraId="07C1BAD6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hint="eastAsia" w:ascii="仿宋" w:hAnsi="仿宋" w:eastAsia="仿宋"/>
                <w:sz w:val="28"/>
                <w:szCs w:val="28"/>
              </w:rPr>
              <w:t>导师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签名：</w:t>
            </w:r>
          </w:p>
          <w:p w14:paraId="170A67C3">
            <w:pPr>
              <w:pStyle w:val="8"/>
              <w:ind w:firstLine="0" w:firstLineChars="0"/>
              <w:rPr>
                <w:rFonts w:ascii="仿宋" w:hAnsi="仿宋" w:eastAsia="仿宋"/>
                <w:sz w:val="28"/>
                <w:szCs w:val="28"/>
              </w:rPr>
            </w:pPr>
            <w:r>
              <w:rPr>
                <w:rFonts w:ascii="仿宋" w:hAnsi="仿宋" w:eastAsia="仿宋"/>
                <w:sz w:val="28"/>
                <w:szCs w:val="28"/>
              </w:rPr>
              <w:t xml:space="preserve">                            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 xml:space="preserve">    年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月</w:t>
            </w:r>
            <w:r>
              <w:rPr>
                <w:rFonts w:ascii="仿宋" w:hAnsi="仿宋" w:eastAsia="仿宋"/>
                <w:sz w:val="28"/>
                <w:szCs w:val="28"/>
              </w:rPr>
              <w:t xml:space="preserve">   </w:t>
            </w:r>
            <w:r>
              <w:rPr>
                <w:rFonts w:hint="eastAsia" w:ascii="仿宋" w:hAnsi="仿宋" w:eastAsia="仿宋"/>
                <w:sz w:val="28"/>
                <w:szCs w:val="28"/>
              </w:rPr>
              <w:t>日</w:t>
            </w:r>
          </w:p>
        </w:tc>
      </w:tr>
    </w:tbl>
    <w:p w14:paraId="6C2B7A33">
      <w:pPr>
        <w:spacing w:line="440" w:lineRule="exact"/>
        <w:ind w:firstLine="280" w:firstLineChars="100"/>
        <w:rPr>
          <w:rFonts w:hint="eastAsia" w:ascii="仿宋" w:hAnsi="仿宋" w:eastAsia="仿宋"/>
          <w:sz w:val="28"/>
          <w:szCs w:val="28"/>
          <w:lang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GE2YzQ4YjQ2OTkxNTgwM2Y0NGEyMjUwNzgzZDVjZTMifQ=="/>
  </w:docVars>
  <w:rsids>
    <w:rsidRoot w:val="00605BA8"/>
    <w:rsid w:val="002A2665"/>
    <w:rsid w:val="005D24F5"/>
    <w:rsid w:val="00605BA8"/>
    <w:rsid w:val="007C3431"/>
    <w:rsid w:val="009777F7"/>
    <w:rsid w:val="009C6ADA"/>
    <w:rsid w:val="009D2FC3"/>
    <w:rsid w:val="00C8592F"/>
    <w:rsid w:val="00F110D4"/>
    <w:rsid w:val="776E7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3">
    <w:name w:val="header"/>
    <w:basedOn w:val="1"/>
    <w:link w:val="6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6">
    <w:name w:val="页眉 Char"/>
    <w:basedOn w:val="5"/>
    <w:link w:val="3"/>
    <w:uiPriority w:val="99"/>
    <w:rPr>
      <w:sz w:val="18"/>
      <w:szCs w:val="18"/>
    </w:rPr>
  </w:style>
  <w:style w:type="character" w:customStyle="1" w:styleId="7">
    <w:name w:val="页脚 Char"/>
    <w:basedOn w:val="5"/>
    <w:link w:val="2"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191</Words>
  <Characters>191</Characters>
  <Lines>1</Lines>
  <Paragraphs>1</Paragraphs>
  <TotalTime>0</TotalTime>
  <ScaleCrop>false</ScaleCrop>
  <LinksUpToDate>false</LinksUpToDate>
  <CharactersWithSpaces>233</CharactersWithSpaces>
  <Application>WPS Office_12.1.0.17857_F1E327BC-269C-435d-A152-05C5408002CA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2019-09-06T01:23:00Z</dcterms:created>
  <dc:creator>DELL</dc:creator>
  <cp:lastModifiedBy>Administrator</cp:lastModifiedBy>
  <dcterms:modified xsi:type="dcterms:W3CDTF">2024-09-02T09:05:30Z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2052-12.1.0.17857</vt:lpwstr>
  </property>
  <property fmtid="{D5CDD505-2E9C-101B-9397-08002B2CF9AE}" pid="3" name="ICV">
    <vt:lpwstr>BC9790BB17B9483F8C94DC64F3680AF5_12</vt:lpwstr>
  </property>
</Properties>
</file>