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F9816">
      <w:pPr>
        <w:pStyle w:val="8"/>
        <w:ind w:left="360" w:firstLine="0" w:firstLineChars="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工程师学院专业学位研究生学位论文修改说明表</w:t>
      </w:r>
    </w:p>
    <w:tbl>
      <w:tblPr>
        <w:tblStyle w:val="4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283"/>
        <w:gridCol w:w="567"/>
        <w:gridCol w:w="1985"/>
        <w:gridCol w:w="567"/>
        <w:gridCol w:w="1276"/>
        <w:gridCol w:w="2885"/>
      </w:tblGrid>
      <w:tr w14:paraId="6467431F">
        <w:tc>
          <w:tcPr>
            <w:tcW w:w="8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4F9C77">
            <w:pPr>
              <w:pStyle w:val="8"/>
              <w:ind w:firstLine="0"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姓名</w:t>
            </w:r>
          </w:p>
        </w:tc>
        <w:tc>
          <w:tcPr>
            <w:tcW w:w="31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D80934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龙泳江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AE74FD">
            <w:pPr>
              <w:pStyle w:val="8"/>
              <w:ind w:firstLine="0"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学号</w:t>
            </w:r>
          </w:p>
        </w:tc>
        <w:tc>
          <w:tcPr>
            <w:tcW w:w="2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7AAA78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22360325</w:t>
            </w:r>
          </w:p>
        </w:tc>
      </w:tr>
      <w:tr w14:paraId="1F0209A3">
        <w:tc>
          <w:tcPr>
            <w:tcW w:w="8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9B3A58">
            <w:pPr>
              <w:pStyle w:val="8"/>
              <w:ind w:firstLine="0"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导师</w:t>
            </w:r>
          </w:p>
        </w:tc>
        <w:tc>
          <w:tcPr>
            <w:tcW w:w="31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EC211F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苏中根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86691A">
            <w:pPr>
              <w:pStyle w:val="8"/>
              <w:ind w:firstLine="0"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专业</w:t>
            </w:r>
          </w:p>
        </w:tc>
        <w:tc>
          <w:tcPr>
            <w:tcW w:w="2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CD6E60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电子信息（大数据技术与工程）</w:t>
            </w:r>
          </w:p>
        </w:tc>
      </w:tr>
      <w:tr w14:paraId="014A6B8D">
        <w:tc>
          <w:tcPr>
            <w:tcW w:w="40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9B6054">
            <w:pPr>
              <w:pStyle w:val="8"/>
              <w:ind w:firstLine="0"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申请授予学位的时间</w:t>
            </w:r>
          </w:p>
        </w:tc>
        <w:tc>
          <w:tcPr>
            <w:tcW w:w="41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1788AF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2026年9月</w:t>
            </w:r>
          </w:p>
        </w:tc>
      </w:tr>
      <w:tr w14:paraId="0C812FAB">
        <w:tc>
          <w:tcPr>
            <w:tcW w:w="14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2B66C4">
            <w:pPr>
              <w:pStyle w:val="8"/>
              <w:ind w:firstLine="0"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论文题目</w:t>
            </w:r>
          </w:p>
        </w:tc>
        <w:tc>
          <w:tcPr>
            <w:tcW w:w="67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9AE702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基于机器学习的固态硬盘故障预测与寿命提升方法研究</w:t>
            </w:r>
          </w:p>
        </w:tc>
      </w:tr>
      <w:tr w14:paraId="112B335F"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9D0B6F">
            <w:pPr>
              <w:pStyle w:val="8"/>
              <w:ind w:firstLine="0"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评阅意见</w:t>
            </w:r>
          </w:p>
        </w:tc>
        <w:tc>
          <w:tcPr>
            <w:tcW w:w="756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2AC676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说明：本表先填列已完成修改所对应的评阅意见。评阅意见书编号为 979656974、979656977、979656981。</w:t>
            </w:r>
          </w:p>
          <w:p w14:paraId="3B412704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</w:p>
          <w:p w14:paraId="24122B1D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一、专家1（意见书 979656974，总体评价 B，同意修改后直接答辩）</w:t>
            </w:r>
          </w:p>
          <w:p w14:paraId="72C3D2A0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3. 第三章主要采用阿里云公开数据集中的MB1和MB2进行验证，两个子集来源和采集环境相近，不足以证明方法具有跨数据中心、跨厂商和跨硬件型号的泛化能力。建议补充其他公开数据集或不同硬件平台上的实验，否则应弱化方法通用性和工程适用性的相关结论。</w:t>
            </w:r>
          </w:p>
          <w:p w14:paraId="7F6533CF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4. 论文根据三轮实验结果选择最优参数 (W) 和 (k)，但未清楚说明在该过程训练集和测试集的区分方法，实验条件介绍不清晰，建议仅使用训练集和验证集完成超参数及阈值选择，测试集只用于最终评价。</w:t>
            </w:r>
          </w:p>
          <w:p w14:paraId="34C2D6E6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</w:p>
          <w:p w14:paraId="01563C47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二、专家2（意见书 979656977，总体评价 B，同意答辩）</w:t>
            </w:r>
          </w:p>
          <w:p w14:paraId="4EE850F8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写作方面：</w:t>
            </w:r>
          </w:p>
          <w:p w14:paraId="630E8E14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（2）摘要中，针对故障预测部分的介绍仅提及“实现了对故障盘的精准、及时检出”，感觉不够完整；</w:t>
            </w:r>
          </w:p>
          <w:p w14:paraId="55EAB2D0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（3）摘要中针对软件部分提到“并通过功能测试验证了其从理论模型到实际运维流程的转化能力”，该表述建议斟酌其合理性；</w:t>
            </w:r>
          </w:p>
          <w:p w14:paraId="1D9BD84D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（4）建议加强论文中方法在具体应用场景中的“代价”分析，即评估论文的方法是否会带来新的负面效果；</w:t>
            </w:r>
          </w:p>
          <w:p w14:paraId="0D0EF3EF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（9）第6.2节第四部分中提到“未来可引入LLM等可解释性机器学习方法，为运维人员提供更具操作性的故障归因分析”，然而LLM是否具备可解释性尚存争议，建议重新斟酌该表述；</w:t>
            </w:r>
          </w:p>
          <w:p w14:paraId="135580D6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（10）是否可补充论文方法的推广适用范围？以增强论文的实用性说明。</w:t>
            </w:r>
          </w:p>
          <w:p w14:paraId="77F3E1BA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</w:p>
          <w:p w14:paraId="7E564666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三、专家3（意见书 979656981，总体评价 A，同意答辩）</w:t>
            </w:r>
          </w:p>
          <w:p w14:paraId="137C525F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（2）第27页有些字母的字体不</w:t>
            </w:r>
            <w:bookmarkStart w:id="0" w:name="_GoBack"/>
            <w:bookmarkEnd w:id="0"/>
            <w:r>
              <w:rPr>
                <w:rFonts w:hint="eastAsia" w:ascii="仿宋" w:hAnsi="仿宋" w:eastAsia="仿宋"/>
                <w:sz w:val="24"/>
                <w:szCs w:val="24"/>
              </w:rPr>
              <w:t>一致，最好统一字母及数字的字体；</w:t>
            </w:r>
          </w:p>
          <w:p w14:paraId="10258F67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（3）公式（3-7）的示性函数，可以考虑替换为sgn符号函数，是否更具广泛性？</w:t>
            </w:r>
          </w:p>
          <w:p w14:paraId="3098BFAA">
            <w:pPr>
              <w:pStyle w:val="8"/>
              <w:ind w:firstLine="0" w:firstLineChars="0"/>
              <w:jc w:val="both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4）由于本文方法具有较强工程价值，可以考虑极限仿真测试（放在6.2节阐述即可）——比如坏块、弱块的更多可能情况，是否可以通过好的SSD仿真植入特定坏块或弱块的设置，这样能全面考察算法的误报及漏报情况。</w:t>
            </w:r>
          </w:p>
          <w:p w14:paraId="5E3C23D1">
            <w:pPr>
              <w:pStyle w:val="8"/>
              <w:ind w:firstLine="0" w:firstLineChars="0"/>
              <w:jc w:val="both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06977035">
            <w:pPr>
              <w:pStyle w:val="8"/>
              <w:ind w:firstLine="0" w:firstLineChars="0"/>
              <w:jc w:val="both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110A0A4F">
            <w:pPr>
              <w:pStyle w:val="8"/>
              <w:ind w:firstLine="0" w:firstLineChars="0"/>
              <w:jc w:val="both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09AE3B8A">
            <w:pPr>
              <w:pStyle w:val="8"/>
              <w:ind w:firstLine="0" w:firstLineChars="0"/>
              <w:jc w:val="both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05FF16E3"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ECD717">
            <w:pPr>
              <w:pStyle w:val="8"/>
              <w:ind w:firstLine="0"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修改说明</w:t>
            </w:r>
          </w:p>
        </w:tc>
        <w:tc>
          <w:tcPr>
            <w:tcW w:w="756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217A05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说明：以下仅针对上栏已摘录、且已在现行稿中落地的条目逐条说明。</w:t>
            </w:r>
          </w:p>
          <w:p w14:paraId="51C8649C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</w:p>
          <w:p w14:paraId="3082F648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一、对应专家1</w:t>
            </w:r>
          </w:p>
          <w:p w14:paraId="07DAD9B8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3. 未补充其他公开数据集或不同硬件平台实验。已在第三章“适用边界与后续方向”写明：本章结论主要建立在阿里云公开的两种 MLC-SSD 子集上，跨厂商、跨工艺的泛化尚未验证。第六章展望将跨硬件平台泛化列为后续工作，据此弱化了方法通用性与工程适用性方面的表述。</w:t>
            </w:r>
          </w:p>
          <w:p w14:paraId="6D1D4A82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4. 已在第三章实验协议中明确：超参数 (W,k) 与分类阈值仅依据各轮验证月的盘级 F0.5 选取，测试月不参与任何超参或阈值选择，仅用于最终评价。按该协议重选后，MB1 主配置为 W=1、k=2，测试集盘级 F0.5 为 0.919；MB2 主配置为 W=2、k=2。中英文摘要中的相应数字已同步。</w:t>
            </w:r>
          </w:p>
          <w:p w14:paraId="5A37AC26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</w:p>
          <w:p w14:paraId="7985497B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二、对应专家2</w:t>
            </w:r>
          </w:p>
          <w:p w14:paraId="26CFF2CA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（2）摘要故障预测部分已改为报告 MB1、MB2 的盘级 F0.5，分别为 0.919 与 0.490，并说明 MB1 与最强基线并列最优，同时具有更低误报与更高精确率，能够对故障盘给出有效检出。英文摘要已同步修改。</w:t>
            </w:r>
          </w:p>
          <w:p w14:paraId="3079C19B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（3）已删除“从理论模型到实际运维流程的转化能力”这一表述。摘要改为“通过功能测试覆盖采集—推理—预警处置链路”；第六章相应段落已同步。</w:t>
            </w:r>
          </w:p>
          <w:p w14:paraId="424F8384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（4）已在第三章“适用边界与后续方向”补充应用代价分析：方法优先压低误报，相应代价是漏报上升，以及告警时刻更靠近故障日。文中给出 MB1 的 FPR 为 2.71×10^−5、Precision 为 0.981，MB2 在严控误报下 TPR 约 0.19，已检出故障盘的提前量中位数为 1 天。</w:t>
            </w:r>
          </w:p>
          <w:p w14:paraId="7A10EA35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（9）已删除将 LLM 作为可解释性方法的表述。第 6.2 节改为：后续可结合树模型特征重要性、注意力融合权重与基于规则的归因方法，定位对预警贡献较大的 SMART 属性与突变通道，便于运维人员核对告警依据。</w:t>
            </w:r>
          </w:p>
          <w:p w14:paraId="2FBCA027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（10）已补充方法的适用边界与部署口径。第三章写明适用数据范围为阿里云公开的两种 MLC-SSD 子集；在该范围内部署时，需在误报、漏报与近端告警窗口之间取舍。QLC/PLC 及跨硬件情形列入第六章后续工作。</w:t>
            </w:r>
          </w:p>
          <w:p w14:paraId="0F50A9CC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</w:p>
          <w:p w14:paraId="5DE87410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三、对应专家3</w:t>
            </w:r>
          </w:p>
          <w:p w14:paraId="5D5EB022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（2）已去掉正文与附录中的等宽字体标记，字段名改与正文一致的罗马字体，以统一字母及数字的字体。</w:t>
            </w:r>
          </w:p>
          <w:p w14:paraId="662C3F9A">
            <w:pPr>
              <w:pStyle w:val="8"/>
              <w:ind w:firstLine="0" w:firstLineChars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（3）公式（3-7）中统计跳变频率的示性函数已替换为符号函数 sgn，并在式后给出 sgn(·) 的定义。</w:t>
            </w:r>
          </w:p>
          <w:p w14:paraId="02CB9904">
            <w:pPr>
              <w:pStyle w:val="8"/>
              <w:ind w:firstLine="0" w:firstLineChars="0"/>
              <w:jc w:val="both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（4）已按专家意见放在第 6.2 节阐述。展望第五点补充：后续可在健康 SSD 上仿真植入特定坏块或弱块，系统考察相关算法在更多情形下的误报与漏报表现。</w:t>
            </w:r>
          </w:p>
          <w:p w14:paraId="49F894F6">
            <w:pPr>
              <w:pStyle w:val="8"/>
              <w:ind w:firstLine="0" w:firstLineChars="0"/>
              <w:jc w:val="both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1321EEFB">
            <w:pPr>
              <w:pStyle w:val="8"/>
              <w:ind w:firstLine="0" w:firstLineChars="0"/>
              <w:jc w:val="both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7F3D47E5">
            <w:pPr>
              <w:pStyle w:val="8"/>
              <w:ind w:firstLine="0" w:firstLineChars="0"/>
              <w:jc w:val="both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7996B0EB">
            <w:pPr>
              <w:pStyle w:val="8"/>
              <w:ind w:firstLine="0" w:firstLineChars="0"/>
              <w:jc w:val="both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15C24BBF">
        <w:tc>
          <w:tcPr>
            <w:tcW w:w="59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84B3D0">
            <w:pPr>
              <w:pStyle w:val="8"/>
              <w:ind w:firstLine="0" w:firstLineChars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导师意见</w:t>
            </w:r>
          </w:p>
        </w:tc>
        <w:tc>
          <w:tcPr>
            <w:tcW w:w="283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AF271F">
            <w:pPr>
              <w:pStyle w:val="8"/>
              <w:spacing w:line="440" w:lineRule="exact"/>
              <w:ind w:firstLine="0"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是否对所有评阅意见进行了合理性修改？</w:t>
            </w:r>
          </w:p>
        </w:tc>
        <w:tc>
          <w:tcPr>
            <w:tcW w:w="472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D891B2">
            <w:pPr>
              <w:pStyle w:val="8"/>
              <w:ind w:firstLine="0" w:firstLineChars="0"/>
              <w:rPr>
                <w:rFonts w:ascii="仿宋" w:hAnsi="仿宋" w:eastAsia="仿宋"/>
                <w:sz w:val="28"/>
                <w:szCs w:val="28"/>
              </w:rPr>
            </w:pPr>
          </w:p>
        </w:tc>
      </w:tr>
      <w:tr w14:paraId="2C59C6C0"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57B53">
            <w:pPr>
              <w:widowControl/>
              <w:jc w:val="left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283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C85971">
            <w:pPr>
              <w:pStyle w:val="8"/>
              <w:ind w:firstLine="0"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论文修改是否完善？</w:t>
            </w:r>
          </w:p>
        </w:tc>
        <w:tc>
          <w:tcPr>
            <w:tcW w:w="472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E8CBD9">
            <w:pPr>
              <w:pStyle w:val="8"/>
              <w:ind w:firstLine="0" w:firstLineChars="0"/>
              <w:rPr>
                <w:rFonts w:ascii="仿宋" w:hAnsi="仿宋" w:eastAsia="仿宋"/>
                <w:sz w:val="28"/>
                <w:szCs w:val="28"/>
              </w:rPr>
            </w:pPr>
          </w:p>
        </w:tc>
      </w:tr>
      <w:tr w14:paraId="11A3802F"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23A1F3">
            <w:pPr>
              <w:widowControl/>
              <w:jc w:val="left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756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E35B52">
            <w:pPr>
              <w:pStyle w:val="8"/>
              <w:ind w:firstLine="0" w:firstLineChars="0"/>
              <w:rPr>
                <w:rFonts w:ascii="仿宋" w:hAnsi="仿宋" w:eastAsia="仿宋"/>
                <w:sz w:val="28"/>
                <w:szCs w:val="28"/>
              </w:rPr>
            </w:pPr>
          </w:p>
          <w:p w14:paraId="07925AF6">
            <w:pPr>
              <w:pStyle w:val="8"/>
              <w:ind w:firstLine="0" w:firstLineChars="0"/>
              <w:rPr>
                <w:rFonts w:ascii="仿宋" w:hAnsi="仿宋" w:eastAsia="仿宋"/>
                <w:sz w:val="28"/>
                <w:szCs w:val="28"/>
              </w:rPr>
            </w:pPr>
          </w:p>
          <w:p w14:paraId="07C1BAD6">
            <w:pPr>
              <w:pStyle w:val="8"/>
              <w:ind w:firstLine="0"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导师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签名：</w:t>
            </w:r>
          </w:p>
          <w:p w14:paraId="170A67C3">
            <w:pPr>
              <w:pStyle w:val="8"/>
              <w:ind w:firstLine="0"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t xml:space="preserve">                            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    年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月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日</w:t>
            </w:r>
          </w:p>
        </w:tc>
      </w:tr>
    </w:tbl>
    <w:p w14:paraId="6C2B7A33">
      <w:pPr>
        <w:spacing w:line="440" w:lineRule="exact"/>
        <w:ind w:firstLine="280" w:firstLineChars="100"/>
        <w:rPr>
          <w:rFonts w:hint="eastAsia" w:ascii="仿宋" w:hAnsi="仿宋" w:eastAsia="仿宋"/>
          <w:sz w:val="28"/>
          <w:szCs w:val="28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2YzQ4YjQ2OTkxNTgwM2Y0NGEyMjUwNzgzZDVjZTMifQ=="/>
  </w:docVars>
  <w:rsids>
    <w:rsidRoot w:val="00605BA8"/>
    <w:rsid w:val="002A2665"/>
    <w:rsid w:val="005D24F5"/>
    <w:rsid w:val="00605BA8"/>
    <w:rsid w:val="007C3431"/>
    <w:rsid w:val="009777F7"/>
    <w:rsid w:val="009C6ADA"/>
    <w:rsid w:val="009D2FC3"/>
    <w:rsid w:val="00C8592F"/>
    <w:rsid w:val="00F110D4"/>
    <w:rsid w:val="776E7846"/>
    <w:rsid w:val="DA74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191</Words>
  <Characters>191</Characters>
  <Lines>1</Lines>
  <Paragraphs>1</Paragraphs>
  <TotalTime>0</TotalTime>
  <ScaleCrop>false</ScaleCrop>
  <LinksUpToDate>false</LinksUpToDate>
  <CharactersWithSpaces>233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2019-09-06T09:23:00Z</dcterms:created>
  <dc:creator>DELL</dc:creator>
  <cp:lastModifiedBy>龙泳江</cp:lastModifiedBy>
  <dcterms:modified xsi:type="dcterms:W3CDTF">2026-09-04T16:48:55Z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BC9790BB17B9483F8C94DC64F3680AF5_12</vt:lpwstr>
  </property>
</Properties>
</file>