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仿宋_GB2312;仿宋" w:hAnsi="仿宋_GB2312;仿宋" w:eastAsia="仿宋_GB2312;仿宋" w:hint="eastAsia"/>
          <w:b/>
          <w:bCs/>
          <w:sz w:val="36"/>
        </w:rPr>
      </w:pPr>
      <w:r>
        <w:rPr>
          <w:rFonts w:ascii="仿宋_GB2312;仿宋" w:hAnsi="仿宋_GB2312;仿宋" w:hint="eastAsia" w:eastAsia="仿宋_GB2312;仿宋"/>
          <w:b/>
          <w:bCs/>
          <w:sz w:val="36"/>
        </w:rPr>
        <w:t>浙江大学硕士学位论文修改定稿审核表</w:t>
      </w:r>
    </w:p>
    <w:p>
      <w:pPr>
        <w:pStyle w:val="Normal"/>
        <w:jc w:val="center"/>
        <w:rPr>
          <w:rFonts w:ascii="仿宋_GB2312;仿宋" w:hAnsi="仿宋_GB2312;仿宋" w:eastAsia="仿宋_GB2312;仿宋" w:hint="eastAsia"/>
        </w:rPr>
      </w:pPr>
      <w:r>
        <w:rPr>
          <w:rFonts w:eastAsia="仿宋_GB2312;仿宋" w:hint="eastAsia" w:ascii="仿宋_GB2312;仿宋" w:hAnsi="仿宋_GB2312;仿宋"/>
          <w:b/>
          <w:bCs/>
          <w:sz w:val="36"/>
        </w:rPr>
      </w:r>
    </w:p>
    <w:p>
      <w:pPr>
        <w:pStyle w:val="Normal"/>
        <w:spacing w:before="156" w:after="156"/>
        <w:rPr>
          <w:rFonts w:ascii="仿宋_GB2312;仿宋" w:hAnsi="仿宋_GB2312;仿宋" w:eastAsia="仿宋_GB2312;仿宋" w:hint="eastAsia"/>
          <w:b/>
          <w:bCs/>
          <w:sz w:val="24"/>
        </w:rPr>
      </w:pPr>
      <w:r>
        <w:rPr>
          <w:rFonts w:ascii="仿宋_GB2312;仿宋" w:hAnsi="仿宋_GB2312;仿宋" w:hint="eastAsia" w:eastAsia="仿宋_GB2312;仿宋"/>
          <w:b/>
          <w:bCs/>
          <w:sz w:val="24"/>
          <w:u w:val="single"/>
        </w:rPr>
        <w:t xml:space="preserve">工程师</w:t>
      </w:r>
      <w:r>
        <w:rPr>
          <w:rFonts w:ascii="仿宋_GB2312;仿宋" w:hAnsi="仿宋_GB2312;仿宋" w:hint="eastAsia" w:eastAsia="仿宋_GB2312;仿宋"/>
          <w:b/>
          <w:bCs/>
          <w:sz w:val="24"/>
        </w:rPr>
        <w:t>学院</w:t>
      </w:r>
      <w:r>
        <w:rPr>
          <w:rFonts w:eastAsia="仿宋_GB2312;仿宋" w:hint="eastAsia" w:ascii="仿宋_GB2312;仿宋" w:hAnsi="仿宋_GB2312;仿宋"/>
          <w:b/>
          <w:bCs/>
          <w:sz w:val="24"/>
        </w:rPr>
        <w:t>(</w:t>
      </w:r>
      <w:r>
        <w:rPr>
          <w:rFonts w:ascii="仿宋_GB2312;仿宋" w:hAnsi="仿宋_GB2312;仿宋" w:hint="eastAsia" w:eastAsia="仿宋_GB2312;仿宋"/>
          <w:b/>
          <w:bCs/>
          <w:sz w:val="24"/>
        </w:rPr>
        <w:t>系</w:t>
      </w:r>
      <w:r>
        <w:rPr>
          <w:rFonts w:eastAsia="仿宋_GB2312;仿宋" w:hint="eastAsia" w:ascii="仿宋_GB2312;仿宋" w:hAnsi="仿宋_GB2312;仿宋"/>
          <w:b/>
          <w:bCs/>
          <w:sz w:val="24"/>
        </w:rPr>
        <w:t>)</w:t>
      </w:r>
    </w:p>
    <w:tbl>
      <w:tblPr>
        <w:tblW w:w="982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1080"/>
        <w:gridCol w:w="828"/>
        <w:gridCol w:w="972"/>
        <w:gridCol w:w="1363"/>
        <w:gridCol w:w="1517"/>
        <w:gridCol w:w="1728"/>
        <w:gridCol w:w="1800"/>
      </w:tblGrid>
      <w:tr>
        <w:trPr>
          <w:trHeight w:val="500" w:hRule="atLeast"/>
          <w:cantSplit/>
        </w:trPr>
        <w:tc>
          <w:tcPr>
            <w:tcW w:w="1620" w:type="dxa"/>
            <w:gridSpan w:val="2"/>
            <w:tcBorders>
              <w:top w:val="double" w:sz="6" w:space="0" w:color="000000"/>
              <w:start w:val="doub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b/>
                <w:bCs/>
                <w:sz w:val="24"/>
              </w:rPr>
            </w:pPr>
            <w:r>
              <w:rPr>
                <w:rFonts w:ascii="仿宋_GB2312;仿宋" w:hAnsi="仿宋_GB2312;仿宋" w:hint="eastAsia" w:eastAsia="仿宋_GB2312;仿宋"/>
                <w:b/>
                <w:bCs/>
                <w:sz w:val="24"/>
              </w:rPr>
              <w:t>硕士生姓名</w:t>
            </w:r>
          </w:p>
        </w:tc>
        <w:tc>
          <w:tcPr>
            <w:tcW w:w="1800" w:type="dxa"/>
            <w:gridSpan w:val="2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仿宋_GB2312;仿宋" w:hAnsi="仿宋_GB2312;仿宋" w:eastAsia="仿宋_GB2312;仿宋"/>
                <w:b/>
                <w:bCs/>
                <w:sz w:val="24"/>
              </w:rPr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龙泳江</w:t>
            </w:r>
          </w:p>
        </w:tc>
        <w:tc>
          <w:tcPr>
            <w:tcW w:w="1363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b/>
                <w:bCs/>
                <w:sz w:val="24"/>
              </w:rPr>
            </w:pPr>
            <w:r>
              <w:rPr>
                <w:rFonts w:ascii="仿宋_GB2312;仿宋" w:hAnsi="仿宋_GB2312;仿宋" w:hint="eastAsia" w:eastAsia="仿宋_GB2312;仿宋"/>
                <w:b/>
                <w:bCs/>
                <w:sz w:val="24"/>
              </w:rPr>
              <w:t>入学时间</w:t>
            </w:r>
          </w:p>
        </w:tc>
        <w:tc>
          <w:tcPr>
            <w:tcW w:w="1517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仿宋_GB2312;仿宋" w:hAnsi="仿宋_GB2312;仿宋" w:eastAsia="仿宋_GB2312;仿宋"/>
                <w:b/>
                <w:bCs/>
                <w:sz w:val="24"/>
              </w:rPr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2023年9月</w:t>
            </w:r>
          </w:p>
        </w:tc>
        <w:tc>
          <w:tcPr>
            <w:tcW w:w="1728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b/>
                <w:bCs/>
                <w:sz w:val="24"/>
              </w:rPr>
            </w:pPr>
            <w:r>
              <w:rPr>
                <w:rFonts w:ascii="仿宋_GB2312;仿宋" w:hAnsi="仿宋_GB2312;仿宋" w:hint="eastAsia" w:eastAsia="仿宋_GB2312;仿宋"/>
                <w:b/>
                <w:bCs/>
                <w:sz w:val="24"/>
              </w:rPr>
              <w:t>论文答辩时间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仿宋_GB2312;仿宋" w:hAnsi="仿宋_GB2312;仿宋" w:eastAsia="仿宋_GB2312;仿宋"/>
                <w:b/>
                <w:bCs/>
                <w:sz w:val="24"/>
              </w:rPr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2026年9月6日</w:t>
            </w:r>
          </w:p>
        </w:tc>
      </w:tr>
      <w:tr>
        <w:trPr>
          <w:trHeight w:val="500" w:hRule="atLeast"/>
          <w:cantSplit/>
        </w:trPr>
        <w:tc>
          <w:tcPr>
            <w:tcW w:w="1620" w:type="dxa"/>
            <w:gridSpan w:val="2"/>
            <w:tcBorders>
              <w:top w:val="single" w:sz="4" w:space="0" w:color="000000"/>
              <w:start w:val="doub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b/>
                <w:bCs/>
                <w:sz w:val="24"/>
              </w:rPr>
            </w:pPr>
            <w:r>
              <w:rPr>
                <w:rFonts w:ascii="仿宋_GB2312;仿宋" w:hAnsi="仿宋_GB2312;仿宋" w:hint="eastAsia" w:eastAsia="仿宋_GB2312;仿宋"/>
                <w:b/>
                <w:bCs/>
                <w:sz w:val="24"/>
              </w:rPr>
              <w:t>导师姓名</w:t>
            </w:r>
          </w:p>
        </w:tc>
        <w:tc>
          <w:tcPr>
            <w:tcW w:w="316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仿宋_GB2312;仿宋" w:hAnsi="仿宋_GB2312;仿宋" w:eastAsia="仿宋_GB2312;仿宋"/>
                <w:b/>
                <w:bCs/>
                <w:sz w:val="24"/>
              </w:rPr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苏中根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b/>
                <w:bCs/>
                <w:sz w:val="24"/>
              </w:rPr>
            </w:pPr>
            <w:r>
              <w:rPr>
                <w:rFonts w:ascii="仿宋_GB2312;仿宋" w:hAnsi="仿宋_GB2312;仿宋" w:hint="eastAsia" w:eastAsia="仿宋_GB2312;仿宋"/>
                <w:b/>
                <w:bCs/>
                <w:sz w:val="24"/>
              </w:rPr>
              <w:t>学科</w:t>
            </w:r>
            <w:r>
              <w:rPr>
                <w:rFonts w:eastAsia="仿宋_GB2312;仿宋" w:hint="eastAsia" w:ascii="仿宋_GB2312;仿宋" w:hAnsi="仿宋_GB2312;仿宋"/>
                <w:b/>
                <w:bCs/>
                <w:sz w:val="24"/>
              </w:rPr>
              <w:t>/</w:t>
            </w:r>
            <w:r>
              <w:rPr>
                <w:rFonts w:ascii="仿宋_GB2312;仿宋" w:hAnsi="仿宋_GB2312;仿宋" w:hint="eastAsia" w:eastAsia="仿宋_GB2312;仿宋"/>
                <w:b/>
                <w:bCs/>
                <w:sz w:val="24"/>
              </w:rPr>
              <w:t>专业</w:t>
            </w:r>
          </w:p>
        </w:tc>
        <w:tc>
          <w:tcPr>
            <w:tcW w:w="35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仿宋_GB2312;仿宋" w:hAnsi="仿宋_GB2312;仿宋" w:eastAsia="仿宋_GB2312;仿宋"/>
                <w:b/>
                <w:bCs/>
                <w:sz w:val="24"/>
              </w:rPr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电子信息（大数据技术与工程）</w:t>
            </w:r>
          </w:p>
        </w:tc>
      </w:tr>
      <w:tr>
        <w:trPr>
          <w:trHeight w:val="500" w:hRule="atLeast"/>
          <w:cantSplit/>
        </w:trPr>
        <w:tc>
          <w:tcPr>
            <w:tcW w:w="2448" w:type="dxa"/>
            <w:gridSpan w:val="3"/>
            <w:tcBorders>
              <w:top w:val="single" w:sz="4" w:space="0" w:color="000000"/>
              <w:start w:val="double" w:sz="6" w:space="0" w:color="000000"/>
              <w:bottom w:val="single" w:sz="1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b/>
                <w:bCs/>
                <w:sz w:val="24"/>
              </w:rPr>
            </w:pPr>
            <w:r>
              <w:rPr>
                <w:rFonts w:ascii="仿宋_GB2312;仿宋" w:hAnsi="仿宋_GB2312;仿宋" w:hint="eastAsia" w:eastAsia="仿宋_GB2312;仿宋"/>
                <w:b/>
                <w:bCs/>
                <w:sz w:val="24"/>
              </w:rPr>
              <w:t>硕士学位论文题目</w:t>
            </w:r>
          </w:p>
        </w:tc>
        <w:tc>
          <w:tcPr>
            <w:tcW w:w="73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仿宋_GB2312;仿宋" w:hAnsi="仿宋_GB2312;仿宋" w:eastAsia="仿宋_GB2312;仿宋"/>
                <w:b/>
                <w:bCs/>
                <w:sz w:val="24"/>
              </w:rPr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基于机器学习的固态硬盘故障预测与寿命提升方法研究</w:t>
            </w:r>
          </w:p>
        </w:tc>
      </w:tr>
      <w:tr>
        <w:trPr/>
        <w:tc>
          <w:tcPr>
            <w:tcW w:w="540" w:type="dxa"/>
            <w:vMerge w:val="restart"/>
            <w:tcBorders>
              <w:top w:val="double" w:sz="6" w:space="0" w:color="000000"/>
              <w:start w:val="doub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56" w:after="0"/>
              <w:jc w:val="center"/>
              <w:rPr>
                <w:rFonts w:ascii="仿宋_GB2312;仿宋" w:hAnsi="仿宋_GB2312;仿宋" w:eastAsia="仿宋_GB2312;仿宋" w:hint="eastAsia"/>
                <w:b/>
                <w:bCs/>
                <w:sz w:val="24"/>
              </w:rPr>
            </w:pPr>
            <w:r>
              <w:rPr>
                <w:rFonts w:ascii="仿宋_GB2312;仿宋" w:hAnsi="仿宋_GB2312;仿宋" w:hint="eastAsia" w:eastAsia="仿宋_GB2312;仿宋"/>
                <w:b/>
                <w:bCs/>
                <w:sz w:val="24"/>
              </w:rPr>
              <w:t>硕士学位论文需修改的问题及修改情况</w:t>
            </w:r>
          </w:p>
        </w:tc>
        <w:tc>
          <w:tcPr>
            <w:tcW w:w="9288" w:type="dxa"/>
            <w:gridSpan w:val="7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double" w:sz="6" w:space="0" w:color="000000"/>
            </w:tcBorders>
          </w:tcPr>
          <w:p>
            <w:pPr>
              <w:snapToGrid w:val="false"/>
              <w:spacing w:before="20" w:after="20" w:line="259" w:lineRule="auto"/>
              <w:jc w:val="left"/>
            </w:pPr>
            <w:r>
              <w:rPr>
                <w:rFonts w:ascii="Times New Roman" w:hAnsi="Times New Roman" w:eastAsia="仿宋_GB2312" w:cs="Times New Roman"/>
                <w:b/>
                <w:sz w:val="24"/>
                <w:u w:val="none"/>
              </w:rPr>
              <w:t>原论文存在的问题及需修改情况：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说明：本表所列问题对应评阅意见书编号 979656974、979656977、979656981。现行定稿已按下列意见完成修改；若答辩无新增修改要求，即以本次修改为定稿。</w:t>
            </w:r>
          </w:p>
          <w:p>
            <w:pPr>
              <w:snapToGrid w:val="false"/>
              <w:spacing w:before="20" w:after="20" w:line="259" w:lineRule="auto"/>
              <w:jc w:val="left"/>
            </w:pPr>
            <w:r>
              <w:rPr>
                <w:rFonts w:ascii="Times New Roman" w:hAnsi="Times New Roman" w:eastAsia="仿宋_GB2312" w:cs="Times New Roman"/>
                <w:b/>
                <w:sz w:val="24"/>
                <w:u w:val="none"/>
              </w:rPr>
              <w:t>一、专家1（意见书 979656974，总体评价 B，同意修改后直接答辩）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3. 第三章主要采用阿里云公开数据集中的 MB1 和 MB2 进行验证，两个子集来源和采集环境相近，不足以证明方法具有跨数据中心、跨厂商和跨硬件型号的泛化能力。建议补充其他公开数据集或不同硬件平台上的实验，否则应弱化方法通用性和工程适用性的相关结论。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4. 论文根据三轮实验结果选择最优参数 (W) 和 (k)，但未清楚说明在该过程训练集和测试集的区分方法，实验条件介绍不清晰，建议仅使用训练集和验证集完成超参数及阈值选择，测试集只用于最终评价。</w:t>
            </w:r>
          </w:p>
          <w:p>
            <w:pPr>
              <w:snapToGrid w:val="false"/>
              <w:spacing w:before="20" w:after="20" w:line="259" w:lineRule="auto"/>
              <w:jc w:val="left"/>
            </w:pPr>
            <w:r>
              <w:rPr>
                <w:rFonts w:ascii="Times New Roman" w:hAnsi="Times New Roman" w:eastAsia="仿宋_GB2312" w:cs="Times New Roman"/>
                <w:b/>
                <w:sz w:val="24"/>
                <w:u w:val="none"/>
              </w:rPr>
              <w:t>二、专家2（意见书 979656977，总体评价 B，同意答辩）</w:t>
            </w:r>
          </w:p>
          <w:p>
            <w:pPr>
              <w:snapToGrid w:val="false"/>
              <w:spacing w:before="20" w:after="20" w:line="259" w:lineRule="auto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写作方面：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（2）摘要中，针对故障预测部分的介绍仅提及“实现了对故障盘的精准、及时检出”，感觉不够完整；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（3）摘要中针对软件部分提到“并通过功能测试验证了其从理论模型到实际运维流程的转化能力”，该表述建议斟酌其合理性；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（4）建议加强论文中方法在具体应用场景中的“代价”分析，即评估论文的方法是否会带来新的负面效果；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（9）第 6.2 节第四部分中提到“未来可引入 LLM 等可解释性机器学习方法，为运维人员提供更具操作性的故障归因分析”，然而 LLM 是否具备可解释性尚存争议，建议重新斟酌该表述；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（10）是否可补充论文方法的推广适用范围？以增强论文的实用性说明。</w:t>
            </w:r>
          </w:p>
          <w:p>
            <w:pPr>
              <w:snapToGrid w:val="false"/>
              <w:spacing w:before="20" w:after="20" w:line="259" w:lineRule="auto"/>
              <w:jc w:val="left"/>
            </w:pPr>
            <w:r>
              <w:rPr>
                <w:rFonts w:ascii="Times New Roman" w:hAnsi="Times New Roman" w:eastAsia="仿宋_GB2312" w:cs="Times New Roman"/>
                <w:b/>
                <w:sz w:val="24"/>
                <w:u w:val="none"/>
              </w:rPr>
              <w:t>三、专家3（意见书 979656981，总体评价 A，同意答辩）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（2）第 27 页有些字母的字体不一致，最好统一字母及数字的字体；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（3）公式（3-7）的示性函数，可以考虑替换为 sgn 符号函数，是否更具广泛性？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（4）由于本文方法具有较强工程价值，可以考虑极限仿真测试（放在 6.2 节阐述即可）——比如坏块、弱块的更多可能情况，是否可以通过好的 SSD 仿真植入特定坏块或弱块的设置，这样能全面考察算法的误报及漏报情况。</w:t>
            </w:r>
          </w:p>
        </w:tc>
      </w:tr>
      <w:tr>
        <w:trPr/>
        <w:tc>
          <w:tcPr>
            <w:tcW w:w="540" w:type="dxa"/>
            <w:vMerge w:val="continue"/>
            <w:tcBorders>
              <w:top w:val="double" w:sz="6" w:space="0" w:color="000000"/>
              <w:start w:val="doub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56" w:after="0"/>
              <w:rPr>
                <w:rFonts w:ascii="仿宋_GB2312;仿宋" w:hAnsi="仿宋_GB2312;仿宋" w:eastAsia="仿宋_GB2312;仿宋" w:hint="eastAsia"/>
                <w:b/>
                <w:bCs/>
                <w:sz w:val="24"/>
              </w:rPr>
            </w:pPr>
            <w:r>
              <w:rPr>
                <w:rFonts w:eastAsia="仿宋_GB2312;仿宋" w:hint="eastAsia" w:ascii="仿宋_GB2312;仿宋" w:hAnsi="仿宋_GB2312;仿宋"/>
                <w:b/>
                <w:bCs/>
                <w:sz w:val="24"/>
              </w:rPr>
            </w:r>
          </w:p>
        </w:tc>
        <w:tc>
          <w:tcPr>
            <w:tcW w:w="9288" w:type="dxa"/>
            <w:gridSpan w:val="7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double" w:sz="6" w:space="0" w:color="000000"/>
            </w:tcBorders>
          </w:tcPr>
          <w:p>
            <w:pPr>
              <w:snapToGrid w:val="false"/>
              <w:spacing w:before="20" w:after="20" w:line="259" w:lineRule="auto"/>
              <w:jc w:val="left"/>
            </w:pPr>
            <w:r>
              <w:rPr>
                <w:rFonts w:ascii="Times New Roman" w:hAnsi="Times New Roman" w:eastAsia="仿宋_GB2312" w:cs="Times New Roman"/>
                <w:b/>
                <w:sz w:val="24"/>
                <w:u w:val="none"/>
              </w:rPr>
              <w:t>所作的修改情况：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说明：以下仅针对上栏已摘录、且已在现行稿中落地的条目逐条说明。</w:t>
            </w:r>
          </w:p>
          <w:p>
            <w:pPr>
              <w:snapToGrid w:val="false"/>
              <w:spacing w:before="20" w:after="20" w:line="259" w:lineRule="auto"/>
              <w:jc w:val="left"/>
            </w:pPr>
            <w:r>
              <w:rPr>
                <w:rFonts w:ascii="Times New Roman" w:hAnsi="Times New Roman" w:eastAsia="仿宋_GB2312" w:cs="Times New Roman"/>
                <w:b/>
                <w:sz w:val="24"/>
                <w:u w:val="none"/>
              </w:rPr>
              <w:t>一、对应专家1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3. 未补充其他公开数据集或不同硬件平台实验。已在第三章“适用边界与后续方向”写明：本章结论主要建立在阿里云公开的两种 MLC-SSD 子集上，跨厂商、跨工艺的泛化尚未验证。第六章展望将跨硬件平台泛化列为后续工作，据此弱化了方法通用性与工程适用性方面的表述。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4. 已在第三章实验协议中明确：超参数 (W,k) 与分类阈值仅依据各轮验证月的盘级 F0.5 选取，测试月不参与任何超参或阈值选择，仅用于最终评价。按该协议重选后，MB1 主配置为 W=1、k=2，测试集盘级 F0.5 为 0.919；MB2 主配置为 W=2、k=2。中英文摘要中的相应数字已同步。</w:t>
            </w:r>
          </w:p>
          <w:p>
            <w:pPr>
              <w:snapToGrid w:val="false"/>
              <w:spacing w:before="20" w:after="20" w:line="259" w:lineRule="auto"/>
              <w:jc w:val="left"/>
            </w:pPr>
            <w:r>
              <w:rPr>
                <w:rFonts w:ascii="Times New Roman" w:hAnsi="Times New Roman" w:eastAsia="仿宋_GB2312" w:cs="Times New Roman"/>
                <w:b/>
                <w:sz w:val="24"/>
                <w:u w:val="none"/>
              </w:rPr>
              <w:t>二、对应专家2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（2）摘要故障预测部分已改为报告 MB1、MB2 的盘级 F0.5，分别为 0.919 与 0.490，并说明 MB1 与最强基线并列最优，同时具有更低误报与更高精确率，能够对故障盘给出有效检出。英文摘要已同步修改。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（3）已删除“从理论模型到实际运维流程的转化能力”这一表述。摘要改为“通过功能测试覆盖采集—推理—预警处置链路”；第六章相应段落已同步。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（4）已在第三章“适用边界与后续方向”补充应用代价分析：方法优先压低误报，相应代价是漏报上升，以及告警时刻更靠近故障日。文中给出 MB1 的 FPR 为 2.71×10^−5、Precision 为 0.981，MB2 在严控误报下 TPR 约 0.19，已检出故障盘的提前量中位数为 1 天。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（9）已删除将 LLM 作为可解释性方法的表述。第 6.2 节改为：后续可结合树模型特征重要性、注意力融合权重与基于规则的归因方法，定位对预警贡献较大的 SMART 属性与突变通道，便于运维人员核对告警依据。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（10）已补充方法的适用边界与部署口径。第三章写明适用数据范围为阿里云公开的两种 MLC-SSD 子集；在该范围内部署时，需在误报、漏报与近端告警窗口之间取舍。QLC/PLC 及跨硬件情形列入第六章后续工作。</w:t>
            </w:r>
          </w:p>
          <w:p>
            <w:pPr>
              <w:snapToGrid w:val="false"/>
              <w:spacing w:before="20" w:after="20" w:line="259" w:lineRule="auto"/>
              <w:jc w:val="left"/>
            </w:pPr>
            <w:r>
              <w:rPr>
                <w:rFonts w:ascii="Times New Roman" w:hAnsi="Times New Roman" w:eastAsia="仿宋_GB2312" w:cs="Times New Roman"/>
                <w:b/>
                <w:sz w:val="24"/>
                <w:u w:val="none"/>
              </w:rPr>
              <w:t>三、对应专家3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（2）已去掉正文与附录中的等宽字体标记，字段名改与正文一致的罗马字体，以统一字母及数字的字体。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（3）公式（3-7）中统计跳变频率的示性函数已替换为符号函数 sgn，并在式后给出 sgn(·) 的定义。</w:t>
            </w:r>
          </w:p>
          <w:p>
            <w:pPr>
              <w:snapToGrid w:val="false"/>
              <w:spacing w:before="20" w:after="20" w:line="259" w:lineRule="auto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  <w:t>（4）已按专家意见放在第 6.2 节阐述。展望第五点补充：后续可在健康 SSD 上仿真植入特定坏块或弱块，系统考察相关算法在更多情形下的误报与漏报表现。</w:t>
            </w:r>
          </w:p>
          <w:p>
            <w:pPr>
              <w:snapToGrid w:val="false"/>
              <w:spacing w:before="20" w:after="20" w:line="259" w:lineRule="auto"/>
              <w:jc w:val="right"/>
            </w:pPr>
            <w:r>
              <w:rPr>
                <w:rFonts w:ascii="Times New Roman" w:hAnsi="Times New Roman" w:eastAsia="仿宋_GB2312" w:cs="Times New Roman"/>
                <w:b/>
                <w:sz w:val="24"/>
                <w:u w:val="none"/>
              </w:rPr>
              <w:t>论文作者签名：                          年     月      日</w:t>
            </w:r>
          </w:p>
        </w:tc>
      </w:tr>
      <w:tr>
        <w:trPr>
          <w:trHeight w:val="2200" w:hRule="atLeast"/>
          <w:cantSplit/>
        </w:trPr>
        <w:tc>
          <w:tcPr>
            <w:tcW w:w="9828" w:type="dxa"/>
            <w:gridSpan w:val="8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snapToGrid w:val="false"/>
              <w:spacing w:before="40" w:after="40" w:line="276" w:lineRule="auto"/>
              <w:jc w:val="left"/>
            </w:pPr>
            <w:r>
              <w:rPr>
                <w:rFonts w:ascii="Times New Roman" w:hAnsi="Times New Roman" w:eastAsia="仿宋_GB2312" w:cs="Times New Roman"/>
                <w:b/>
                <w:sz w:val="24"/>
                <w:u w:val="none"/>
              </w:rPr>
              <w:t>指导教师对学位论文修改情况的审定意见(含是否同意定稿)：</w:t>
            </w:r>
          </w:p>
          <w:p>
            <w:pPr>
              <w:snapToGrid w:val="false"/>
              <w:spacing w:before="120" w:after="120" w:line="360" w:lineRule="auto"/>
              <w:ind w:firstLine="480"/>
              <w:jc w:val="both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该生已按评阅意见对论文作了针对性修改，修改已落实到现行稿。经审阅，同意作为硕士学位论文定稿。</w:t>
            </w:r>
          </w:p>
          <w:p>
            <w:pPr>
              <w:snapToGrid w:val="false"/>
              <w:spacing w:before="40" w:after="120" w:line="276" w:lineRule="auto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</w:r>
          </w:p>
          <w:p>
            <w:pPr>
              <w:snapToGrid w:val="false"/>
              <w:spacing w:before="40" w:after="120" w:line="276" w:lineRule="auto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sz w:val="24"/>
                <w:u w:val="none"/>
              </w:rPr>
            </w:r>
          </w:p>
          <w:p>
            <w:pPr>
              <w:snapToGrid w:val="false"/>
              <w:spacing w:before="40" w:after="0" w:line="276" w:lineRule="auto"/>
              <w:jc w:val="right"/>
            </w:pPr>
            <w:r>
              <w:rPr>
                <w:rFonts w:ascii="Times New Roman" w:hAnsi="Times New Roman" w:eastAsia="仿宋_GB2312" w:cs="Times New Roman"/>
                <w:b/>
                <w:sz w:val="24"/>
                <w:u w:val="none"/>
              </w:rPr>
              <w:t>指导教师签字：                             年     月     日</w:t>
            </w:r>
          </w:p>
        </w:tc>
      </w:tr>
    </w:tbl>
    <w:p>
      <w:pPr>
        <w:pStyle w:val="Normal"/>
        <w:ind w:hangingChars="298" w:startChars="0" w:start="0" w:endChars="0" w:end="0"/>
        <w:jc w:val="start"/>
        <w:rPr/>
        <w:keepLines/>
        <w:keepNext/>
        <w:widowControl w:val="false"/>
      </w:pPr>
      <w:r>
        <w:rPr>
          <w:rFonts w:ascii="仿宋_GB2312;仿宋" w:hAnsi="仿宋_GB2312;仿宋" w:hint="eastAsia" w:eastAsia="仿宋_GB2312;仿宋"/>
          <w:b/>
          <w:bCs/>
          <w:sz w:val="24"/>
        </w:rPr>
        <w:t>注：</w:t>
      </w:r>
      <w:r>
        <w:rPr>
          <w:rFonts w:eastAsia="仿宋_GB2312;仿宋" w:hint="eastAsia" w:ascii="仿宋_GB2312;仿宋" w:hAnsi="仿宋_GB2312;仿宋"/>
          <w:b/>
          <w:bCs/>
          <w:sz w:val="24"/>
        </w:rPr>
        <w:t>1.</w:t>
      </w:r>
      <w:r>
        <w:rPr>
          <w:rFonts w:ascii="仿宋_GB2312;仿宋" w:hAnsi="仿宋_GB2312;仿宋" w:hint="eastAsia" w:eastAsia="仿宋_GB2312;仿宋"/>
          <w:b/>
          <w:bCs/>
          <w:color w:val="FF0000"/>
          <w:sz w:val="24"/>
        </w:rPr>
        <w:t>本表不够填写可加页</w:t>
      </w:r>
      <w:r>
        <w:rPr>
          <w:rFonts w:ascii="仿宋_GB2312;仿宋" w:hAnsi="仿宋_GB2312;仿宋" w:hint="eastAsia" w:eastAsia="仿宋_GB2312;仿宋"/>
          <w:b/>
          <w:bCs/>
          <w:sz w:val="24"/>
        </w:rPr>
        <w:t>。</w:t>
      </w:r>
      <w:r>
        <w:rPr>
          <w:rFonts w:eastAsia="仿宋_GB2312;仿宋" w:hint="eastAsia" w:ascii="仿宋_GB2312;仿宋" w:hAnsi="仿宋_GB2312;仿宋"/>
          <w:b/>
          <w:bCs/>
          <w:sz w:val="24"/>
        </w:rPr>
        <w:t>2.</w:t>
      </w:r>
      <w:r>
        <w:rPr>
          <w:rFonts w:ascii="仿宋_GB2312;仿宋" w:hAnsi="仿宋_GB2312;仿宋" w:hint="eastAsia" w:eastAsia="仿宋_GB2312;仿宋"/>
          <w:b/>
          <w:bCs/>
          <w:sz w:val="24"/>
        </w:rPr>
        <w:t>本表与定稿的硕士学位论文一起交学院</w:t>
      </w:r>
      <w:r>
        <w:rPr>
          <w:rFonts w:eastAsia="仿宋_GB2312;仿宋" w:hint="eastAsia" w:ascii="仿宋_GB2312;仿宋" w:hAnsi="仿宋_GB2312;仿宋"/>
          <w:b/>
          <w:bCs/>
          <w:sz w:val="24"/>
        </w:rPr>
        <w:t>(</w:t>
      </w:r>
      <w:r>
        <w:rPr>
          <w:rFonts w:ascii="仿宋_GB2312;仿宋" w:hAnsi="仿宋_GB2312;仿宋" w:hint="eastAsia" w:eastAsia="仿宋_GB2312;仿宋"/>
          <w:b/>
          <w:bCs/>
          <w:sz w:val="24"/>
        </w:rPr>
        <w:t>系</w:t>
      </w:r>
      <w:r>
        <w:rPr>
          <w:rFonts w:eastAsia="仿宋_GB2312;仿宋" w:hint="eastAsia" w:ascii="仿宋_GB2312;仿宋" w:hAnsi="仿宋_GB2312;仿宋"/>
          <w:b/>
          <w:bCs/>
          <w:sz w:val="24"/>
        </w:rPr>
        <w:t>)</w:t>
      </w:r>
      <w:r>
        <w:rPr>
          <w:rFonts w:ascii="仿宋_GB2312;仿宋" w:hAnsi="仿宋_GB2312;仿宋" w:hint="eastAsia" w:eastAsia="仿宋_GB2312;仿宋"/>
          <w:b/>
          <w:bCs/>
          <w:sz w:val="24"/>
        </w:rPr>
        <w:t>研究生教育科备案。</w:t>
      </w:r>
    </w:p>
    <w:sectPr>
      <w:type w:val="nextPage"/>
      <w:pgSz w:w="11906" w:h="16838"/>
      <w:pgMar w:left="1247" w:right="1134" w:gutter="0" w:header="0" w:top="1588" w:footer="0" w:bottom="80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仿宋_GB2312">
    <w:altName w:val="仿宋"/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rPr/>
  </w:style>
  <w:style w:type="character" w:styleId="Char">
    <w:name w:val="页眉 Char"/>
    <w:rPr>
      <w:kern w:val="2"/>
      <w:sz w:val="18"/>
      <w:szCs w:val="18"/>
    </w:rPr>
  </w:style>
  <w:style w:type="character" w:styleId="Char1">
    <w:name w:val="页脚 Char"/>
    <w:rPr>
      <w:kern w:val="2"/>
      <w:sz w:val="18"/>
      <w:szCs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HeaderandFooter">
    <w:name w:val="Header and Footer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2009-06-12T08:00:00Z</dcterms:created>
  <dc:creator>微软用户</dc:creator>
  <dc:description/>
  <cp:keywords/>
  <dc:language>zh-CN</dc:language>
  <cp:lastModifiedBy>yanmi</cp:lastModifiedBy>
  <dcterms:modified xsi:type="dcterms:W3CDTF">2019-04-12T09:20:00Z</dcterms:modified>
  <cp:revision>4</cp:revision>
  <dc:subject/>
  <dc:title>浙江大学博士学位论文修改定稿审核表</dc:title>
</cp:coreProperties>
</file>