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jc w:val="center"/>
        <w:rPr>
          <w:rFonts w:ascii="Times New Roman" w:hAnsi="Times New Roman" w:cs="Times New Roman"/>
        </w:rPr>
      </w:pPr>
      <w:r>
        <w:rPr>
          <w:rFonts w:cs="Times New Roman" w:ascii="Times New Roman" w:hAnsi="Times New Roman"/>
          <w:b/>
        </w:rPr>
        <w:t>Discrete Element Method model of brain for NPH simulation</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numPr>
          <w:ilvl w:val="0"/>
          <w:numId w:val="1"/>
        </w:numPr>
        <w:shd w:val="clear" w:color="auto" w:fill="FFFFFF"/>
        <w:jc w:val="both"/>
        <w:rPr>
          <w:rFonts w:ascii="Times New Roman" w:hAnsi="Times New Roman" w:cs="Times New Roman"/>
          <w:szCs w:val="24"/>
        </w:rPr>
      </w:pPr>
      <w:r>
        <w:rPr>
          <w:rFonts w:cs="Times New Roman" w:ascii="Times New Roman" w:hAnsi="Times New Roman"/>
          <w:szCs w:val="24"/>
        </w:rPr>
        <w:t>Geometry and properties of the initial model</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The brain is modeled as a sphere of Discrete Element Method (DEM) particles with 0.1 m radius. The packing od DEM spherical particles is regular hexagonal assembly where DEM particles are positioned in a hexagonal grid, as shown in Fig. 1. Particle properties are shown in Table 1.</w: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63340" cy="4294505"/>
                <wp:effectExtent l="0" t="0" r="0" b="0"/>
                <wp:wrapSquare wrapText="largest"/>
                <wp:docPr id="1" name="Frame1"/>
                <a:graphic xmlns:a="http://schemas.openxmlformats.org/drawingml/2006/main">
                  <a:graphicData uri="http://schemas.microsoft.com/office/word/2010/wordprocessingShape">
                    <wps:wsp>
                      <wps:cNvSpPr/>
                      <wps:spPr>
                        <a:xfrm>
                          <a:off x="0" y="0"/>
                          <a:ext cx="3862800" cy="429372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862705" cy="3867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wps:txbx>
                      <wps:bodyPr lIns="90000" rIns="90000" tIns="45000" bIns="45000">
                        <a:noAutofit/>
                      </wps:bodyPr>
                    </wps:wsp>
                  </a:graphicData>
                </a:graphic>
              </wp:anchor>
            </w:drawing>
          </mc:Choice>
          <mc:Fallback>
            <w:pict>
              <v:rect id="shape_0" ID="Frame1" stroked="f" style="position:absolute;margin-left:88.85pt;margin-top:0.05pt;width:304.1pt;height:338.05pt;mso-position-horizontal:center">
                <w10:wrap type="square"/>
                <v:fill o:detectmouseclick="t" on="false"/>
                <v:stroke color="#3465a4" joinstyle="round" endcap="flat"/>
                <v:textbox>
                  <w:txbxContent>
                    <w:p>
                      <w:pPr>
                        <w:pStyle w:val="Caption"/>
                        <w:suppressLineNumbers/>
                        <w:spacing w:before="120" w:after="120"/>
                        <w:rPr/>
                      </w:pPr>
                      <w:r>
                        <w:rPr/>
                        <w:drawing>
                          <wp:inline distT="0" distB="0" distL="0" distR="0">
                            <wp:extent cx="3862705" cy="38671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v:textbox>
              </v:rect>
            </w:pict>
          </mc:Fallback>
        </mc:AlternateConten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pPr>
      <w:r>
        <w:rPr/>
        <w:commentReference w:id="0"/>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In the literature, t</w:t>
      </w:r>
      <w:r>
        <w:rPr>
          <w:rFonts w:cs="Times New Roman" w:ascii="Times New Roman" w:hAnsi="Times New Roman"/>
        </w:rPr>
        <w:t>here is not much agreement on the material properties of brain tissue. The Young’s modulus can vary between 500 to 10000 Pa. As concerns the Poisson ratio, this varies between 0.35 and 0.</w:t>
      </w:r>
      <w:commentRangeStart w:id="1"/>
      <w:commentRangeStart w:id="2"/>
      <w:r>
        <w:rPr>
          <w:rFonts w:cs="Times New Roman" w:ascii="Times New Roman" w:hAnsi="Times New Roman"/>
        </w:rPr>
        <w:t>48</w:t>
      </w:r>
      <w:bookmarkStart w:id="0" w:name="_GoBack"/>
      <w:bookmarkEnd w:id="0"/>
      <w:r>
        <w:rPr>
          <w:rFonts w:cs="Times New Roman" w:ascii="Times New Roman" w:hAnsi="Times New Roman"/>
        </w:rPr>
      </w:r>
      <w:commentRangeEnd w:id="2"/>
      <w:r>
        <w:commentReference w:id="2"/>
      </w:r>
      <w:r>
        <w:rPr>
          <w:rFonts w:cs="Times New Roman" w:ascii="Times New Roman" w:hAnsi="Times New Roman"/>
        </w:rPr>
      </w:r>
      <w:commentRangeEnd w:id="1"/>
      <w:r>
        <w:commentReference w:id="1"/>
      </w:r>
      <w:r>
        <w:rPr>
          <w:rFonts w:cs="Times New Roman" w:ascii="Times New Roman" w:hAnsi="Times New Roman"/>
        </w:rPr>
        <w:t>.</w:t>
      </w:r>
    </w:p>
    <w:p>
      <w:pPr>
        <w:pStyle w:val="Normal"/>
        <w:shd w:val="clear" w:color="auto" w:fill="FFFFFF"/>
        <w:jc w:val="both"/>
        <w:rPr>
          <w:rFonts w:ascii="Times New Roman" w:hAnsi="Times New Roman" w:cs="Times New Roman"/>
        </w:rPr>
      </w:pPr>
      <w:r>
        <w:rPr>
          <w:rFonts w:cs="Times New Roman" w:ascii="Times New Roman" w:hAnsi="Times New Roman"/>
        </w:rPr>
        <w:t xml:space="preserve">At the moment, we have </w:t>
      </w:r>
      <w:r>
        <w:rPr>
          <w:rFonts w:cs="Times New Roman" w:ascii="Times New Roman" w:hAnsi="Times New Roman"/>
        </w:rPr>
        <w:t>have considered an elastic material with contact friction (FrictMat in Yade). The material properties for each of the spheres are listed in  Table 2. All the spheres have the same properties. It is also possible to assign different properties to each sphere.</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t>Table 1. Properties of DEM spherical particle and wall (</w:t>
      </w:r>
      <w:commentRangeStart w:id="3"/>
      <w:r>
        <w:rPr>
          <w:rFonts w:cs="Times New Roman" w:ascii="Times New Roman" w:hAnsi="Times New Roman"/>
        </w:rPr>
        <w:t>facet</w:t>
      </w:r>
      <w:r>
        <w:rPr>
          <w:rFonts w:cs="Times New Roman" w:ascii="Times New Roman" w:hAnsi="Times New Roman"/>
        </w:rPr>
      </w:r>
      <w:commentRangeEnd w:id="3"/>
      <w:r>
        <w:commentReference w:id="3"/>
      </w:r>
      <w:r>
        <w:rPr>
          <w:rFonts w:cs="Times New Roman" w:ascii="Times New Roman" w:hAnsi="Times New Roman"/>
        </w:rPr>
        <w:t xml:space="preserve">) </w:t>
      </w:r>
    </w:p>
    <w:tbl>
      <w:tblPr>
        <w:tblStyle w:val="TableGrid"/>
        <w:tblW w:w="3978" w:type="dxa"/>
        <w:jc w:val="left"/>
        <w:tblInd w:w="-5" w:type="dxa"/>
        <w:tblCellMar>
          <w:top w:w="0" w:type="dxa"/>
          <w:left w:w="103" w:type="dxa"/>
          <w:bottom w:w="0" w:type="dxa"/>
          <w:right w:w="108" w:type="dxa"/>
        </w:tblCellMar>
        <w:tblLook w:val="04a0" w:noVBand="1" w:noHBand="0" w:lastColumn="0" w:firstColumn="1" w:lastRow="0" w:firstRow="1"/>
      </w:tblPr>
      <w:tblGrid>
        <w:gridCol w:w="1276"/>
        <w:gridCol w:w="1170"/>
        <w:gridCol w:w="1532"/>
      </w:tblGrid>
      <w:tr>
        <w:trPr/>
        <w:tc>
          <w:tcPr>
            <w:tcW w:w="1276"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t>Property</w:t>
            </w:r>
          </w:p>
        </w:tc>
        <w:tc>
          <w:tcPr>
            <w:tcW w:w="1170"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t xml:space="preserve">Unit </w:t>
            </w:r>
          </w:p>
        </w:tc>
        <w:tc>
          <w:tcPr>
            <w:tcW w:w="1532"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t>Value</w:t>
            </w:r>
          </w:p>
        </w:tc>
      </w:tr>
      <w:tr>
        <w:trPr/>
        <w:tc>
          <w:tcPr>
            <w:tcW w:w="1276"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t xml:space="preserve">Radius, </w:t>
            </w:r>
            <w:r>
              <w:rPr>
                <w:rFonts w:cs="Times New Roman" w:ascii="Times New Roman" w:hAnsi="Times New Roman"/>
                <w:i/>
              </w:rPr>
              <w:t>R</w:t>
            </w:r>
          </w:p>
        </w:tc>
        <w:tc>
          <w:tcPr>
            <w:tcW w:w="1170" w:type="dxa"/>
            <w:tcBorders/>
            <w:shd w:fill="auto" w:val="clear"/>
            <w:tcMar>
              <w:left w:w="103" w:type="dxa"/>
            </w:tcMar>
          </w:tcPr>
          <w:p>
            <w:pPr>
              <w:pStyle w:val="Normal"/>
              <w:jc w:val="both"/>
              <w:rPr/>
            </w:pPr>
            <w:r>
              <w:rPr>
                <w:rFonts w:cs="Times New Roman" w:ascii="Times New Roman" w:hAnsi="Times New Roman"/>
              </w:rPr>
              <w:t>m</w:t>
            </w:r>
          </w:p>
        </w:tc>
        <w:tc>
          <w:tcPr>
            <w:tcW w:w="1532" w:type="dxa"/>
            <w:tcBorders/>
            <w:shd w:fill="auto" w:val="clear"/>
            <w:tcMar>
              <w:left w:w="103" w:type="dxa"/>
            </w:tcMar>
          </w:tcPr>
          <w:p>
            <w:pPr>
              <w:pStyle w:val="Normal"/>
              <w:jc w:val="both"/>
              <w:rPr/>
            </w:pPr>
            <w:r>
              <w:rPr>
                <w:rFonts w:cs="Times New Roman" w:ascii="Times New Roman" w:hAnsi="Times New Roman"/>
              </w:rPr>
              <w:t>0.005</w:t>
            </w:r>
          </w:p>
        </w:tc>
      </w:tr>
      <w:tr>
        <w:trPr/>
        <w:tc>
          <w:tcPr>
            <w:tcW w:w="1276"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t xml:space="preserve">Mass, </w:t>
            </w:r>
            <w:r>
              <w:rPr>
                <w:rFonts w:cs="Times New Roman" w:ascii="Times New Roman" w:hAnsi="Times New Roman"/>
                <w:i/>
              </w:rPr>
              <w:t>m</w:t>
            </w:r>
          </w:p>
        </w:tc>
        <w:tc>
          <w:tcPr>
            <w:tcW w:w="1170" w:type="dxa"/>
            <w:tcBorders/>
            <w:shd w:fill="auto" w:val="clear"/>
            <w:tcMar>
              <w:left w:w="103" w:type="dxa"/>
            </w:tcMar>
          </w:tcPr>
          <w:p>
            <w:pPr>
              <w:pStyle w:val="Normal"/>
              <w:jc w:val="both"/>
              <w:rPr/>
            </w:pPr>
            <w:r>
              <w:rPr>
                <w:rFonts w:cs="Times New Roman" w:ascii="Times New Roman" w:hAnsi="Times New Roman"/>
              </w:rPr>
              <w:t>kg</w:t>
            </w:r>
          </w:p>
        </w:tc>
        <w:tc>
          <w:tcPr>
            <w:tcW w:w="1532" w:type="dxa"/>
            <w:tcBorders/>
            <w:shd w:fill="auto" w:val="clear"/>
            <w:tcMar>
              <w:left w:w="103" w:type="dxa"/>
            </w:tcMar>
          </w:tcPr>
          <w:p>
            <w:pPr>
              <w:pStyle w:val="Normal"/>
              <w:jc w:val="both"/>
              <w:rPr/>
            </w:pPr>
            <w:r>
              <w:rPr>
                <w:rFonts w:cs="Times New Roman" w:ascii="Times New Roman" w:hAnsi="Times New Roman"/>
              </w:rPr>
              <w:t>5.24e-4</w:t>
            </w:r>
          </w:p>
        </w:tc>
      </w:tr>
      <w:tr>
        <w:trPr/>
        <w:tc>
          <w:tcPr>
            <w:tcW w:w="1276"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fill="auto" w:val="clear"/>
            <w:tcMar>
              <w:left w:w="103" w:type="dxa"/>
            </w:tcMar>
          </w:tcPr>
          <w:p>
            <w:pPr>
              <w:pStyle w:val="Normal"/>
              <w:jc w:val="both"/>
              <w:rPr>
                <w:rFonts w:ascii="Times New Roman" w:hAnsi="Times New Roman" w:cs="Times New Roman"/>
              </w:rPr>
            </w:pPr>
            <w:r>
              <w:rPr>
                <w:rFonts w:cs="Times New Roman" w:ascii="Times New Roman" w:hAnsi="Times New Roman"/>
              </w:rPr>
            </w:r>
          </w:p>
        </w:tc>
      </w:tr>
    </w:tbl>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shd w:val="clear" w:color="auto" w:fill="FFFFFF"/>
        <w:ind w:hanging="0"/>
        <w:jc w:val="both"/>
        <w:rPr>
          <w:rFonts w:ascii="Times New Roman" w:hAnsi="Times New Roman" w:cs="Times New Roman"/>
          <w:szCs w:val="24"/>
        </w:rPr>
      </w:pPr>
      <w:r>
        <w:rPr/>
      </w:r>
    </w:p>
    <w:p>
      <w:pPr>
        <w:pStyle w:val="ListParagraph"/>
        <w:shd w:val="clear" w:color="auto" w:fill="FFFFFF"/>
        <w:ind w:hanging="0"/>
        <w:jc w:val="both"/>
        <w:rPr>
          <w:rFonts w:ascii="Times New Roman" w:hAnsi="Times New Roman" w:cs="Times New Roman"/>
          <w:szCs w:val="24"/>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bookmarkStart w:id="1" w:name="__DdeLink__14187_132589561"/>
      <w:bookmarkEnd w:id="1"/>
      <w:r>
        <w:rPr>
          <w:rFonts w:cs="Times New Roman" w:ascii="Times New Roman" w:hAnsi="Times New Roman"/>
        </w:rPr>
        <w:t xml:space="preserve">Table </w:t>
      </w:r>
      <w:r>
        <w:rPr>
          <w:rFonts w:cs="Times New Roman" w:ascii="Times New Roman" w:hAnsi="Times New Roman"/>
        </w:rPr>
        <w:t>2</w:t>
      </w:r>
      <w:r>
        <w:rPr>
          <w:rFonts w:cs="Times New Roman" w:ascii="Times New Roman" w:hAnsi="Times New Roman"/>
        </w:rPr>
        <w:t>. M</w:t>
      </w:r>
      <w:r>
        <w:rPr>
          <w:rFonts w:cs="Times New Roman" w:ascii="Times New Roman" w:hAnsi="Times New Roman"/>
        </w:rPr>
        <w:t>i</w:t>
      </w:r>
      <w:r>
        <w:rPr>
          <w:rFonts w:cs="Times New Roman" w:ascii="Times New Roman" w:hAnsi="Times New Roman"/>
        </w:rPr>
        <w:t xml:space="preserve">cro properties of the </w:t>
      </w:r>
      <w:commentRangeStart w:id="4"/>
      <w:r>
        <w:rPr>
          <w:rFonts w:cs="Times New Roman" w:ascii="Times New Roman" w:hAnsi="Times New Roman"/>
        </w:rPr>
        <w:t>material</w:t>
      </w:r>
      <w:commentRangeEnd w:id="4"/>
      <w:r>
        <w:commentReference w:id="4"/>
      </w:r>
      <w:r>
        <w:rPr>
          <w:rFonts w:cs="Times New Roman" w:ascii="Times New Roman" w:hAnsi="Times New Roman"/>
        </w:rPr>
      </w:r>
    </w:p>
    <w:tbl>
      <w:tblPr>
        <w:tblW w:w="104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rFonts w:ascii="Times New Roman" w:hAnsi="Times New Roman" w:cs="Times New Roman"/>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Poisson’s ratio, </w:t>
            </w:r>
            <w:r>
              <w:rPr>
                <w:rFonts w:cs="Times New Roman" w:ascii="Symbol" w:hAnsi="Symbol"/>
              </w:rPr>
              <w:t></w:t>
            </w:r>
            <w:r>
              <w:rPr>
                <w:rFonts w:cs="Times New Roman" w:ascii="Times New Roman" w:hAnsi="Times New Roman"/>
              </w:rPr>
              <w:t xml:space="preserve"> </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0.35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Friction angle,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0.6</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Density,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pPr>
            <w:r>
              <w:rPr>
                <w:rFonts w:cs="Times New Roman" w:ascii="Times New Roman" w:hAnsi="Times New Roman"/>
              </w:rPr>
              <w:t>Kg/m³</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1000.0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i/>
                <w:i/>
              </w:rPr>
            </w:pPr>
            <w:r>
              <w:rPr>
                <w:rFonts w:cs="Times New Roman" w:ascii="Times New Roman" w:hAnsi="Times New Roman"/>
              </w:rPr>
              <w:t xml:space="preserve">Young modulus, </w:t>
            </w:r>
            <w:r>
              <w:rPr>
                <w:rFonts w:cs="Times New Roman" w:ascii="Times New Roman" w:hAnsi="Times New Roman"/>
                <w:i/>
              </w:rPr>
              <w:t>E</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pPr>
            <w:r>
              <w:rPr>
                <w:rFonts w:cs="Times New Roman" w:ascii="Times New Roman" w:hAnsi="Times New Roman"/>
              </w:rPr>
              <w:t>Pa</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t>500.0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r>
    </w:tbl>
    <w:p>
      <w:pPr>
        <w:pStyle w:val="Normal"/>
        <w:shd w:val="clear" w:color="auto" w:fill="FFFFFF"/>
        <w:rPr/>
      </w:pPr>
      <w:bookmarkStart w:id="2" w:name="__DdeLink__14187_132589561"/>
      <w:bookmarkStart w:id="3" w:name="__DdeLink__14187_132589561"/>
      <w:bookmarkEnd w:id="3"/>
      <w:r>
        <w:rPr/>
      </w:r>
    </w:p>
    <w:p>
      <w:pPr>
        <w:pStyle w:val="Normal"/>
        <w:shd w:val="clear" w:color="auto" w:fill="FFFFFF"/>
        <w:jc w:val="both"/>
        <w:rPr>
          <w:rFonts w:ascii="Times New Roman" w:hAnsi="Times New Roman" w:cs="Times New Roman"/>
        </w:rPr>
      </w:pPr>
      <w:r>
        <w:rPr/>
      </w:r>
    </w:p>
    <w:p>
      <w:pPr>
        <w:pStyle w:val="Normal"/>
        <w:shd w:val="clear" w:color="auto" w:fill="FFFFFF"/>
        <w:jc w:val="both"/>
        <w:rPr/>
      </w:pPr>
      <w:r>
        <w:rPr/>
      </w:r>
    </w:p>
    <w:p>
      <w:pPr>
        <w:pStyle w:val="ListParagraph"/>
        <w:numPr>
          <w:ilvl w:val="0"/>
          <w:numId w:val="1"/>
        </w:numPr>
        <w:shd w:val="clear" w:color="auto" w:fill="FFFFFF"/>
        <w:jc w:val="both"/>
        <w:rPr>
          <w:rFonts w:ascii="Times New Roman" w:hAnsi="Times New Roman" w:cs="Times New Roman"/>
        </w:rPr>
      </w:pPr>
      <w:r>
        <w:rPr>
          <w:rFonts w:cs="Times New Roman" w:ascii="Times New Roman" w:hAnsi="Times New Roman"/>
          <w:szCs w:val="24"/>
        </w:rPr>
        <w:t>Contact model and its properties</w:t>
      </w:r>
    </w:p>
    <w:p>
      <w:pPr>
        <w:pStyle w:val="ListParagraph"/>
        <w:shd w:val="clear" w:color="auto" w:fill="FFFFFF"/>
        <w:jc w:val="both"/>
        <w:rPr>
          <w:szCs w:val="24"/>
        </w:rPr>
      </w:pPr>
      <w:r>
        <w:rPr>
          <w:rFonts w:cs="Times New Roman" w:ascii="Times New Roman" w:hAnsi="Times New Roman"/>
        </w:rPr>
      </w:r>
    </w:p>
    <w:p>
      <w:pPr>
        <w:pStyle w:val="Normal"/>
        <w:shd w:val="clear" w:color="auto" w:fill="FFFFFF"/>
        <w:ind w:hanging="0"/>
        <w:jc w:val="both"/>
        <w:rPr>
          <w:rFonts w:ascii="Times New Roman" w:hAnsi="Times New Roman" w:cs="Times New Roman"/>
        </w:rPr>
      </w:pPr>
      <w:r>
        <w:rPr>
          <w:rFonts w:cs="Times New Roman" w:ascii="Times New Roman" w:hAnsi="Times New Roman"/>
          <w:szCs w:val="24"/>
        </w:rPr>
        <w:t>We use a law for linear compression, and Mohr-Coulomb plasticity surface without cohesion. This law implements the classical linear elastic-plastic law from [CundallStrack1979]</w:t>
      </w:r>
    </w:p>
    <w:p>
      <w:pPr>
        <w:pStyle w:val="ListParagraph"/>
        <w:shd w:val="clear" w:color="auto" w:fill="FFFFFF"/>
        <w:ind w:hanging="0"/>
        <w:jc w:val="both"/>
        <w:rPr>
          <w:szCs w:val="24"/>
        </w:rPr>
      </w:pPr>
      <w:r>
        <w:rPr>
          <w:rFonts w:cs="Times New Roman" w:ascii="Times New Roman" w:hAnsi="Times New Roman"/>
        </w:rPr>
      </w:r>
    </w:p>
    <w:p>
      <w:pPr>
        <w:pStyle w:val="ListParagraph"/>
        <w:shd w:val="clear" w:color="auto" w:fill="FFFFFF"/>
        <w:ind w:hanging="0"/>
        <w:jc w:val="both"/>
        <w:rPr>
          <w:rFonts w:ascii="Times New Roman" w:hAnsi="Times New Roman" w:cs="Times New Roman"/>
        </w:rPr>
      </w:pPr>
      <w:r>
        <w:rPr>
          <w:rFonts w:cs="Times New Roman" w:ascii="Times New Roman" w:hAnsi="Times New Roman"/>
          <w:szCs w:val="24"/>
        </w:rPr>
        <w:t>The compliance of one sphere under point load is defined</w:t>
      </w:r>
      <w:r>
        <w:rPr>
          <w:rFonts w:cs="Times New Roman" w:ascii="Times New Roman" w:hAnsi="Times New Roman"/>
          <w:szCs w:val="24"/>
        </w:rPr>
        <w:t xml:space="preserve"> as </w:t>
      </w:r>
      <w:r>
        <w:rPr>
          <w:rFonts w:cs="Times New Roman" w:ascii="Times New Roman" w:hAnsi="Times New Roman"/>
          <w:szCs w:val="24"/>
        </w:rPr>
      </w:r>
      <m:oMath xmlns:m="http://schemas.openxmlformats.org/officeDocument/2006/math">
        <m:f>
          <m:num>
            <m:r>
              <w:rPr>
                <w:rFonts w:ascii="Cambria Math" w:hAnsi="Cambria Math"/>
              </w:rPr>
              <m:t xml:space="preserve">1</m:t>
            </m:r>
          </m:num>
          <m:den>
            <m:r>
              <w:rPr>
                <w:rFonts w:ascii="Cambria Math" w:hAnsi="Cambria Math"/>
              </w:rPr>
              <m:t xml:space="preserve">ED</m:t>
            </m:r>
          </m:den>
        </m:f>
      </m:oMath>
      <w:r>
        <w:rPr>
          <w:rFonts w:cs="Times New Roman" w:ascii="Times New Roman" w:hAnsi="Times New Roman"/>
          <w:szCs w:val="24"/>
        </w:rPr>
        <w:t xml:space="preserve">, with E the stiffness of the sphere and D its diameter. The compliance of the contact itself will be the sum of compliances from each sphere </w:t>
      </w:r>
      <w:r>
        <w:rPr>
          <w:rFonts w:cs="Times New Roman" w:ascii="Times New Roman" w:hAnsi="Times New Roman"/>
          <w:szCs w:val="24"/>
        </w:rPr>
      </w:r>
      <m:oMath xmlns:m="http://schemas.openxmlformats.org/officeDocument/2006/math">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 xml:space="preserve">. </w:t>
      </w:r>
      <w:r>
        <w:rPr>
          <w:rFonts w:cs="Times New Roman" w:ascii="Times New Roman" w:hAnsi="Times New Roman"/>
          <w:szCs w:val="24"/>
        </w:rPr>
        <w:t xml:space="preserve">The normal stiffness is </w:t>
      </w:r>
      <w:r>
        <w:rPr>
          <w:rFonts w:cs="Times New Roman" w:ascii="Times New Roman" w:hAnsi="Times New Roman"/>
          <w:szCs w:val="24"/>
        </w:rPr>
        <w:t>defined as:</w:t>
      </w:r>
    </w:p>
    <w:p>
      <w:pPr>
        <w:pStyle w:val="ListParagraph"/>
        <w:shd w:val="clear" w:color="auto" w:fill="FFFFFF"/>
        <w:ind w:hanging="0"/>
        <w:jc w:val="center"/>
        <w:rPr>
          <w:rFonts w:ascii="Times New Roman" w:hAnsi="Times New Roman" w:cs="Times New Roman"/>
        </w:rPr>
      </w:pPr>
      <w:r>
        <w:rPr>
          <w:rFonts w:cs="Times New Roman" w:ascii="Times New Roman" w:hAnsi="Times New Roman"/>
          <w:szCs w:val="24"/>
        </w:rPr>
      </w:r>
      <m:oMath xmlns:m="http://schemas.openxmlformats.org/officeDocument/2006/math">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w:t>
      </w:r>
    </w:p>
    <w:p>
      <w:pPr>
        <w:pStyle w:val="ListParagraph"/>
        <w:shd w:val="clear" w:color="auto" w:fill="FFFFFF"/>
        <w:ind w:hanging="0"/>
        <w:jc w:val="both"/>
        <w:rPr>
          <w:szCs w:val="24"/>
        </w:rPr>
      </w:pPr>
      <w:r>
        <w:rPr>
          <w:rFonts w:cs="Times New Roman" w:ascii="Times New Roman" w:hAnsi="Times New Roman"/>
        </w:rPr>
      </w:r>
    </w:p>
    <w:p>
      <w:pPr>
        <w:pStyle w:val="ListParagraph"/>
        <w:shd w:val="clear" w:color="auto" w:fill="FFFFFF"/>
        <w:ind w:hanging="0"/>
        <w:jc w:val="both"/>
        <w:rPr>
          <w:rFonts w:ascii="Times New Roman" w:hAnsi="Times New Roman" w:cs="Times New Roman"/>
        </w:rPr>
      </w:pPr>
      <w:r>
        <w:rPr>
          <w:rFonts w:cs="Times New Roman" w:ascii="Times New Roman" w:hAnsi="Times New Roman"/>
          <w:szCs w:val="24"/>
        </w:rPr>
        <w:t xml:space="preserve"> </w:t>
      </w:r>
      <w:r>
        <w:rPr>
          <w:rFonts w:cs="Times New Roman" w:ascii="Times New Roman" w:hAnsi="Times New Roman"/>
          <w:szCs w:val="24"/>
        </w:rPr>
        <w:t xml:space="preserve">and the </w:t>
      </w:r>
      <w:r>
        <w:rPr>
          <w:rFonts w:cs="Times New Roman" w:ascii="Times New Roman" w:hAnsi="Times New Roman"/>
          <w:szCs w:val="24"/>
        </w:rPr>
        <w:t xml:space="preserve">shear stiffness </w:t>
      </w:r>
      <w:r>
        <w:rPr>
          <w:rFonts w:cs="Times New Roman" w:ascii="Times New Roman" w:hAnsi="Times New Roman"/>
          <w:szCs w:val="24"/>
        </w:rPr>
        <w:t>is defined as:</w:t>
      </w:r>
    </w:p>
    <w:p>
      <w:pPr>
        <w:pStyle w:val="ListParagraph"/>
        <w:shd w:val="clear" w:color="auto" w:fill="FFFFFF"/>
        <w:ind w:hanging="0"/>
        <w:jc w:val="both"/>
        <w:rPr>
          <w:szCs w:val="24"/>
        </w:rPr>
      </w:pPr>
      <w:r>
        <w:rPr>
          <w:rFonts w:cs="Times New Roman" w:ascii="Times New Roman" w:hAnsi="Times New Roman"/>
        </w:rPr>
      </w:r>
    </w:p>
    <w:p>
      <w:pPr>
        <w:pStyle w:val="ListParagraph"/>
        <w:shd w:val="clear" w:color="auto" w:fill="FFFFFF"/>
        <w:ind w:hanging="0"/>
        <w:jc w:val="center"/>
        <w:rPr>
          <w:rFonts w:ascii="Times New Roman" w:hAnsi="Times New Roman" w:cs="Times New Roman"/>
        </w:rPr>
      </w:pP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ν</m:t>
        </m:r>
        <m:sSub>
          <m:e>
            <m:r>
              <w:rPr>
                <w:rFonts w:ascii="Cambria Math" w:hAnsi="Cambria Math"/>
              </w:rPr>
              <m:t xml:space="preserve">k</m:t>
            </m:r>
          </m:e>
          <m:sub>
            <m:r>
              <w:rPr>
                <w:rFonts w:ascii="Cambria Math" w:hAnsi="Cambria Math"/>
              </w:rPr>
              <m:t xml:space="preserve">n</m:t>
            </m:r>
          </m:sub>
        </m:sSub>
      </m:oMath>
      <w:r>
        <w:rPr>
          <w:rFonts w:cs="Times New Roman" w:ascii="Times New Roman" w:hAnsi="Times New Roman"/>
        </w:rPr>
        <w:t>.</w:t>
      </w:r>
    </w:p>
    <w:p>
      <w:pPr>
        <w:pStyle w:val="ListParagraph"/>
        <w:shd w:val="clear" w:color="auto" w:fill="FFFFFF"/>
        <w:ind w:hanging="0"/>
        <w:jc w:val="both"/>
        <w:rPr>
          <w:szCs w:val="24"/>
        </w:rPr>
      </w:pPr>
      <w:r>
        <w:rPr>
          <w:rFonts w:cs="Times New Roman" w:ascii="Times New Roman" w:hAnsi="Times New Roman"/>
        </w:rPr>
      </w:r>
    </w:p>
    <w:p>
      <w:pPr>
        <w:pStyle w:val="ListParagraph"/>
        <w:shd w:val="clear" w:color="auto" w:fill="FFFFFF"/>
        <w:ind w:hanging="0"/>
        <w:jc w:val="both"/>
        <w:rPr/>
      </w:pPr>
      <w:r>
        <w:rPr>
          <w:rFonts w:cs="Times New Roman" w:ascii="Times New Roman" w:hAnsi="Times New Roman"/>
          <w:szCs w:val="24"/>
        </w:rPr>
        <w:t xml:space="preserve">The normal force is  defined as F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k</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0</m:t>
            </m:r>
          </m:e>
        </m:d>
      </m:oMath>
      <w:r>
        <w:rPr>
          <w:rFonts w:cs="Times New Roman" w:ascii="Times New Roman" w:hAnsi="Times New Roman"/>
          <w:szCs w:val="24"/>
        </w:rPr>
        <w:t xml:space="preserve">. The shear force is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u</m:t>
            </m:r>
          </m:e>
          <m:sub>
            <m:r>
              <w:rPr>
                <w:rFonts w:ascii="Cambria Math" w:hAnsi="Cambria Math"/>
              </w:rPr>
              <m:t xml:space="preserve">s</m:t>
            </m:r>
          </m:sub>
        </m:sSub>
      </m:oMath>
      <w:r>
        <w:rPr>
          <w:rFonts w:cs="Times New Roman" w:ascii="Times New Roman" w:hAnsi="Times New Roman"/>
          <w:szCs w:val="24"/>
        </w:rPr>
        <w:t xml:space="preserve">and the plasticity condition defines the maximum value of the shear force: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tan</m:t>
        </m:r>
        <m:d>
          <m:dPr>
            <m:begChr m:val="("/>
            <m:endChr m:val=")"/>
          </m:dPr>
          <m:e>
            <m:r>
              <w:rPr>
                <w:rFonts w:ascii="Cambria Math" w:hAnsi="Cambria Math"/>
              </w:rPr>
              <m:t xml:space="preserve">φ</m:t>
            </m:r>
          </m:e>
        </m:d>
      </m:oMath>
      <w:r>
        <w:rPr>
          <w:rFonts w:cs="Times New Roman" w:ascii="Times New Roman" w:hAnsi="Times New Roman"/>
          <w:szCs w:val="24"/>
        </w:rPr>
        <w:t>, with φ the friction angle.</w:t>
      </w:r>
    </w:p>
    <w:p>
      <w:pPr>
        <w:pStyle w:val="Normal"/>
        <w:shd w:val="clear" w:color="auto" w:fill="FFFFFF"/>
        <w:jc w:val="both"/>
        <w:rPr>
          <w:rFonts w:ascii="Times New Roman" w:hAnsi="Times New Roman" w:cs="Times New Roman"/>
        </w:rPr>
      </w:pPr>
      <w:r>
        <w:rPr/>
      </w:r>
    </w:p>
    <w:p>
      <w:pPr>
        <w:pStyle w:val="Normal"/>
        <w:shd w:val="clear" w:color="auto" w:fill="FFFFFF"/>
        <w:jc w:val="both"/>
        <w:rPr>
          <w:rFonts w:ascii="Times New Roman" w:hAnsi="Times New Roman" w:cs="Times New Roman"/>
        </w:rPr>
      </w:pPr>
      <w:r>
        <w:rPr/>
      </w:r>
    </w:p>
    <w:p>
      <w:pPr>
        <w:pStyle w:val="Normal"/>
        <w:shd w:val="clear" w:color="auto" w:fill="FFFFFF"/>
        <w:jc w:val="both"/>
        <w:rPr/>
      </w:pPr>
      <w:r>
        <w:rPr>
          <w:rFonts w:cs="Times New Roman" w:ascii="Times New Roman" w:hAnsi="Times New Roman"/>
        </w:rPr>
        <w:t xml:space="preserve">Table </w:t>
      </w:r>
      <w:r>
        <w:rPr>
          <w:rFonts w:cs="Times New Roman" w:ascii="Times New Roman" w:hAnsi="Times New Roman"/>
        </w:rPr>
        <w:t>3</w:t>
      </w:r>
      <w:r>
        <w:rPr>
          <w:rFonts w:cs="Times New Roman" w:ascii="Times New Roman" w:hAnsi="Times New Roman"/>
        </w:rPr>
        <w:t xml:space="preserve">. </w:t>
      </w:r>
      <w:r>
        <w:rPr>
          <w:rFonts w:cs="Times New Roman" w:ascii="Times New Roman" w:hAnsi="Times New Roman"/>
        </w:rPr>
        <w:t>Contact model properties</w:t>
      </w:r>
      <w:r>
        <w:rPr>
          <w:rFonts w:cs="Times New Roman" w:ascii="Times New Roman" w:hAnsi="Times New Roman"/>
        </w:rPr>
        <w:commentReference w:id="5"/>
      </w:r>
    </w:p>
    <w:tbl>
      <w:tblPr>
        <w:tblW w:w="1045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 xml:space="preserve">Poisson’s ratio, </w:t>
            </w:r>
            <w:r>
              <w:rPr>
                <w:rFonts w:cs="Times New Roman" w:ascii="Symbol" w:hAnsi="Symbol"/>
              </w:rPr>
              <w:t></w:t>
            </w:r>
            <w:r>
              <w:rPr>
                <w:rFonts w:cs="Times New Roman" w:ascii="Times New Roman" w:hAnsi="Times New Roman"/>
              </w:rPr>
              <w:t xml:space="preserve"> </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0.35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 xml:space="preserve">Friction angle,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0.6</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 xml:space="preserve">Density,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pPr>
            <w:r>
              <w:rPr>
                <w:rFonts w:cs="Times New Roman" w:ascii="Times New Roman" w:hAnsi="Times New Roman"/>
              </w:rPr>
              <w:t>Kg/m³</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1000.0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 xml:space="preserve">Young modulus, </w:t>
            </w:r>
            <w:r>
              <w:rPr>
                <w:rFonts w:cs="Times New Roman" w:ascii="Times New Roman" w:hAnsi="Times New Roman"/>
                <w:i/>
              </w:rPr>
              <w:t>E</w:t>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pPr>
            <w:r>
              <w:rPr>
                <w:rFonts w:cs="Times New Roman" w:ascii="Times New Roman" w:hAnsi="Times New Roman"/>
              </w:rPr>
              <w:t>Pa</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pPr>
            <w:r>
              <w:rPr>
                <w:rFonts w:cs="Times New Roman" w:ascii="Times New Roman" w:hAnsi="Times New Roman"/>
              </w:rPr>
              <w:t>500.0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816"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r>
    </w:tbl>
    <w:p>
      <w:pPr>
        <w:pStyle w:val="Normal"/>
        <w:shd w:val="clear" w:color="auto" w:fill="FFFFFF"/>
        <w:jc w:val="both"/>
        <w:rPr>
          <w:rFonts w:ascii="Times New Roman" w:hAnsi="Times New Roman" w:cs="Times New Roman"/>
        </w:rPr>
      </w:pPr>
      <w:r>
        <w:rPr>
          <w:rFonts w:cs="Times New Roman" w:ascii="Times New Roman" w:hAnsi="Times New Roman"/>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ngrid Tomac" w:date="2017-08-03T11:36:00Z" w:initials="IT">
    <w:p>
      <w:r>
        <w:rPr>
          <w:rFonts w:eastAsia="DejaVu Sans" w:cs="DejaVu Sans"/>
          <w:color w:val="00000A"/>
          <w:lang w:val="en-US" w:eastAsia="en-US" w:bidi="en-US"/>
        </w:rPr>
        <w:t>This figure does not look to me as a 10 cm sphere with 1 cm particles in radius, where particles are touching each other.</w:t>
      </w:r>
    </w:p>
  </w:comment>
  <w:comment w:id="2" w:author="Ingrid Tomac" w:date="2017-08-03T11:37:00Z" w:initials="IT">
    <w:p>
      <w:r>
        <w:rPr>
          <w:rFonts w:eastAsia="DejaVu Sans" w:cs="DejaVu Sans"/>
          <w:color w:val="00000A"/>
          <w:lang w:val="en-US" w:eastAsia="en-US" w:bidi="en-US"/>
        </w:rPr>
        <w:t>Add references. Use Medeley if you can.</w:t>
      </w:r>
    </w:p>
  </w:comment>
  <w:comment w:id="1" w:author="Ingrid Tomac" w:date="2017-08-03T11:47:00Z" w:initials="IT">
    <w:p>
      <w:r>
        <w:rPr>
          <w:rFonts w:eastAsia="DejaVu Sans" w:cs="DejaVu Sans"/>
          <w:color w:val="auto"/>
          <w:lang w:val="en-US" w:eastAsia="en-US" w:bidi="en-US"/>
        </w:rPr>
      </w:r>
    </w:p>
  </w:comment>
  <w:comment w:id="3" w:author="Ingrid Tomac" w:date="2017-08-03T11:40:00Z" w:initials="IT">
    <w:p>
      <w:r>
        <w:rPr>
          <w:rFonts w:eastAsia="DejaVu Sans" w:cs="DejaVu Sans"/>
          <w:color w:val="00000A"/>
          <w:lang w:val="en-US" w:eastAsia="en-US" w:bidi="en-US"/>
        </w:rPr>
        <w:t>At the moment, we do not have walls (facets), but we might use them in the future.</w:t>
      </w:r>
    </w:p>
  </w:comment>
  <w:comment w:id="4" w:author="Ingrid Tomac" w:date="2017-08-03T11:45:00Z" w:initials="IT">
    <w:p>
      <w:r>
        <w:rPr>
          <w:rFonts w:eastAsia="DejaVu Sans" w:cs="DejaVu Sans"/>
          <w:color w:val="00000A"/>
          <w:lang w:val="en-US" w:eastAsia="en-US" w:bidi="en-US"/>
        </w:rPr>
        <w:t xml:space="preserve">Are those macro properties retrieved as an information from a model or there is a way for input? If this is input, is it for a particle bond? What type of bond is used in this model? </w:t>
      </w:r>
    </w:p>
  </w:comment>
  <w:comment w:id="5" w:author="Ingrid Tomac" w:date="2017-08-03T11:45:00Z" w:initials="IT">
    <w:p>
      <w:r>
        <w:rPr>
          <w:rFonts w:eastAsia="DejaVu Sans" w:cs="DejaVu Sans"/>
          <w:color w:val="00000A"/>
          <w:lang w:val="en-US" w:eastAsia="en-US" w:bidi="en-US"/>
        </w:rPr>
        <w:t xml:space="preserve">Are those macro properties retrieved as an information from a model or there is a way for input? If this is input, is it for a particle bond? What type of bond is used in this model?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5773"/>
    <w:rPr>
      <w:sz w:val="16"/>
      <w:szCs w:val="16"/>
    </w:rPr>
  </w:style>
  <w:style w:type="character" w:styleId="CommentTextChar" w:customStyle="1">
    <w:name w:val="Comment Text Char"/>
    <w:basedOn w:val="DefaultParagraphFont"/>
    <w:link w:val="CommentText"/>
    <w:uiPriority w:val="99"/>
    <w:semiHidden/>
    <w:qFormat/>
    <w:rsid w:val="00305773"/>
    <w:rPr>
      <w:rFonts w:cs="Mangal"/>
      <w:color w:val="00000A"/>
      <w:szCs w:val="18"/>
    </w:rPr>
  </w:style>
  <w:style w:type="character" w:styleId="CommentSubjectChar" w:customStyle="1">
    <w:name w:val="Comment Subject Char"/>
    <w:basedOn w:val="CommentTextChar"/>
    <w:link w:val="CommentSubject"/>
    <w:uiPriority w:val="99"/>
    <w:semiHidden/>
    <w:qFormat/>
    <w:rsid w:val="00305773"/>
    <w:rPr>
      <w:rFonts w:cs="Mangal"/>
      <w:b/>
      <w:bCs/>
      <w:color w:val="00000A"/>
      <w:szCs w:val="18"/>
    </w:rPr>
  </w:style>
  <w:style w:type="character" w:styleId="BalloonTextChar" w:customStyle="1">
    <w:name w:val="Balloon Text Char"/>
    <w:basedOn w:val="DefaultParagraphFont"/>
    <w:link w:val="BalloonText"/>
    <w:uiPriority w:val="99"/>
    <w:semiHidden/>
    <w:qFormat/>
    <w:rsid w:val="00305773"/>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shd w:val="clear" w:color="auto" w:fill="FFFFFF"/>
    </w:pPr>
    <w:rPr/>
  </w:style>
  <w:style w:type="paragraph" w:styleId="Tableofauthorities">
    <w:name w:val="table of authorities"/>
    <w:basedOn w:val="Heading"/>
    <w:qFormat/>
    <w:pPr>
      <w:suppressLineNumbers/>
    </w:pPr>
    <w:rPr>
      <w:b/>
      <w:bCs/>
      <w:sz w:val="32"/>
      <w:szCs w:val="32"/>
    </w:rPr>
  </w:style>
  <w:style w:type="paragraph" w:styleId="Bibliography1" w:customStyle="1">
    <w:name w:val="Bibliography 1"/>
    <w:basedOn w:val="Index"/>
    <w:qFormat/>
    <w:pPr>
      <w:tabs>
        <w:tab w:val="right" w:pos="9638" w:leader="dot"/>
      </w:tabs>
    </w:pPr>
    <w:rPr/>
  </w:style>
  <w:style w:type="paragraph" w:styleId="FrameContents" w:customStyle="1">
    <w:name w:val="Frame Contents"/>
    <w:basedOn w:val="Normal"/>
    <w:qFormat/>
    <w:pPr/>
    <w:rPr/>
  </w:style>
  <w:style w:type="paragraph" w:styleId="Annotationtext">
    <w:name w:val="annotation text"/>
    <w:basedOn w:val="Normal"/>
    <w:link w:val="CommentTextChar"/>
    <w:uiPriority w:val="99"/>
    <w:semiHidden/>
    <w:unhideWhenUsed/>
    <w:qFormat/>
    <w:rsid w:val="00305773"/>
    <w:pPr/>
    <w:rPr>
      <w:rFonts w:cs="Mangal"/>
      <w:sz w:val="20"/>
      <w:szCs w:val="18"/>
    </w:rPr>
  </w:style>
  <w:style w:type="paragraph" w:styleId="Annotationsubject">
    <w:name w:val="annotation subject"/>
    <w:basedOn w:val="Annotationtext"/>
    <w:link w:val="CommentSubjectChar"/>
    <w:uiPriority w:val="99"/>
    <w:semiHidden/>
    <w:unhideWhenUsed/>
    <w:qFormat/>
    <w:rsid w:val="00305773"/>
    <w:pPr/>
    <w:rPr>
      <w:b/>
      <w:bCs/>
    </w:rPr>
  </w:style>
  <w:style w:type="paragraph" w:styleId="BalloonText">
    <w:name w:val="Balloon Text"/>
    <w:basedOn w:val="Normal"/>
    <w:link w:val="BalloonTextChar"/>
    <w:uiPriority w:val="99"/>
    <w:semiHidden/>
    <w:unhideWhenUsed/>
    <w:qFormat/>
    <w:rsid w:val="00305773"/>
    <w:pPr/>
    <w:rPr>
      <w:rFonts w:ascii="Segoe UI" w:hAnsi="Segoe UI" w:cs="Mangal"/>
      <w:sz w:val="18"/>
      <w:szCs w:val="16"/>
    </w:rPr>
  </w:style>
  <w:style w:type="paragraph" w:styleId="ListParagraph">
    <w:name w:val="List Paragraph"/>
    <w:basedOn w:val="Normal"/>
    <w:uiPriority w:val="34"/>
    <w:qFormat/>
    <w:rsid w:val="0081033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5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0954D-2957-4646-BDA4-F54716F1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Application>LibreOffice/5.1.6.2$Linux_X86_64 LibreOffice_project/10m0$Build-2</Application>
  <Pages>2</Pages>
  <Words>353</Words>
  <Characters>1698</Characters>
  <CharactersWithSpaces>2001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2017-08-03T09:24:00Z</dcterms:created>
  <dc:creator>Ingrid Tomac</dc:creator>
  <dc:description/>
  <dc:language>en-US</dc:language>
  <cp:lastModifiedBy/>
  <dcterms:modified xsi:type="dcterms:W3CDTF">2017-08-03T17:04:35Z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