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141EF3A9" w:rsidR="0031530A" w:rsidRDefault="000E1B5B">
      <w:pPr>
        <w:pBdr>
          <w:bottom w:val="single" w:sz="4" w:space="1" w:color="000000"/>
        </w:pBdr>
        <w:shd w:val="clear" w:color="auto" w:fill="FFFFFF"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Referencia: EX-2025-60891466-APN-GA#SSN - </w:t>
      </w:r>
      <w:r w:rsidR="00D648CD" w:rsidRPr="004D0FE4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D648CD" w:rsidRPr="004D0FE4">
        <w:rPr>
          <w:rFonts w:ascii="Times New Roman" w:eastAsia="Times New Roman" w:hAnsi="Times New Roman" w:cs="Times New Roman"/>
          <w:sz w:val="24"/>
          <w:szCs w:val="24"/>
        </w:rPr>
        <w:t>nom_cia</w:t>
      </w:r>
      <w:proofErr w:type="spellEnd"/>
      <w:r w:rsidR="00D648CD" w:rsidRPr="004D0FE4">
        <w:rPr>
          <w:rFonts w:ascii="Times New Roman" w:eastAsia="Times New Roman" w:hAnsi="Times New Roman" w:cs="Times New Roman"/>
          <w:sz w:val="24"/>
          <w:szCs w:val="24"/>
        </w:rPr>
        <w:t>}}</w:t>
      </w:r>
      <w:r w:rsidR="00D648CD">
        <w:rPr>
          <w:rFonts w:ascii="Times New Roman" w:eastAsia="Times New Roman" w:hAnsi="Times New Roman" w:cs="Times New Roman"/>
          <w:sz w:val="24"/>
          <w:szCs w:val="24"/>
        </w:rPr>
        <w:t xml:space="preserve"> (Cód</w:t>
      </w:r>
      <w:r w:rsidR="0037111F">
        <w:rPr>
          <w:rFonts w:ascii="Times New Roman" w:eastAsia="Times New Roman" w:hAnsi="Times New Roman" w:cs="Times New Roman"/>
          <w:sz w:val="24"/>
          <w:szCs w:val="24"/>
        </w:rPr>
        <w:t>. {{</w:t>
      </w:r>
      <w:proofErr w:type="spellStart"/>
      <w:r w:rsidR="0037111F">
        <w:rPr>
          <w:rFonts w:ascii="Times New Roman" w:eastAsia="Times New Roman" w:hAnsi="Times New Roman" w:cs="Times New Roman"/>
          <w:sz w:val="24"/>
          <w:szCs w:val="24"/>
        </w:rPr>
        <w:t>format_cia</w:t>
      </w:r>
      <w:proofErr w:type="spellEnd"/>
      <w:r w:rsidR="00D648CD" w:rsidRPr="004D0FE4">
        <w:rPr>
          <w:rFonts w:ascii="Times New Roman" w:eastAsia="Times New Roman" w:hAnsi="Times New Roman" w:cs="Times New Roman"/>
          <w:sz w:val="24"/>
          <w:szCs w:val="24"/>
        </w:rPr>
        <w:t>}})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– Reservas de siniestros Pendientes </w:t>
      </w:r>
      <w:r w:rsidR="009C2360">
        <w:rPr>
          <w:rFonts w:ascii="Times New Roman" w:eastAsia="Times New Roman" w:hAnsi="Times New Roman" w:cs="Times New Roman"/>
          <w:sz w:val="24"/>
          <w:szCs w:val="24"/>
        </w:rPr>
        <w:t>al {{periodo}}</w:t>
      </w:r>
    </w:p>
    <w:p w14:paraId="00000002" w14:textId="35CCBA7A" w:rsidR="0031530A" w:rsidRPr="00D648CD" w:rsidRDefault="00D648CD">
      <w:pPr>
        <w:shd w:val="clear" w:color="auto" w:fill="FFFFFF"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8CD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D648CD">
        <w:rPr>
          <w:rFonts w:ascii="Times New Roman" w:eastAsia="Times New Roman" w:hAnsi="Times New Roman" w:cs="Times New Roman"/>
          <w:sz w:val="24"/>
          <w:szCs w:val="24"/>
        </w:rPr>
        <w:t>nombr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Pr="00D648CD">
        <w:rPr>
          <w:rFonts w:ascii="Times New Roman" w:eastAsia="Times New Roman" w:hAnsi="Times New Roman" w:cs="Times New Roman"/>
          <w:sz w:val="24"/>
          <w:szCs w:val="24"/>
        </w:rPr>
        <w:t>_auditor</w:t>
      </w:r>
      <w:proofErr w:type="spellEnd"/>
      <w:r w:rsidRPr="00D648CD">
        <w:rPr>
          <w:rFonts w:ascii="Times New Roman" w:eastAsia="Times New Roman" w:hAnsi="Times New Roman" w:cs="Times New Roman"/>
          <w:sz w:val="24"/>
          <w:szCs w:val="24"/>
        </w:rPr>
        <w:t>}}</w:t>
      </w:r>
      <w:bookmarkStart w:id="0" w:name="_GoBack"/>
      <w:bookmarkEnd w:id="0"/>
    </w:p>
    <w:p w14:paraId="00000003" w14:textId="58E0D7BA" w:rsidR="0031530A" w:rsidRDefault="000E1B5B">
      <w:pPr>
        <w:shd w:val="clear" w:color="auto" w:fill="FFFFFF"/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Auditor externo de </w:t>
      </w:r>
      <w:r w:rsidR="00D648CD" w:rsidRPr="004D0FE4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D648CD" w:rsidRPr="004D0FE4">
        <w:rPr>
          <w:rFonts w:ascii="Times New Roman" w:eastAsia="Times New Roman" w:hAnsi="Times New Roman" w:cs="Times New Roman"/>
          <w:sz w:val="24"/>
          <w:szCs w:val="24"/>
        </w:rPr>
        <w:t>nom_cia</w:t>
      </w:r>
      <w:proofErr w:type="spellEnd"/>
      <w:r w:rsidR="00D648CD" w:rsidRPr="004D0FE4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00000004" w14:textId="2A0EF3F5" w:rsidR="0031530A" w:rsidRDefault="000E1B5B">
      <w:pPr>
        <w:shd w:val="clear" w:color="auto" w:fill="FFFFFF"/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bookmarkStart w:id="1" w:name="_3j002fybna2w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Orden registro SSN N°</w:t>
      </w:r>
      <w:r w:rsidR="00D648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648CD" w:rsidRPr="00D648CD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D648CD">
        <w:rPr>
          <w:rFonts w:ascii="Times New Roman" w:eastAsia="Times New Roman" w:hAnsi="Times New Roman" w:cs="Times New Roman"/>
          <w:sz w:val="24"/>
          <w:szCs w:val="24"/>
        </w:rPr>
        <w:t>numero</w:t>
      </w:r>
      <w:r w:rsidR="00D648CD" w:rsidRPr="00D648CD">
        <w:rPr>
          <w:rFonts w:ascii="Times New Roman" w:eastAsia="Times New Roman" w:hAnsi="Times New Roman" w:cs="Times New Roman"/>
          <w:sz w:val="24"/>
          <w:szCs w:val="24"/>
        </w:rPr>
        <w:t>_</w:t>
      </w:r>
      <w:r w:rsidR="00D648CD">
        <w:rPr>
          <w:rFonts w:ascii="Times New Roman" w:eastAsia="Times New Roman" w:hAnsi="Times New Roman" w:cs="Times New Roman"/>
          <w:sz w:val="24"/>
          <w:szCs w:val="24"/>
        </w:rPr>
        <w:t>registro</w:t>
      </w:r>
      <w:proofErr w:type="spellEnd"/>
      <w:r w:rsidR="00D648CD" w:rsidRPr="00D648CD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00000005" w14:textId="77777777" w:rsidR="0031530A" w:rsidRDefault="0031530A">
      <w:pPr>
        <w:shd w:val="clear" w:color="auto" w:fill="FFFFFF"/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bookmarkStart w:id="2" w:name="_kn9wbigagx1u" w:colFirst="0" w:colLast="0"/>
      <w:bookmarkEnd w:id="2"/>
    </w:p>
    <w:p w14:paraId="0C776D9D" w14:textId="77777777" w:rsidR="003C49E0" w:rsidRPr="003C49E0" w:rsidRDefault="003C49E0" w:rsidP="003C49E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2iq1o9cio30g" w:colFirst="0" w:colLast="0"/>
      <w:bookmarkStart w:id="4" w:name="_heading=h.tdj1lkikobdu" w:colFirst="0" w:colLast="0"/>
      <w:bookmarkEnd w:id="3"/>
      <w:bookmarkEnd w:id="4"/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VISTO, la presentación efectuada por la entidad de la referencia al Sistema de </w:t>
      </w:r>
      <w:r w:rsidRPr="003C49E0">
        <w:rPr>
          <w:rFonts w:ascii="Times New Roman" w:eastAsia="Times New Roman" w:hAnsi="Times New Roman" w:cs="Times New Roman"/>
          <w:sz w:val="24"/>
          <w:szCs w:val="24"/>
        </w:rPr>
        <w:t>Información</w:t>
      </w:r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 Juicios y Mediaciones</w:t>
      </w: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, conforme lo establecido en </w:t>
      </w:r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>el punto 39.6.4 del Reglamento General de la Actividad Aseguradora (R.G.</w:t>
      </w: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A.A.), en el marco del análisis de la Reserva de Siniestros Pendientes (R.S.P.) prevista en el punto 33.3. </w:t>
      </w:r>
      <w:proofErr w:type="gramStart"/>
      <w:r w:rsidRPr="003C49E0">
        <w:rPr>
          <w:rFonts w:ascii="Times New Roman" w:eastAsia="Times New Roman" w:hAnsi="Times New Roman" w:cs="Times New Roman"/>
          <w:sz w:val="24"/>
          <w:szCs w:val="24"/>
        </w:rPr>
        <w:t>del</w:t>
      </w:r>
      <w:proofErr w:type="gram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R.G.A.A. respecto del período finalizado al {</w:t>
      </w:r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spellStart"/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>fecha_per</w:t>
      </w:r>
      <w:proofErr w:type="spellEnd"/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>}}</w:t>
      </w: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y el estado de las presentes actuaciones; notifíquese a la entidad que:</w:t>
      </w:r>
    </w:p>
    <w:p w14:paraId="5CB4D78E" w14:textId="77777777" w:rsidR="003C49E0" w:rsidRPr="003C49E0" w:rsidRDefault="003C49E0" w:rsidP="003C49E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{%-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auto_flag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moto_flag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rc_flag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%}</w:t>
      </w:r>
    </w:p>
    <w:p w14:paraId="20BE5348" w14:textId="77777777" w:rsidR="003C49E0" w:rsidRPr="003C49E0" w:rsidRDefault="003C49E0" w:rsidP="003C49E0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>Respecto del análisis realizado por aquellos casos de juicios que la entidad ha informado con estado procesal “Iniciado”, que no corresponden a reclamaciones declaradas como “no seguro” y que además presentan un importe determinado.</w:t>
      </w:r>
    </w:p>
    <w:p w14:paraId="408DABD3" w14:textId="77777777" w:rsidR="003C49E0" w:rsidRPr="003C49E0" w:rsidRDefault="003C49E0" w:rsidP="003C49E0">
      <w:pPr>
        <w:spacing w:after="16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</w:rPr>
        <w:t>Sobre el particular se indica:</w:t>
      </w:r>
    </w:p>
    <w:p w14:paraId="1605A01C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bookmarkStart w:id="5" w:name="_heading=h.uoqsdycnnfts" w:colFirst="0" w:colLast="0"/>
      <w:bookmarkEnd w:id="5"/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endif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70DC1F92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{%-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auto_flag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7B4163B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  <w:u w:val="single"/>
        </w:rPr>
        <w:t>Rama Automotores</w:t>
      </w:r>
    </w:p>
    <w:p w14:paraId="62C5A861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De la revisión efectuada respecto de la rama Automotores, la entidad presenta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auto_casos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reclamaciones judiciales cuya reserva asciende a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auto_reserva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53D96E00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33.3.3.5.1 del R.G.A.A. para cada uno de los juicios mencionados, detectándose una subvaluación en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auto_casos_mm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auto_diff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575DCAE5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endif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443D8550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{%-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moto_flag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7302AE7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C49E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Rama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  <w:u w:val="single"/>
        </w:rPr>
        <w:t>Motovehículos</w:t>
      </w:r>
      <w:proofErr w:type="spellEnd"/>
    </w:p>
    <w:p w14:paraId="5DEA956A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De la revisión efectuada respecto de la rama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Motovehículos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, la entidad presenta</w:t>
      </w:r>
      <w:r w:rsidRPr="003C49E0">
        <w:rPr>
          <w:rFonts w:ascii="Calibri" w:eastAsia="Calibri" w:hAnsi="Calibri" w:cs="Calibri"/>
          <w:sz w:val="24"/>
          <w:szCs w:val="24"/>
        </w:rPr>
        <w:t xml:space="preserve"> </w:t>
      </w:r>
      <w:r w:rsidRPr="003C49E0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moto_casos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reclamaciones judiciales cuya reserva asciende a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moto_reserva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0B72F7E0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33.3.3.5.1 del R.G.A.A. para cada uno de los juicios mencionados, detectándose una subvaluación en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moto_casos_mm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moto_diff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549C0339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endif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00347A0D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rc_flag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783AFE1D" w14:textId="77777777" w:rsidR="003C49E0" w:rsidRPr="003C49E0" w:rsidRDefault="003C49E0" w:rsidP="003C49E0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lastRenderedPageBreak/>
        <w:t>Rama Responsabilidad Civil</w:t>
      </w:r>
    </w:p>
    <w:p w14:paraId="0A33A3FD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De la revisión efectuada respecto de la rama Responsabilidad Civil, la entidad presenta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rc_casos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reclamaciones judiciales cuya reserva asciende a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rc_reserva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7A26CFBD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33.3.3.5.1 del R.G.A.A. para cada uno de los juicios mencionados, detectándose una subvaluación en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rc_casos_mm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rc_diff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3DFC73A8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endif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18EDC063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resto_ramas_flag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73FA4CF6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  <w:u w:val="single"/>
        </w:rPr>
        <w:t>Resto de ramas</w:t>
      </w:r>
    </w:p>
    <w:p w14:paraId="64675FA4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De la revisión efectuada para todas las ramas con excepción a Automotores,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Motovehículos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y Responsabilidad Civil, la entidad presenta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rr_casos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reclamaciones judiciales cuya reserva asciende a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rr_reserva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6CCD1488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33.3.3.5.4 del R.G.A.A. para cada uno de los juicios mencionados, detectándose una subvaluación en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rr_casos_mm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rr_diff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12998C36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endif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27A4AF30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indeterminados_flag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73E1876C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Respecto del análisis realizado por aquellos casos de juicios que la entidad ha informado con estado procesal “Iniciado”, que no corresponden a reclamaciones declaradas como “no seguro” y que no presentan un importe determinado.</w:t>
      </w:r>
    </w:p>
    <w:p w14:paraId="2E1522E9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Sobre el particular se indica:</w:t>
      </w:r>
    </w:p>
    <w:p w14:paraId="7BE9150A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C49E0">
        <w:rPr>
          <w:rFonts w:ascii="Times New Roman" w:eastAsia="Times New Roman" w:hAnsi="Times New Roman" w:cs="Times New Roman"/>
          <w:sz w:val="24"/>
          <w:szCs w:val="24"/>
          <w:u w:val="single"/>
        </w:rPr>
        <w:t>Demandas Indeterminadas</w:t>
      </w:r>
    </w:p>
    <w:p w14:paraId="37D91D04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De la revisión efectuada para todas las ramas, la entidad presenta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indeterminados_casos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reclamaciones judiciales con monto indeterminado cuya reserva asciende a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indeterminados_reserva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1F3AEA03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33.3.3.3 del R.G.A.A. para cada uno de los juicios mencionados, detectándose una valuación en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indeterminados_casos_mm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indeterminados_diff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32303A7A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endif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7F40156F" w14:textId="77777777" w:rsidR="003C49E0" w:rsidRPr="003C49E0" w:rsidRDefault="003C49E0" w:rsidP="003C49E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3C49E0">
        <w:rPr>
          <w:rFonts w:ascii="Calibri" w:eastAsia="Calibri" w:hAnsi="Calibri" w:cs="Calibri"/>
          <w:sz w:val="24"/>
          <w:szCs w:val="24"/>
        </w:rPr>
        <w:t xml:space="preserve">{%-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if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Pr="003C49E0">
        <w:rPr>
          <w:rFonts w:ascii="Calibri" w:eastAsia="Calibri" w:hAnsi="Calibri" w:cs="Calibri"/>
          <w:sz w:val="24"/>
          <w:szCs w:val="24"/>
        </w:rPr>
        <w:t>mediaciones_flag</w:t>
      </w:r>
      <w:proofErr w:type="spellEnd"/>
      <w:r w:rsidRPr="003C49E0">
        <w:rPr>
          <w:rFonts w:ascii="Calibri" w:eastAsia="Calibri" w:hAnsi="Calibri" w:cs="Calibri"/>
          <w:sz w:val="24"/>
          <w:szCs w:val="24"/>
        </w:rPr>
        <w:t xml:space="preserve"> %}</w:t>
      </w:r>
    </w:p>
    <w:p w14:paraId="58834F97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Respecto del análisis realizado sobre las mediaciones que la entidad ha informado con estado procesal “Iniciado” y que no corresponden a reclamaciones declaradas como “no seguro”.</w:t>
      </w:r>
    </w:p>
    <w:p w14:paraId="40912EE5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Sobre el particular se indica:</w:t>
      </w:r>
    </w:p>
    <w:p w14:paraId="1CC0D545" w14:textId="77777777" w:rsidR="003C49E0" w:rsidRPr="003C49E0" w:rsidRDefault="003C49E0" w:rsidP="003C49E0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Mediaciones</w:t>
      </w:r>
    </w:p>
    <w:p w14:paraId="2CC275E2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lastRenderedPageBreak/>
        <w:t>De la revisión efectuada para todas las ramas, la entidad presenta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mediaciones_casos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mediaciones cuya reserva asciende a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mediaciones_reserva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  </w:t>
      </w:r>
    </w:p>
    <w:p w14:paraId="3B313352" w14:textId="77777777" w:rsidR="003C49E0" w:rsidRP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33.3.2 del R.G.A.A. para cada una de las mediaciones mencionadas, detectándose una valuación en 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mediaciones_casos_mm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mediaciones_diff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08B2294D" w14:textId="77777777" w:rsidR="003C49E0" w:rsidRDefault="003C49E0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{%- </w:t>
      </w:r>
      <w:proofErr w:type="spellStart"/>
      <w:r w:rsidRPr="003C49E0">
        <w:rPr>
          <w:rFonts w:ascii="Times New Roman" w:eastAsia="Times New Roman" w:hAnsi="Times New Roman" w:cs="Times New Roman"/>
          <w:sz w:val="24"/>
          <w:szCs w:val="24"/>
        </w:rPr>
        <w:t>endif</w:t>
      </w:r>
      <w:proofErr w:type="spellEnd"/>
      <w:r w:rsidRPr="003C49E0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355CDD5E" w14:textId="35E7211A" w:rsidR="000E1B5B" w:rsidRPr="000E1B5B" w:rsidRDefault="000E1B5B" w:rsidP="003C49E0">
      <w:pPr>
        <w:spacing w:after="16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1B5B">
        <w:rPr>
          <w:rFonts w:ascii="Times New Roman" w:eastAsia="Times New Roman" w:hAnsi="Times New Roman" w:cs="Times New Roman"/>
          <w:sz w:val="24"/>
          <w:szCs w:val="24"/>
        </w:rPr>
        <w:t xml:space="preserve">Se adjuntan embebidos en el presente proveído el listado de registros que se detectaron subvaluados para cada una de las ramas indicadas, a los fines de expedirse respecto a las diferencias detectadas rectificando y/o ratificando </w:t>
      </w:r>
      <w:proofErr w:type="spellStart"/>
      <w:r w:rsidRPr="000E1B5B">
        <w:rPr>
          <w:rFonts w:ascii="Times New Roman" w:eastAsia="Times New Roman" w:hAnsi="Times New Roman" w:cs="Times New Roman"/>
          <w:sz w:val="24"/>
          <w:szCs w:val="24"/>
        </w:rPr>
        <w:t>fundamentadamente</w:t>
      </w:r>
      <w:proofErr w:type="spellEnd"/>
      <w:r w:rsidRPr="000E1B5B">
        <w:rPr>
          <w:rFonts w:ascii="Times New Roman" w:eastAsia="Times New Roman" w:hAnsi="Times New Roman" w:cs="Times New Roman"/>
          <w:sz w:val="24"/>
          <w:szCs w:val="24"/>
        </w:rPr>
        <w:t xml:space="preserve"> cada caso.</w:t>
      </w:r>
    </w:p>
    <w:p w14:paraId="00000028" w14:textId="77777777" w:rsidR="0031530A" w:rsidRDefault="000E1B5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ua33qdmhq3re" w:colFirst="0" w:colLast="0"/>
      <w:bookmarkStart w:id="7" w:name="_b5kj8mfkpwl2" w:colFirst="0" w:colLast="0"/>
      <w:bookmarkStart w:id="8" w:name="_layxkrqddfy0" w:colFirst="0" w:colLast="0"/>
      <w:bookmarkEnd w:id="6"/>
      <w:bookmarkEnd w:id="7"/>
      <w:bookmarkEnd w:id="8"/>
      <w:r>
        <w:rPr>
          <w:rFonts w:ascii="Times New Roman" w:eastAsia="Times New Roman" w:hAnsi="Times New Roman" w:cs="Times New Roman"/>
          <w:sz w:val="24"/>
          <w:szCs w:val="24"/>
        </w:rPr>
        <w:t>Asimismo, se requiere que acredite los procedimientos para el cumplimiento de lo establecido en el punto 39.13.2, en particular los incisos 26 al 32 del R.G.A.A.</w:t>
      </w:r>
    </w:p>
    <w:p w14:paraId="00000029" w14:textId="77777777" w:rsidR="0031530A" w:rsidRDefault="000E1B5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 línea con lo anterior, se deja expresa mención que la respuesta del auditor deberá realizarse considerando la totalidad de los casos informados en la presente notificación.</w:t>
      </w:r>
    </w:p>
    <w:p w14:paraId="0000002A" w14:textId="59137025" w:rsidR="0031530A" w:rsidRDefault="000E1B5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Atento que se observa que en su informe no ha emitido opinión sobre la reserva en cuestión, se corre traslado por el término de </w:t>
      </w:r>
      <w:r w:rsidR="00E41CBE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E41CBE" w:rsidRPr="00681445">
        <w:rPr>
          <w:rFonts w:ascii="Times New Roman" w:eastAsia="Times New Roman" w:hAnsi="Times New Roman" w:cs="Times New Roman"/>
          <w:sz w:val="24"/>
          <w:szCs w:val="24"/>
        </w:rPr>
        <w:t>dias_letra</w:t>
      </w:r>
      <w:proofErr w:type="spellEnd"/>
      <w:r w:rsidR="00E41CBE" w:rsidRPr="00681445">
        <w:rPr>
          <w:rFonts w:ascii="Times New Roman" w:eastAsia="Times New Roman" w:hAnsi="Times New Roman" w:cs="Times New Roman"/>
          <w:sz w:val="24"/>
          <w:szCs w:val="24"/>
        </w:rPr>
        <w:t>}} ({{</w:t>
      </w:r>
      <w:proofErr w:type="spellStart"/>
      <w:r w:rsidR="00E41CBE" w:rsidRPr="00681445">
        <w:rPr>
          <w:rFonts w:ascii="Times New Roman" w:eastAsia="Times New Roman" w:hAnsi="Times New Roman" w:cs="Times New Roman"/>
          <w:sz w:val="24"/>
          <w:szCs w:val="24"/>
        </w:rPr>
        <w:t>dias_num</w:t>
      </w:r>
      <w:proofErr w:type="spellEnd"/>
      <w:r w:rsidR="00E41CBE" w:rsidRPr="00681445">
        <w:rPr>
          <w:rFonts w:ascii="Times New Roman" w:eastAsia="Times New Roman" w:hAnsi="Times New Roman" w:cs="Times New Roman"/>
          <w:sz w:val="24"/>
          <w:szCs w:val="24"/>
        </w:rPr>
        <w:t>}})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días hábiles a fin de dar cumplimiento con el presente requerimiento adjuntando en una planilla de cálculo formato Excel (.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xlsx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como respaldo documental.</w:t>
      </w:r>
    </w:p>
    <w:p w14:paraId="0000002B" w14:textId="77777777" w:rsidR="0031530A" w:rsidRDefault="000E1B5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Por último y sin más cuestiones que destacar, se recuerda que, a fin de dar respuesta al presente requerimiento, deberá ingresarlo vía el Trámite a Distancia denominado “Respuesta a Requerimientos y Presentaciones Espontáneas dirigidas a la Gerencia Técnica y Normativa” haciendo mención expresa al número de expediente electrónico correspondiente a estas actuaciones. A los efectos de remitir la información requerida en formato Excel, la misma deberá adjuntarse a través de “Documentación adicional” toda vez que esta permite la carga de documentos en dicho formato.</w:t>
      </w:r>
    </w:p>
    <w:p w14:paraId="0000002C" w14:textId="77777777" w:rsidR="0031530A" w:rsidRDefault="0031530A"/>
    <w:sectPr w:rsidR="0031530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3316A80C-8CF9-49CF-B411-2B66DBA7EDF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6A8E521-A6BB-4B70-87C1-4B5029D3AC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B3F8324-BA12-4B56-B918-91384E1FBA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530A"/>
    <w:rsid w:val="000E1B5B"/>
    <w:rsid w:val="0031530A"/>
    <w:rsid w:val="0037111F"/>
    <w:rsid w:val="003C49E0"/>
    <w:rsid w:val="008E20BB"/>
    <w:rsid w:val="009C2360"/>
    <w:rsid w:val="00D648CD"/>
    <w:rsid w:val="00E41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8E317DC-BC24-4D29-B1E5-D546DA36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648C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648C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921</Words>
  <Characters>5069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Federico Reynoso</cp:lastModifiedBy>
  <cp:revision>7</cp:revision>
  <dcterms:created xsi:type="dcterms:W3CDTF">2026-03-26T19:45:00Z</dcterms:created>
  <dcterms:modified xsi:type="dcterms:W3CDTF">2026-04-06T17:30:00Z</dcterms:modified>
</cp:coreProperties>
</file>