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6E"/>
          <w:sz w:val="28"/>
          <w:szCs w:val="28"/>
        </w:rPr>
        <w:t xml:space="preserve">Informe de Incidentes de Seguridad — Q3 2024</w:t>
      </w:r>
    </w:p>
    <w:p>
      <w:pPr>
        <w:spacing w:after="120"/>
      </w:pPr>
      <w:r>
        <w:rPr>
          <w:rFonts w:ascii="Arial" w:cs="Arial" w:eastAsia="Arial" w:hAnsi="Arial"/>
          <w:b/>
          <w:bCs/>
          <w:sz w:val="22"/>
          <w:szCs w:val="22"/>
        </w:rPr>
        <w:t xml:space="preserve">Área: </w:t>
      </w:r>
      <w:r>
        <w:rPr>
          <w:rFonts w:ascii="Arial" w:cs="Arial" w:eastAsia="Arial" w:hAnsi="Arial"/>
          <w:sz w:val="22"/>
          <w:szCs w:val="22"/>
        </w:rPr>
        <w:t xml:space="preserve">Information Security | </w:t>
      </w:r>
      <w:r>
        <w:rPr>
          <w:rFonts w:ascii="Arial" w:cs="Arial" w:eastAsia="Arial" w:hAnsi="Arial"/>
          <w:b/>
          <w:bCs/>
          <w:sz w:val="22"/>
          <w:szCs w:val="22"/>
        </w:rPr>
        <w:t xml:space="preserve">Período: </w:t>
      </w:r>
      <w:r>
        <w:rPr>
          <w:rFonts w:ascii="Arial" w:cs="Arial" w:eastAsia="Arial" w:hAnsi="Arial"/>
          <w:sz w:val="22"/>
          <w:szCs w:val="22"/>
        </w:rPr>
        <w:t xml:space="preserve">Julio – Septiembre 2024</w:t>
      </w:r>
    </w:p>
    <w:p>
      <w:pPr>
        <w:spacing w:after="120"/>
      </w:pPr>
      <w:r>
        <w:rPr>
          <w:rFonts w:ascii="Arial" w:cs="Arial" w:eastAsia="Arial" w:hAnsi="Arial"/>
          <w:b/>
          <w:bCs/>
          <w:sz w:val="22"/>
          <w:szCs w:val="22"/>
        </w:rPr>
        <w:t xml:space="preserve">Clasificación: </w:t>
      </w:r>
      <w:r>
        <w:rPr>
          <w:rFonts w:ascii="Arial" w:cs="Arial" w:eastAsia="Arial" w:hAnsi="Arial"/>
          <w:sz w:val="22"/>
          <w:szCs w:val="22"/>
        </w:rPr>
        <w:t xml:space="preserve">Interno — Uso restringido al equipo de Seguridad y Comité de Riesgos</w:t>
      </w:r>
    </w:p>
    <w:p>
      <w:pPr>
        <w:spacing w:after="120"/>
      </w:pPr>
      <w:r>
        <w:rPr>
          <w:rFonts w:ascii="Arial" w:cs="Arial" w:eastAsia="Arial" w:hAnsi="Arial"/>
          <w:b/>
          <w:bCs/>
          <w:sz w:val="22"/>
          <w:szCs w:val="22"/>
        </w:rPr>
        <w:t xml:space="preserve">Versión: </w:t>
      </w:r>
      <w:r>
        <w:rPr>
          <w:rFonts w:ascii="Arial" w:cs="Arial" w:eastAsia="Arial" w:hAnsi="Arial"/>
          <w:sz w:val="22"/>
          <w:szCs w:val="22"/>
        </w:rPr>
        <w:t xml:space="preserve">1.2 | </w:t>
      </w:r>
      <w:r>
        <w:rPr>
          <w:rFonts w:ascii="Arial" w:cs="Arial" w:eastAsia="Arial" w:hAnsi="Arial"/>
          <w:b/>
          <w:bCs/>
          <w:sz w:val="22"/>
          <w:szCs w:val="22"/>
        </w:rPr>
        <w:t xml:space="preserve">Autor: </w:t>
      </w:r>
      <w:r>
        <w:rPr>
          <w:rFonts w:ascii="Arial" w:cs="Arial" w:eastAsia="Arial" w:hAnsi="Arial"/>
          <w:sz w:val="22"/>
          <w:szCs w:val="22"/>
        </w:rPr>
        <w:t xml:space="preserve">Equipo Information Security</w:t>
      </w:r>
    </w:p>
    <w:p>
      <w:pPr>
        <w:pBdr>
          <w:bottom w:val="single" w:color="1A1A6E" w:sz="4" w:space="1"/>
        </w:pBdr>
        <w:spacing w:after="160"/>
      </w:pPr>
      <w:r>
        <w:t xml:space="preserve"/>
      </w:r>
    </w:p>
    <w:p>
      <w:pPr>
        <w:pStyle w:val="Heading2"/>
      </w:pPr>
      <w:r>
        <w:rPr>
          <w:rFonts w:ascii="Arial" w:cs="Arial" w:eastAsia="Arial" w:hAnsi="Arial"/>
          <w:b/>
          <w:bCs/>
          <w:color w:val="2C2C7A"/>
          <w:sz w:val="24"/>
          <w:szCs w:val="24"/>
        </w:rPr>
        <w:t xml:space="preserve">1. Resumen Ejecutivo</w:t>
      </w:r>
    </w:p>
    <w:p>
      <w:pPr>
        <w:spacing w:after="120"/>
      </w:pPr>
      <w:r>
        <w:rPr>
          <w:rFonts w:ascii="Arial" w:cs="Arial" w:eastAsia="Arial" w:hAnsi="Arial"/>
          <w:sz w:val="22"/>
          <w:szCs w:val="22"/>
        </w:rPr>
        <w:t xml:space="preserve">Durante el tercer trimestre de 2024, el área de Seguridad de la Información registró un total de 47 incidentes de seguridad, lo que representa un incremento del 12% respecto al Q2 (42 incidentes). Este aumento no debe interpretarse necesariamente como un deterioro en la postura de seguridad: parte del incremento responde a la mejora en las capacidades de detección implementadas a partir del nuevo SIEM desplegado en junio, que permitió visibilizar eventos que anteriormente no eran registrados.</w:t>
      </w:r>
    </w:p>
    <w:p>
      <w:pPr>
        <w:spacing w:after="120"/>
      </w:pPr>
      <w:r>
        <w:rPr>
          <w:rFonts w:ascii="Arial" w:cs="Arial" w:eastAsia="Arial" w:hAnsi="Arial"/>
          <w:sz w:val="22"/>
          <w:szCs w:val="22"/>
        </w:rPr>
        <w:t xml:space="preserve">El indicador más relevante del trimestre es la reducción de la tasa de incidentes críticos: pasó del 19% en Q2 al 11% en Q3, reflejando la efectividad del Plan de Mejora de Seguridad aprobado en la primera mitad del año. De los 5 incidentes clasificados como críticos, 3 fueron contenidos dentro de las primeras 4 horas y los 2 restantes dentro de las 8 horas, todos por debajo del umbral máximo de respuesta comprometido (12 horas para críticos).</w:t>
      </w:r>
    </w:p>
    <w:p>
      <w:pPr>
        <w:spacing w:after="120"/>
      </w:pPr>
      <w:r>
        <w:rPr>
          <w:rFonts w:ascii="Arial" w:cs="Arial" w:eastAsia="Arial" w:hAnsi="Arial"/>
          <w:sz w:val="22"/>
          <w:szCs w:val="22"/>
        </w:rPr>
        <w:t xml:space="preserve">El tiempo promedio de detección mejoró de 4,2 horas (Q2) a 2,8 horas (Q3), una reducción del 33% que se atribuye directamente a las nuevas reglas de correlación en el SIEM y a la implementación de alertas automáticas en el canal de respuesta del equipo. El tiempo promedio de resolución se mantuvo estable en 6,1 horas para incidentes de nivel medio y mejoró de 22,1 a 14,3 horas para incidentes críticos.</w:t>
      </w:r>
    </w:p>
    <w:p>
      <w:pPr>
        <w:spacing w:after="120"/>
      </w:pPr>
      <w:r>
        <w:rPr>
          <w:rFonts w:ascii="Arial" w:cs="Arial" w:eastAsia="Arial" w:hAnsi="Arial"/>
          <w:sz w:val="22"/>
          <w:szCs w:val="22"/>
        </w:rPr>
        <w:t xml:space="preserve">No se registraron incidentes con impacto confirmado en datos de clientes ni eventos que hayan requerido notificación a organismos regulatorios. Esta es la segunda métrica más relevante del trimestre después de la reducción de críticos, dado el contexto regulatorio vigente.</w:t>
      </w:r>
    </w:p>
    <w:p>
      <w:pPr>
        <w:spacing w:after="80"/>
      </w:pPr>
      <w:r>
        <w:t xml:space="preserve"/>
      </w:r>
    </w:p>
    <w:p>
      <w:pPr>
        <w:pStyle w:val="Heading2"/>
      </w:pPr>
      <w:r>
        <w:rPr>
          <w:rFonts w:ascii="Arial" w:cs="Arial" w:eastAsia="Arial" w:hAnsi="Arial"/>
          <w:b/>
          <w:bCs/>
          <w:color w:val="2C2C7A"/>
          <w:sz w:val="24"/>
          <w:szCs w:val="24"/>
        </w:rPr>
        <w:t xml:space="preserve">2. Metodología de Clasificación y Gestión</w:t>
      </w:r>
    </w:p>
    <w:p>
      <w:pPr>
        <w:spacing w:after="120"/>
      </w:pPr>
      <w:r>
        <w:rPr>
          <w:rFonts w:ascii="Arial" w:cs="Arial" w:eastAsia="Arial" w:hAnsi="Arial"/>
          <w:sz w:val="22"/>
          <w:szCs w:val="22"/>
        </w:rPr>
        <w:t xml:space="preserve">Todos los incidentes son clasificados siguiendo la taxonomía interna aprobada en 2023, alineada con el framework NIST SP 800-61. La clasificación se realiza en el momento de la apertura del ticket y puede ser revisada durante la investigación si nuevos hallazgos modifican el nivel de impacto o probabilidad de daño.</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400"/>
        <w:gridCol w:w="1400"/>
        <w:gridCol w:w="1160"/>
      </w:tblGrid>
      <w:tr>
        <w:trPr>
          <w:tblHeader/>
        </w:trPr>
        <w:tc>
          <w:tcPr>
            <w:tcW w:type="dxa" w:w="2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Nivel</w:t>
            </w:r>
          </w:p>
        </w:tc>
        <w:tc>
          <w:tcPr>
            <w:tcW w:type="dxa" w:w="3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Definición</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SLA Detección</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SLA Resolución</w:t>
            </w:r>
          </w:p>
        </w:tc>
        <w:tc>
          <w:tcPr>
            <w:tcW w:type="dxa" w:w="1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Escalamiento</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Crítico</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Impacto real o potencial en datos de clientes, sistemas de producción o cumplimiento regulatorio</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30 min</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12 hs</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Gerencia + CISO</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Alto</w:t>
            </w:r>
          </w:p>
        </w:tc>
        <w:tc>
          <w:tcPr>
            <w:tcW w:type="dxa" w:w="3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Exposición significativa sin impacto confirmado. Requiere acción correctiva inmediata</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2 hs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24 hs</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Líder de Seguridad</w:t>
            </w:r>
          </w:p>
        </w:tc>
      </w:tr>
      <w:tr>
        <w:trPr>
          <w:tblHeader w:val="false"/>
        </w:trP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Exposición controlada. Riesgo acotado. No interrumpe operaciones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4 hs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72 hs</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Equipo técnico</w:t>
            </w:r>
          </w:p>
        </w:tc>
      </w:tr>
      <w:tr>
        <w:trPr>
          <w:tblHeader w:val="false"/>
        </w:trPr>
        <w:tc>
          <w:tcPr>
            <w:tcW w:type="dxa" w:w="2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Bajo</w:t>
            </w:r>
          </w:p>
        </w:tc>
        <w:tc>
          <w:tcPr>
            <w:tcW w:type="dxa" w:w="3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Alertas de configuración, accesos no utilizados, anomalías menores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24 hs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Ciclo mensual</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Registro automático</w:t>
            </w:r>
          </w:p>
        </w:tc>
      </w:tr>
    </w:tbl>
    <w:p>
      <w:pPr>
        <w:spacing w:after="80"/>
      </w:pPr>
      <w:r>
        <w:t xml:space="preserve"/>
      </w:r>
    </w:p>
    <w:p>
      <w:pPr>
        <w:spacing w:after="120"/>
      </w:pPr>
      <w:r>
        <w:rPr>
          <w:rFonts w:ascii="Arial" w:cs="Arial" w:eastAsia="Arial" w:hAnsi="Arial"/>
          <w:sz w:val="22"/>
          <w:szCs w:val="22"/>
        </w:rPr>
        <w:t xml:space="preserve">El ciclo de vida de un incidente comprende 6 etapas: Detección → Clasificación → Contención → Investigación → Remediación → Cierre y lecciones aprendidas. Cada etapa tiene responsable asignado y criterios de aceptación documentados. El cierre formal requiere la validación de que la causa raíz fue identificada y el control correctivo implementado.</w:t>
      </w:r>
    </w:p>
    <w:p>
      <w:pPr>
        <w:spacing w:after="80"/>
      </w:pPr>
      <w:r>
        <w:t xml:space="preserve"/>
      </w:r>
    </w:p>
    <w:p>
      <w:pPr>
        <w:pStyle w:val="Heading2"/>
      </w:pPr>
      <w:r>
        <w:rPr>
          <w:rFonts w:ascii="Arial" w:cs="Arial" w:eastAsia="Arial" w:hAnsi="Arial"/>
          <w:b/>
          <w:bCs/>
          <w:color w:val="2C2C7A"/>
          <w:sz w:val="24"/>
          <w:szCs w:val="24"/>
        </w:rPr>
        <w:t xml:space="preserve">3. Clasificación de Incidentes por Tipo</w:t>
      </w:r>
    </w:p>
    <w:p>
      <w:pPr>
        <w:spacing w:after="120"/>
      </w:pPr>
      <w:r>
        <w:rPr>
          <w:rFonts w:ascii="Arial" w:cs="Arial" w:eastAsia="Arial" w:hAnsi="Arial"/>
          <w:sz w:val="22"/>
          <w:szCs w:val="22"/>
        </w:rPr>
        <w:t xml:space="preserve">La distribución por tipo de incidente revela patrones relevantes respecto al trimestre anterior. El acceso no autorizado aumentó un 27%, lo cual está correlacionado con el incremento de intentos de intrusión detectados por las nuevas reglas de SIEM. Los incidentes de phishing, en cambio, disminuyeron un 20%, evidenciando el impacto positivo de la campaña de capacitación completada en junio.</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560"/>
        <w:gridCol w:w="1200"/>
      </w:tblGrid>
      <w:tr>
        <w:trPr>
          <w:tblHeader/>
        </w:trPr>
        <w:tc>
          <w:tcPr>
            <w:tcW w:type="dxa" w:w="2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Tipo de Incidente</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Q3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Q2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Q1 2024</w:t>
            </w:r>
          </w:p>
        </w:tc>
        <w:tc>
          <w:tcPr>
            <w:tcW w:type="dxa" w:w="15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Variación Q2→Q3</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Críticos Q3</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Acceso no autorizado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+27%</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Phishing / Ingeniería social</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Filtración de datos potencial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+33%</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Uso inadecuado de credenciales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Vulnerabilidad explotada</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+33%</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Configuración insegura detectada</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Otros / sin clasificar</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2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47</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w:t>
            </w:r>
          </w:p>
        </w:tc>
      </w:tr>
    </w:tbl>
    <w:p>
      <w:pPr>
        <w:spacing w:after="80"/>
      </w:pPr>
      <w:r>
        <w:t xml:space="preserve"/>
      </w:r>
    </w:p>
    <w:p>
      <w:pPr>
        <w:spacing w:after="120"/>
      </w:pPr>
      <w:r>
        <w:rPr>
          <w:rFonts w:ascii="Arial" w:cs="Arial" w:eastAsia="Arial" w:hAnsi="Arial"/>
          <w:sz w:val="22"/>
          <w:szCs w:val="22"/>
        </w:rPr>
        <w:t xml:space="preserve">El aumento en la categoría 'Uso inadecuado de credenciales' (+40%) es el incremento más significativo en términos porcentuales. Un análisis de los 7 casos del trimestre revela que 5 corresponden a empleados que compartían credenciales entre sistemas personales y corporativos, práctica expresamente prohibida por la política de seguridad. Los 2 restantes corresponden a cuentas de servicio con credenciales no rotadas desde hace más de 180 días.</w:t>
      </w:r>
    </w:p>
    <w:p>
      <w:pPr>
        <w:spacing w:after="80"/>
      </w:pPr>
      <w:r>
        <w:t xml:space="preserve"/>
      </w:r>
    </w:p>
    <w:p>
      <w:pPr>
        <w:pStyle w:val="Heading2"/>
      </w:pPr>
      <w:r>
        <w:rPr>
          <w:rFonts w:ascii="Arial" w:cs="Arial" w:eastAsia="Arial" w:hAnsi="Arial"/>
          <w:b/>
          <w:bCs/>
          <w:color w:val="2C2C7A"/>
          <w:sz w:val="24"/>
          <w:szCs w:val="24"/>
        </w:rPr>
        <w:t xml:space="preserve">4. Análisis Detallado por Severidad</w:t>
      </w:r>
    </w:p>
    <w:p>
      <w:pPr>
        <w:spacing w:after="120"/>
      </w:pPr>
      <w:r>
        <w:rPr>
          <w:rFonts w:ascii="Arial" w:cs="Arial" w:eastAsia="Arial" w:hAnsi="Arial"/>
          <w:sz w:val="22"/>
          <w:szCs w:val="22"/>
        </w:rPr>
        <w:t xml:space="preserve">El análisis por severidad permite una lectura más precisa del estado de la postura de seguridad que el recuento total de incidentes, ya que pondera el riesgo real asociado a cada evento.</w:t>
      </w:r>
    </w:p>
    <w:p>
      <w:pPr>
        <w:spacing w:after="120"/>
      </w:pPr>
      <w:r>
        <w:rPr>
          <w:rFonts w:ascii="Arial" w:cs="Arial" w:eastAsia="Arial" w:hAnsi="Arial"/>
          <w:b/>
          <w:bCs/>
          <w:sz w:val="22"/>
          <w:szCs w:val="22"/>
        </w:rPr>
        <w:t xml:space="preserve">Incidentes Críticos (5 eventos — 11% del total): </w:t>
      </w:r>
      <w:r>
        <w:rPr>
          <w:rFonts w:ascii="Arial" w:cs="Arial" w:eastAsia="Arial" w:hAnsi="Arial"/>
          <w:sz w:val="22"/>
          <w:szCs w:val="22"/>
        </w:rPr>
        <w:t xml:space="preserve">Los cinco incidentes críticos del trimestre fueron contenidos sin impacto confirmado en clientes. Tres involucraron potencial exposición de datos sensibles y activaron el protocolo de respuesta completo, incluyendo análisis forense y notificación al CISO. Los dos restantes correspondieron a vulnerabilidades explotadas en entornos no productivos que podrían haber escalado a producción si no se hubieran detectado a tiempo.</w:t>
      </w:r>
    </w:p>
    <w:p>
      <w:pPr>
        <w:spacing w:after="80"/>
      </w:pPr>
      <w:r>
        <w:t xml:space="preserve"/>
      </w:r>
    </w:p>
    <w:p>
      <w:pPr>
        <w:spacing w:after="120"/>
      </w:pPr>
      <w:r>
        <w:rPr>
          <w:rFonts w:ascii="Arial" w:cs="Arial" w:eastAsia="Arial" w:hAnsi="Arial"/>
          <w:b/>
          <w:bCs/>
          <w:sz w:val="22"/>
          <w:szCs w:val="22"/>
        </w:rPr>
        <w:t xml:space="preserve">Incidentes de Nivel Alto (14 eventos — 30% del total): </w:t>
      </w:r>
      <w:r>
        <w:rPr>
          <w:rFonts w:ascii="Arial" w:cs="Arial" w:eastAsia="Arial" w:hAnsi="Arial"/>
          <w:sz w:val="22"/>
          <w:szCs w:val="22"/>
        </w:rPr>
        <w:t xml:space="preserve">Requirieron acción correctiva dentro de las 24 horas. En 9 de los 14 casos, el vector de entrada fue credenciales comprometidas o con privilegios excesivos. Tres casos involucraron intentos de movimiento lateral detectados por las nuevas reglas de correlación del SIEM. Todos fueron resueltos dentro del SLA comprometido, con un tiempo promedio de resolución de 18,4 horas.</w:t>
      </w:r>
    </w:p>
    <w:p>
      <w:pPr>
        <w:spacing w:after="80"/>
      </w:pPr>
      <w:r>
        <w:t xml:space="preserve"/>
      </w:r>
    </w:p>
    <w:p>
      <w:pPr>
        <w:spacing w:after="120"/>
      </w:pPr>
      <w:r>
        <w:rPr>
          <w:rFonts w:ascii="Arial" w:cs="Arial" w:eastAsia="Arial" w:hAnsi="Arial"/>
          <w:b/>
          <w:bCs/>
          <w:sz w:val="22"/>
          <w:szCs w:val="22"/>
        </w:rPr>
        <w:t xml:space="preserve">Incidentes de Nivel Medio (21 eventos — 45% del total): </w:t>
      </w:r>
      <w:r>
        <w:rPr>
          <w:rFonts w:ascii="Arial" w:cs="Arial" w:eastAsia="Arial" w:hAnsi="Arial"/>
          <w:sz w:val="22"/>
          <w:szCs w:val="22"/>
        </w:rPr>
        <w:t xml:space="preserve">Gestionados dentro del SLA de 72 horas. La mayoría corresponde a alertas de configuración insegura o accesos con permisos que exceden el principio de mínimo privilegio. No generaron impacto operacional. Tiempo promedio de resolución: 31 horas.</w:t>
      </w:r>
    </w:p>
    <w:p>
      <w:pPr>
        <w:spacing w:after="80"/>
      </w:pPr>
      <w:r>
        <w:t xml:space="preserve"/>
      </w:r>
    </w:p>
    <w:p>
      <w:pPr>
        <w:spacing w:after="120"/>
      </w:pPr>
      <w:r>
        <w:rPr>
          <w:rFonts w:ascii="Arial" w:cs="Arial" w:eastAsia="Arial" w:hAnsi="Arial"/>
          <w:b/>
          <w:bCs/>
          <w:sz w:val="22"/>
          <w:szCs w:val="22"/>
        </w:rPr>
        <w:t xml:space="preserve">Incidentes de Nivel Bajo (7 eventos — 14% del total): </w:t>
      </w:r>
      <w:r>
        <w:rPr>
          <w:rFonts w:ascii="Arial" w:cs="Arial" w:eastAsia="Arial" w:hAnsi="Arial"/>
          <w:sz w:val="22"/>
          <w:szCs w:val="22"/>
        </w:rPr>
        <w:t xml:space="preserve">Registrados y resueltos en el ciclo mensual de mantenimiento. Incluyen alertas de cuentas con contraseñas próximas a vencer, certificados SSL con menos de 30 días de vigencia y accesos no utilizados en más de 90 días.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2000"/>
        <w:gridCol w:w="2000"/>
        <w:gridCol w:w="1160"/>
      </w:tblGrid>
      <w:tr>
        <w:trPr>
          <w:tblHeader/>
        </w:trPr>
        <w:tc>
          <w:tcPr>
            <w:tcW w:type="dxa" w:w="18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Severidad</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Cantidad</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 del total</w:t>
            </w:r>
          </w:p>
        </w:tc>
        <w:tc>
          <w:tcPr>
            <w:tcW w:type="dxa" w:w="2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Tiempo promedio detección</w:t>
            </w:r>
          </w:p>
        </w:tc>
        <w:tc>
          <w:tcPr>
            <w:tcW w:type="dxa" w:w="2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Tiempo promedio resolución</w:t>
            </w:r>
          </w:p>
        </w:tc>
        <w:tc>
          <w:tcPr>
            <w:tcW w:type="dxa" w:w="11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SLA cumplido</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Crítico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22 min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9,4 hs</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 (5/5)</w:t>
            </w:r>
          </w:p>
        </w:tc>
      </w:tr>
      <w:tr>
        <w:trPr>
          <w:tblHeader w:val="false"/>
        </w:trPr>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Alto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 hs</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18,4 hs</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 (14/14)</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45%</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3,1 hs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31 hs</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 (21/21)</w:t>
            </w:r>
          </w:p>
        </w:tc>
      </w:tr>
      <w:tr>
        <w:trPr>
          <w:tblHeader w:val="false"/>
        </w:trPr>
        <w:tc>
          <w:tcPr>
            <w:tcW w:type="dxa" w:w="18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Bajo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8,6 hs</w:t>
            </w:r>
          </w:p>
        </w:tc>
        <w:tc>
          <w:tcPr>
            <w:tcW w:type="dxa" w:w="2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Ciclo mensual</w:t>
            </w:r>
          </w:p>
        </w:tc>
        <w:tc>
          <w:tcPr>
            <w:tcW w:type="dxa" w:w="11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100% (7/7)</w:t>
            </w:r>
          </w:p>
        </w:tc>
      </w:tr>
      <w:tr>
        <w:trPr>
          <w:tblHeader w:val="false"/>
        </w:trP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47</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2,8 hs promedio</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r>
    </w:tbl>
    <w:p>
      <w:pPr>
        <w:spacing w:after="80"/>
      </w:pPr>
      <w:r>
        <w:t xml:space="preserve"/>
      </w:r>
    </w:p>
    <w:p>
      <w:pPr>
        <w:pStyle w:val="Heading2"/>
      </w:pPr>
      <w:r>
        <w:rPr>
          <w:rFonts w:ascii="Arial" w:cs="Arial" w:eastAsia="Arial" w:hAnsi="Arial"/>
          <w:b/>
          <w:bCs/>
          <w:color w:val="2C2C7A"/>
          <w:sz w:val="24"/>
          <w:szCs w:val="24"/>
        </w:rPr>
        <w:t xml:space="preserve">5. Incidentes Destacados del Trimestre</w:t>
      </w:r>
    </w:p>
    <w:p>
      <w:pPr>
        <w:spacing w:after="120"/>
      </w:pPr>
      <w:r>
        <w:rPr>
          <w:rFonts w:ascii="Arial" w:cs="Arial" w:eastAsia="Arial" w:hAnsi="Arial"/>
          <w:b/>
          <w:bCs/>
          <w:sz w:val="22"/>
          <w:szCs w:val="22"/>
        </w:rPr>
        <w:t xml:space="preserve">INC-Q3-0023 — Acceso no autorizado a entorno de producción (Crítico, 18 de agosto): </w:t>
      </w:r>
      <w:r>
        <w:rPr>
          <w:rFonts w:ascii="Arial" w:cs="Arial" w:eastAsia="Arial" w:hAnsi="Arial"/>
          <w:sz w:val="22"/>
          <w:szCs w:val="22"/>
        </w:rPr>
        <w:t xml:space="preserve">Un usuario interno del área de Desarrollo accedió a un servidor de producción fuera del alcance de sus permisos asignados. El acceso fue detectado en 40 minutos por una alerta de SIEM configurada para detectar accesos entre entornos (desarrollo→producción). La cuenta fue suspendida y el acceso bloqueado en 12 minutos desde la alerta. Se realizó análisis forense que confirmó que el usuario leyó 3 archivos de configuración pero no modificó datos ni extrajo información. La causa raíz fue una asignación de roles incorrecta realizada durante una migración de usuarios en agosto. Se revisaron y corrigieron 47 asignaciones de roles similares identificadas en el mismo proceso.</w:t>
      </w:r>
    </w:p>
    <w:p>
      <w:pPr>
        <w:spacing w:after="80"/>
      </w:pPr>
      <w:r>
        <w:t xml:space="preserve"/>
      </w:r>
    </w:p>
    <w:p>
      <w:pPr>
        <w:spacing w:after="120"/>
      </w:pPr>
      <w:r>
        <w:rPr>
          <w:rFonts w:ascii="Arial" w:cs="Arial" w:eastAsia="Arial" w:hAnsi="Arial"/>
          <w:b/>
          <w:bCs/>
          <w:sz w:val="22"/>
          <w:szCs w:val="22"/>
        </w:rPr>
        <w:t xml:space="preserve">INC-Q3-0031 — Campaña de phishing dirigida al área comercial (Alto, 9 de septiembre): </w:t>
      </w:r>
      <w:r>
        <w:rPr>
          <w:rFonts w:ascii="Arial" w:cs="Arial" w:eastAsia="Arial" w:hAnsi="Arial"/>
          <w:sz w:val="22"/>
          <w:szCs w:val="22"/>
        </w:rPr>
        <w:t xml:space="preserve">Se detectó una campaña de phishing dirigida específicamente a 23 usuarios del área comercial de Newpay, con emails que simulaban comunicaciones del equipo de IT solicitando verificación de credenciales en una página falsa alojada en un dominio similar al corporativo. El sistema de filtrado de emails bloqueó 19 de los 23 mensajes. Los 4 que llegaron al destinatario fueron reportados por los propios usuarios dentro de los 20 minutos siguientes. Ningún usuario ingresó credenciales en la página falsa. Los dominios maliciosos fueron bloqueados en 2 horas y se realizó una comunicación preventiva a toda la organización dentro de las 4 horas del incidente. Se identificó que el vector de entrada fue información pública de LinkedIn sobre el equipo comercial, usada para personalizar los mensajes.</w:t>
      </w:r>
    </w:p>
    <w:p>
      <w:pPr>
        <w:spacing w:after="80"/>
      </w:pPr>
      <w:r>
        <w:t xml:space="preserve"/>
      </w:r>
    </w:p>
    <w:p>
      <w:pPr>
        <w:spacing w:after="120"/>
      </w:pPr>
      <w:r>
        <w:rPr>
          <w:rFonts w:ascii="Arial" w:cs="Arial" w:eastAsia="Arial" w:hAnsi="Arial"/>
          <w:b/>
          <w:bCs/>
          <w:sz w:val="22"/>
          <w:szCs w:val="22"/>
        </w:rPr>
        <w:t xml:space="preserve">INC-Q3-0041 — Credenciales filtradas en repositorio público de código (Crítico, 22 de septiembre): </w:t>
      </w:r>
      <w:r>
        <w:rPr>
          <w:rFonts w:ascii="Arial" w:cs="Arial" w:eastAsia="Arial" w:hAnsi="Arial"/>
          <w:sz w:val="22"/>
          <w:szCs w:val="22"/>
        </w:rPr>
        <w:t xml:space="preserve">El sistema de monitoreo externo de exposición de datos detectó a las 14:23 hs que credenciales de acceso a un entorno de desarrollo habían sido publicadas en un repositorio público de GitHub. Las credenciales correspondían a una cuenta de servicio de la base de datos de testing. La revocación de credenciales se completó en 18 minutos. El análisis de logs confirmó que no hubo acceso externo a la base de datos usando esas credenciales durante las 2 horas que estuvieron expuestas. Se identificó como causa raíz un commit realizado por un desarrollador que inadvertidamente incluyó un archivo .env con credenciales. Se implementó pre-commit hooks para detectar patrones de credenciales antes de que lleguen al repositorio.</w:t>
      </w:r>
    </w:p>
    <w:p>
      <w:pPr>
        <w:spacing w:after="80"/>
      </w:pPr>
      <w:r>
        <w:t xml:space="preserve"/>
      </w:r>
    </w:p>
    <w:p>
      <w:pPr>
        <w:spacing w:after="120"/>
      </w:pPr>
      <w:r>
        <w:rPr>
          <w:rFonts w:ascii="Arial" w:cs="Arial" w:eastAsia="Arial" w:hAnsi="Arial"/>
          <w:b/>
          <w:bCs/>
          <w:sz w:val="22"/>
          <w:szCs w:val="22"/>
        </w:rPr>
        <w:t xml:space="preserve">INC-Q3-0038 — Vulnerabilidad en API de integración externa (Alto, 15 de septiembre): </w:t>
      </w:r>
      <w:r>
        <w:rPr>
          <w:rFonts w:ascii="Arial" w:cs="Arial" w:eastAsia="Arial" w:hAnsi="Arial"/>
          <w:sz w:val="22"/>
          <w:szCs w:val="22"/>
        </w:rPr>
        <w:t xml:space="preserve">Durante una revisión de seguridad de rutina, se identificó que la API de integración con un emisor externo aceptaba tokens JWT sin validar la firma correctamente, lo que potencialmente permitía la modificación de claims por parte de un atacante. La vulnerabilidad fue clasificada como alta (no crítica) porque su explotación requería acceso previo a la red interna. El fix fue desarrollado y desplegado en 16 horas. Se realizó revisión de todas las integraciones JWT existentes (12 en total), identificando 2 casos adicionales con el mismo problema que fueron corregidos de manera preventiva.</w:t>
      </w:r>
    </w:p>
    <w:p>
      <w:pPr>
        <w:spacing w:after="80"/>
      </w:pPr>
      <w:r>
        <w:t xml:space="preserve"/>
      </w:r>
    </w:p>
    <w:p>
      <w:pPr>
        <w:pStyle w:val="Heading2"/>
      </w:pPr>
      <w:r>
        <w:rPr>
          <w:rFonts w:ascii="Arial" w:cs="Arial" w:eastAsia="Arial" w:hAnsi="Arial"/>
          <w:b/>
          <w:bCs/>
          <w:color w:val="2C2C7A"/>
          <w:sz w:val="24"/>
          <w:szCs w:val="24"/>
        </w:rPr>
        <w:t xml:space="preserve">6. Métricas de Respuesta y Tendencias</w:t>
      </w:r>
    </w:p>
    <w:p>
      <w:pPr>
        <w:spacing w:after="120"/>
      </w:pPr>
      <w:r>
        <w:rPr>
          <w:rFonts w:ascii="Arial" w:cs="Arial" w:eastAsia="Arial" w:hAnsi="Arial"/>
          <w:sz w:val="22"/>
          <w:szCs w:val="22"/>
        </w:rPr>
        <w:t xml:space="preserve">El análisis de las métricas de respuesta muestra una tendencia consistentemente positiva a lo largo de los tres trimestres del año, con mejoras en todos los indicadores clave.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1560"/>
        <w:gridCol w:w="1600"/>
      </w:tblGrid>
      <w:tr>
        <w:trPr>
          <w:tblHeader/>
        </w:trPr>
        <w:tc>
          <w:tcPr>
            <w:tcW w:type="dxa" w:w="3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Métrica</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Q3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Q2 2024</w:t>
            </w:r>
          </w:p>
        </w:tc>
        <w:tc>
          <w:tcPr>
            <w:tcW w:type="dxa" w:w="12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Q1 2024</w:t>
            </w:r>
          </w:p>
        </w:tc>
        <w:tc>
          <w:tcPr>
            <w:tcW w:type="dxa" w:w="15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Variación Q3 vs Q1</w:t>
            </w:r>
          </w:p>
        </w:tc>
        <w:tc>
          <w:tcPr>
            <w:tcW w:type="dxa" w:w="16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Objetivo anual</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Tiempo promedio de detección</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2,8 hs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4,2 hs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5,1 hs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-45%</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3 hs</w:t>
            </w:r>
          </w:p>
        </w:tc>
      </w:tr>
      <w:tr>
        <w:trPr>
          <w:tblHeader w:val="false"/>
        </w:trPr>
        <w:tc>
          <w:tcPr>
            <w:tcW w:type="dxa" w:w="3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Tiempo promedio resolución (medio)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31 hs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38 hs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44 hs</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48 hs</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Tiempo promedio resolución (alto)</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18,4 hs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21,2 hs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26,8 hs</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-31%</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&lt; 24 hs</w:t>
            </w:r>
          </w:p>
        </w:tc>
      </w:tr>
      <w:tr>
        <w:trPr>
          <w:tblHeader w:val="false"/>
        </w:trPr>
        <w:tc>
          <w:tcPr>
            <w:tcW w:type="dxa" w:w="3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Tiempo promedio resolución (crítico)</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9,4 hs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22,1 hs</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31,4 hs</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-70%</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&lt; 12 hs</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Tasa de contención &lt; 1 hora</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34%</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21%</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+143%</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25%</w:t>
            </w:r>
          </w:p>
        </w:tc>
      </w:tr>
      <w:tr>
        <w:trPr>
          <w:tblHeader w:val="false"/>
        </w:trPr>
        <w:tc>
          <w:tcPr>
            <w:tcW w:type="dxa" w:w="3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 incidentes con causa raíz documentada</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96%</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88%</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79%</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+22%</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90%</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Incidentes con impacto en clientes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r>
        <w:trPr>
          <w:tblHeader w:val="false"/>
        </w:trPr>
        <w:tc>
          <w:tcPr>
            <w:tcW w:type="dxa" w:w="3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Incidentes que requirieron notificación regulatoria</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0</w:t>
            </w:r>
          </w:p>
        </w:tc>
      </w:tr>
    </w:tbl>
    <w:p>
      <w:pPr>
        <w:spacing w:after="80"/>
      </w:pPr>
      <w:r>
        <w:t xml:space="preserve"/>
      </w:r>
    </w:p>
    <w:p>
      <w:pPr>
        <w:spacing w:after="120"/>
      </w:pPr>
      <w:r>
        <w:rPr>
          <w:rFonts w:ascii="Arial" w:cs="Arial" w:eastAsia="Arial" w:hAnsi="Arial"/>
          <w:sz w:val="22"/>
          <w:szCs w:val="22"/>
        </w:rPr>
        <w:t xml:space="preserve">El indicador de 'Tasa de contención &lt; 1 hora' pasó del 14% en Q1 al 34% en Q3, superando el objetivo anual del 25%. Este resultado refleja la capacidad mejorada del equipo para responder rápidamente a alertas y la automatización de las primeras acciones de contención (bloqueo de cuentas, aislamiento de red) implementada en el nuevo playbook de respuesta a incidentes.</w:t>
      </w:r>
    </w:p>
    <w:p>
      <w:pPr>
        <w:spacing w:after="80"/>
      </w:pPr>
      <w:r>
        <w:t xml:space="preserve"/>
      </w:r>
    </w:p>
    <w:p>
      <w:pPr>
        <w:pStyle w:val="Heading2"/>
      </w:pPr>
      <w:r>
        <w:rPr>
          <w:rFonts w:ascii="Arial" w:cs="Arial" w:eastAsia="Arial" w:hAnsi="Arial"/>
          <w:b/>
          <w:bCs/>
          <w:color w:val="2C2C7A"/>
          <w:sz w:val="24"/>
          <w:szCs w:val="24"/>
        </w:rPr>
        <w:t xml:space="preserve">7. Vectores de Ataque — Análisis</w:t>
      </w:r>
    </w:p>
    <w:p>
      <w:pPr>
        <w:spacing w:after="120"/>
      </w:pPr>
      <w:r>
        <w:rPr>
          <w:rFonts w:ascii="Arial" w:cs="Arial" w:eastAsia="Arial" w:hAnsi="Arial"/>
          <w:sz w:val="22"/>
          <w:szCs w:val="22"/>
        </w:rPr>
        <w:t xml:space="preserve">El análisis de los vectores de ataque identificados en los 47 incidentes del trimestre revela patrones que deben informar las inversiones de seguridad para Q4 y 2025.</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760"/>
      </w:tblGrid>
      <w:tr>
        <w:trPr>
          <w:tblHeader/>
        </w:trPr>
        <w:tc>
          <w:tcPr>
            <w:tcW w:type="dxa" w:w="30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Vector de ataque</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Incidentes</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 del total</w:t>
            </w:r>
          </w:p>
        </w:tc>
        <w:tc>
          <w:tcPr>
            <w:tcW w:type="dxa" w:w="140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Nivel promedio</w:t>
            </w:r>
          </w:p>
        </w:tc>
        <w:tc>
          <w:tcPr>
            <w:tcW w:type="dxa" w:w="1760"/>
            <w:tcBorders>
              <w:top w:val="single" w:color="CCCCCC" w:sz="1"/>
              <w:left w:val="single" w:color="CCCCCC" w:sz="1"/>
              <w:bottom w:val="single" w:color="CCCCCC" w:sz="1"/>
              <w:right w:val="single" w:color="CCCCCC" w:sz="1"/>
            </w:tcBorders>
            <w:shd w:fill="1A1A6E" w:val="clear"/>
            <w:tcMar>
              <w:top w:type="dxa" w:w="80"/>
              <w:left w:type="dxa" w:w="140"/>
              <w:bottom w:type="dxa" w:w="80"/>
              <w:right w:type="dxa" w:w="140"/>
            </w:tcMar>
          </w:tcPr>
          <w:p>
            <w:r>
              <w:rPr>
                <w:rFonts w:ascii="Arial" w:cs="Arial" w:eastAsia="Arial" w:hAnsi="Arial"/>
                <w:b/>
                <w:bCs/>
                <w:color w:val="FFFFFF"/>
                <w:sz w:val="20"/>
                <w:szCs w:val="20"/>
              </w:rPr>
              <w:t xml:space="preserve">Tendencia</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Credenciales comprometidas o mal gestionadas</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16</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34%</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Alto</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 +23% vs Q2</w:t>
            </w:r>
          </w:p>
        </w:tc>
      </w:tr>
      <w:tr>
        <w:trPr>
          <w:tblHeader w:val="false"/>
        </w:trPr>
        <w:tc>
          <w:tcPr>
            <w:tcW w:type="dxa" w:w="3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Phishing / Ingeniería social</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26%</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 -20% vs Q2</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Configuración incorrecta o insegura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17%</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Medio</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 Estable</w:t>
            </w:r>
          </w:p>
        </w:tc>
      </w:tr>
      <w:tr>
        <w:trPr>
          <w:tblHeader w:val="false"/>
        </w:trPr>
        <w:tc>
          <w:tcPr>
            <w:tcW w:type="dxa" w:w="3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Vulnerabilidad en código / dependencias</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13%</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Crítico/Alto</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 +50% vs Q2</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Acceso físico o exposición interna</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Bajo/Medio</w:t>
            </w:r>
          </w:p>
        </w:tc>
        <w:tc>
          <w:tcPr>
            <w:tcW w:type="dxa" w:w="1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333333"/>
                <w:sz w:val="20"/>
                <w:szCs w:val="20"/>
              </w:rPr>
              <w:t xml:space="preserve">→ Estable</w:t>
            </w:r>
          </w:p>
        </w:tc>
      </w:tr>
      <w:tr>
        <w:trPr>
          <w:tblHeader w:val="false"/>
        </w:trPr>
        <w:tc>
          <w:tcPr>
            <w:tcW w:type="dxa" w:w="30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Otros / no determinado</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Bajo</w:t>
            </w:r>
          </w:p>
        </w:tc>
        <w:tc>
          <w:tcPr>
            <w:tcW w:type="dxa" w:w="1760"/>
            <w:tcBorders>
              <w:top w:val="single" w:color="CCCCCC" w:sz="1"/>
              <w:left w:val="single" w:color="CCCCCC" w:sz="1"/>
              <w:bottom w:val="single" w:color="CCCCCC" w:sz="1"/>
              <w:right w:val="single" w:color="CCCCCC" w:sz="1"/>
            </w:tcBorders>
            <w:shd w:fill="F2F4FA" w:val="clear"/>
            <w:tcMar>
              <w:top w:type="dxa" w:w="80"/>
              <w:left w:type="dxa" w:w="140"/>
              <w:bottom w:type="dxa" w:w="80"/>
              <w:right w:type="dxa" w:w="140"/>
            </w:tcMar>
          </w:tcPr>
          <w:p>
            <w:r>
              <w:rPr>
                <w:rFonts w:ascii="Arial" w:cs="Arial" w:eastAsia="Arial" w:hAnsi="Arial"/>
                <w:b w:val="false"/>
                <w:bCs w:val="false"/>
                <w:color w:val="333333"/>
                <w:sz w:val="20"/>
                <w:szCs w:val="20"/>
              </w:rPr>
              <w:t xml:space="preserve">—</w:t>
            </w:r>
          </w:p>
        </w:tc>
      </w:tr>
    </w:tbl>
    <w:p>
      <w:pPr>
        <w:spacing w:after="80"/>
      </w:pPr>
      <w:r>
        <w:t xml:space="preserve"/>
      </w:r>
    </w:p>
    <w:p>
      <w:pPr>
        <w:spacing w:after="120"/>
      </w:pPr>
      <w:r>
        <w:rPr>
          <w:rFonts w:ascii="Arial" w:cs="Arial" w:eastAsia="Arial" w:hAnsi="Arial"/>
          <w:sz w:val="22"/>
          <w:szCs w:val="22"/>
        </w:rPr>
        <w:t xml:space="preserve">El vector de credenciales mal gestionadas (34% de los incidentes) es el de mayor prevalencia y el único que continúa en tendencia ascendente. Esto refuerza la recomendación de extender MFA a todas las cuentas corporativas (actualmente solo obligatorio para cuentas privilegiadas) y de completar la revisión de permisos en exceso identificada como prioridad para Q4.</w:t>
      </w:r>
    </w:p>
    <w:p>
      <w:pPr>
        <w:spacing w:after="80"/>
      </w:pPr>
      <w:r>
        <w:t xml:space="preserve"/>
      </w:r>
    </w:p>
    <w:p>
      <w:pPr>
        <w:pStyle w:val="Heading2"/>
      </w:pPr>
      <w:r>
        <w:rPr>
          <w:rFonts w:ascii="Arial" w:cs="Arial" w:eastAsia="Arial" w:hAnsi="Arial"/>
          <w:b/>
          <w:bCs/>
          <w:color w:val="2C2C7A"/>
          <w:sz w:val="24"/>
          <w:szCs w:val="24"/>
        </w:rPr>
        <w:t xml:space="preserve">8. Controles Implementados en el Trimestre</w:t>
      </w:r>
    </w:p>
    <w:p>
      <w:pPr>
        <w:spacing w:after="120"/>
      </w:pPr>
      <w:r>
        <w:rPr>
          <w:rFonts w:ascii="Arial" w:cs="Arial" w:eastAsia="Arial" w:hAnsi="Arial"/>
          <w:sz w:val="22"/>
          <w:szCs w:val="22"/>
        </w:rPr>
        <w:t xml:space="preserve">Durante Q3 se implementaron 8 controles nuevos o mejorados, en respuesta tanto a los incidentes del período como a las recomendaciones del plan de mejora continua.</w:t>
      </w:r>
    </w:p>
    <w:p>
      <w:pPr>
        <w:pStyle w:val="ListParagraph"/>
        <w:numPr>
          <w:ilvl w:val="0"/>
          <w:numId w:val="2"/>
        </w:numPr>
        <w:spacing w:after="80"/>
      </w:pPr>
      <w:r>
        <w:rPr>
          <w:rFonts w:ascii="Arial" w:cs="Arial" w:eastAsia="Arial" w:hAnsi="Arial"/>
          <w:sz w:val="22"/>
          <w:szCs w:val="22"/>
        </w:rPr>
        <w:t xml:space="preserve">Despliegue de autenticación multifactor (MFA) en 100% de cuentas privilegiadas (completado 12 de julio). Cobertura anterior: 76%.</w:t>
      </w:r>
    </w:p>
    <w:p>
      <w:pPr>
        <w:pStyle w:val="ListParagraph"/>
        <w:numPr>
          <w:ilvl w:val="0"/>
          <w:numId w:val="2"/>
        </w:numPr>
        <w:spacing w:after="80"/>
      </w:pPr>
      <w:r>
        <w:rPr>
          <w:rFonts w:ascii="Arial" w:cs="Arial" w:eastAsia="Arial" w:hAnsi="Arial"/>
          <w:sz w:val="22"/>
          <w:szCs w:val="22"/>
        </w:rPr>
        <w:t xml:space="preserve">Actualización de políticas de rotación de credenciales: reducción de 90 a 60 días para cuentas estándar, y de 60 a 30 días para cuentas de servicio con acceso a producción.</w:t>
      </w:r>
    </w:p>
    <w:p>
      <w:pPr>
        <w:pStyle w:val="ListParagraph"/>
        <w:numPr>
          <w:ilvl w:val="0"/>
          <w:numId w:val="2"/>
        </w:numPr>
        <w:spacing w:after="80"/>
      </w:pPr>
      <w:r>
        <w:rPr>
          <w:rFonts w:ascii="Arial" w:cs="Arial" w:eastAsia="Arial" w:hAnsi="Arial"/>
          <w:sz w:val="22"/>
          <w:szCs w:val="22"/>
        </w:rPr>
        <w:t xml:space="preserve">Incorporación de 3 nuevas reglas de correlación en SIEM para detección de movimiento lateral entre entornos (desarrollo, testing, producción).</w:t>
      </w:r>
    </w:p>
    <w:p>
      <w:pPr>
        <w:pStyle w:val="ListParagraph"/>
        <w:numPr>
          <w:ilvl w:val="0"/>
          <w:numId w:val="2"/>
        </w:numPr>
        <w:spacing w:after="80"/>
      </w:pPr>
      <w:r>
        <w:rPr>
          <w:rFonts w:ascii="Arial" w:cs="Arial" w:eastAsia="Arial" w:hAnsi="Arial"/>
          <w:sz w:val="22"/>
          <w:szCs w:val="22"/>
        </w:rPr>
        <w:t xml:space="preserve">Capacitación anti-phishing obligatoria completada por 94% de la organización. Simulación de phishing realizada en agosto: tasa de click del 8%, por debajo del benchmark del 12% para el sector.</w:t>
      </w:r>
    </w:p>
    <w:p>
      <w:pPr>
        <w:pStyle w:val="ListParagraph"/>
        <w:numPr>
          <w:ilvl w:val="0"/>
          <w:numId w:val="2"/>
        </w:numPr>
        <w:spacing w:after="80"/>
      </w:pPr>
      <w:r>
        <w:rPr>
          <w:rFonts w:ascii="Arial" w:cs="Arial" w:eastAsia="Arial" w:hAnsi="Arial"/>
          <w:sz w:val="22"/>
          <w:szCs w:val="22"/>
        </w:rPr>
        <w:t xml:space="preserve">Implementación de pre-commit hooks en todos los repositorios de código corporativos para detección automática de patrones de credenciales antes del commit.</w:t>
      </w:r>
    </w:p>
    <w:p>
      <w:pPr>
        <w:pStyle w:val="ListParagraph"/>
        <w:numPr>
          <w:ilvl w:val="0"/>
          <w:numId w:val="2"/>
        </w:numPr>
        <w:spacing w:after="80"/>
      </w:pPr>
      <w:r>
        <w:rPr>
          <w:rFonts w:ascii="Arial" w:cs="Arial" w:eastAsia="Arial" w:hAnsi="Arial"/>
          <w:sz w:val="22"/>
          <w:szCs w:val="22"/>
        </w:rPr>
        <w:t xml:space="preserve">Despliegue de sistema de monitoreo externo de exposición de datos (detecta filtraciones en repositorios públicos, dark web y foros). Primer incidente detectado por este sistema: INC-Q3-0041.</w:t>
      </w:r>
    </w:p>
    <w:p>
      <w:pPr>
        <w:pStyle w:val="ListParagraph"/>
        <w:numPr>
          <w:ilvl w:val="0"/>
          <w:numId w:val="2"/>
        </w:numPr>
        <w:spacing w:after="80"/>
      </w:pPr>
      <w:r>
        <w:rPr>
          <w:rFonts w:ascii="Arial" w:cs="Arial" w:eastAsia="Arial" w:hAnsi="Arial"/>
          <w:sz w:val="22"/>
          <w:szCs w:val="22"/>
        </w:rPr>
        <w:t xml:space="preserve">Revisión y corrección de 47 asignaciones de roles incorrectas identificadas tras el INC-Q3-0023.</w:t>
      </w:r>
    </w:p>
    <w:p>
      <w:pPr>
        <w:pStyle w:val="ListParagraph"/>
        <w:numPr>
          <w:ilvl w:val="0"/>
          <w:numId w:val="2"/>
        </w:numPr>
        <w:spacing w:after="80"/>
      </w:pPr>
      <w:r>
        <w:rPr>
          <w:rFonts w:ascii="Arial" w:cs="Arial" w:eastAsia="Arial" w:hAnsi="Arial"/>
          <w:sz w:val="22"/>
          <w:szCs w:val="22"/>
        </w:rPr>
        <w:t xml:space="preserve">Automatización de primeras acciones de contención en el playbook de respuesta: bloqueo automático de cuentas ante detección de comportamiento anómalo.</w:t>
      </w:r>
    </w:p>
    <w:p>
      <w:pPr>
        <w:spacing w:after="80"/>
      </w:pPr>
      <w:r>
        <w:t xml:space="preserve"/>
      </w:r>
    </w:p>
    <w:p>
      <w:pPr>
        <w:pStyle w:val="Heading2"/>
      </w:pPr>
      <w:r>
        <w:rPr>
          <w:rFonts w:ascii="Arial" w:cs="Arial" w:eastAsia="Arial" w:hAnsi="Arial"/>
          <w:b/>
          <w:bCs/>
          <w:color w:val="2C2C7A"/>
          <w:sz w:val="24"/>
          <w:szCs w:val="24"/>
        </w:rPr>
        <w:t xml:space="preserve">9. Recomendaciones para Q4 2024</w:t>
      </w:r>
    </w:p>
    <w:p>
      <w:pPr>
        <w:spacing w:after="120"/>
      </w:pPr>
      <w:r>
        <w:rPr>
          <w:rFonts w:ascii="Arial" w:cs="Arial" w:eastAsia="Arial" w:hAnsi="Arial"/>
          <w:b/>
          <w:bCs/>
          <w:sz w:val="22"/>
          <w:szCs w:val="22"/>
        </w:rPr>
        <w:t xml:space="preserve">1. Extensión de MFA a cuentas estándar (Prioridad Alta): </w:t>
      </w:r>
      <w:r>
        <w:rPr>
          <w:rFonts w:ascii="Arial" w:cs="Arial" w:eastAsia="Arial" w:hAnsi="Arial"/>
          <w:sz w:val="22"/>
          <w:szCs w:val="22"/>
        </w:rPr>
        <w:t xml:space="preserve">El 60% de los incidentes de acceso no autorizado involucraron cuentas sin MFA. La extensión a las 847 cuentas estándar restantes reduciría el riesgo estimado en un 40%. Esfuerzo técnico: bajo. Resistencia esperada: moderada (requiere comunicación y proceso de excepción para sistemas legacy no compatibles con MFA).</w:t>
      </w:r>
    </w:p>
    <w:p>
      <w:pPr>
        <w:spacing w:after="80"/>
      </w:pPr>
      <w:r>
        <w:t xml:space="preserve"/>
      </w:r>
    </w:p>
    <w:p>
      <w:pPr>
        <w:spacing w:after="120"/>
      </w:pPr>
      <w:r>
        <w:rPr>
          <w:rFonts w:ascii="Arial" w:cs="Arial" w:eastAsia="Arial" w:hAnsi="Arial"/>
          <w:b/>
          <w:bCs/>
          <w:sz w:val="22"/>
          <w:szCs w:val="22"/>
        </w:rPr>
        <w:t xml:space="preserve">2. Revisión completa de permisos de acceso (Prioridad Alta): </w:t>
      </w:r>
      <w:r>
        <w:rPr>
          <w:rFonts w:ascii="Arial" w:cs="Arial" w:eastAsia="Arial" w:hAnsi="Arial"/>
          <w:sz w:val="22"/>
          <w:szCs w:val="22"/>
        </w:rPr>
        <w:t xml:space="preserve">Se identificaron 127 cuentas con permisos que exceden el principio de mínimo privilegio. En 8 casos, el exceso es significativo (acceso de administrador a recursos críticos). Se recomienda completar la revisión y ajuste antes del 31 de octubre, utilizando la herramienta de análisis de permisos adquirida en Q2.</w:t>
      </w:r>
    </w:p>
    <w:p>
      <w:pPr>
        <w:spacing w:after="80"/>
      </w:pPr>
      <w:r>
        <w:t xml:space="preserve"/>
      </w:r>
    </w:p>
    <w:p>
      <w:pPr>
        <w:spacing w:after="120"/>
      </w:pPr>
      <w:r>
        <w:rPr>
          <w:rFonts w:ascii="Arial" w:cs="Arial" w:eastAsia="Arial" w:hAnsi="Arial"/>
          <w:b/>
          <w:bCs/>
          <w:sz w:val="22"/>
          <w:szCs w:val="22"/>
        </w:rPr>
        <w:t xml:space="preserve">3. Ejercicio de simulación de respuesta a incidentes (Prioridad Media): </w:t>
      </w:r>
      <w:r>
        <w:rPr>
          <w:rFonts w:ascii="Arial" w:cs="Arial" w:eastAsia="Arial" w:hAnsi="Arial"/>
          <w:sz w:val="22"/>
          <w:szCs w:val="22"/>
        </w:rPr>
        <w:t xml:space="preserve">No se realizó tabletop exercise en el año. Se propone ejecutarlo en noviembre para validar la efectividad del nuevo playbook de respuesta y evaluar la capacidad de coordinación entre Seguridad, IT y el área legal en escenarios de crisis. Se recomienda simular un escenario de ransomware y uno de filtración de datos de clientes.</w:t>
      </w:r>
    </w:p>
    <w:p>
      <w:pPr>
        <w:spacing w:after="80"/>
      </w:pPr>
      <w:r>
        <w:t xml:space="preserve"/>
      </w:r>
    </w:p>
    <w:p>
      <w:pPr>
        <w:spacing w:after="120"/>
      </w:pPr>
      <w:r>
        <w:rPr>
          <w:rFonts w:ascii="Arial" w:cs="Arial" w:eastAsia="Arial" w:hAnsi="Arial"/>
          <w:b/>
          <w:bCs/>
          <w:sz w:val="22"/>
          <w:szCs w:val="22"/>
        </w:rPr>
        <w:t xml:space="preserve">4. Revisión del proceso de offboarding (Prioridad Media): </w:t>
      </w:r>
      <w:r>
        <w:rPr>
          <w:rFonts w:ascii="Arial" w:cs="Arial" w:eastAsia="Arial" w:hAnsi="Arial"/>
          <w:sz w:val="22"/>
          <w:szCs w:val="22"/>
        </w:rPr>
        <w:t xml:space="preserve">Tres incidentes del trimestre tuvieron como factor contribuyente cuentas de empleados o contratistas que no fueron desactivadas en tiempo y forma al finalizar la relación laboral. Se recomienda revisar el proceso de offboarding y establecer un control automático de desactivación dentro de las 2 horas del egreso.</w:t>
      </w:r>
    </w:p>
    <w:p>
      <w:pPr>
        <w:spacing w:after="80"/>
      </w:pPr>
      <w:r>
        <w:t xml:space="preserve"/>
      </w:r>
    </w:p>
    <w:p>
      <w:pPr>
        <w:pBdr>
          <w:bottom w:val="single" w:color="1A1A6E" w:sz="4" w:space="1"/>
        </w:pBdr>
        <w:spacing w:after="160"/>
      </w:pPr>
      <w:r>
        <w:t xml:space="preserve"/>
      </w:r>
    </w:p>
    <w:p>
      <w:pPr>
        <w:spacing w:after="120"/>
      </w:pPr>
      <w:r>
        <w:rPr>
          <w:rFonts w:ascii="Arial" w:cs="Arial" w:eastAsia="Arial" w:hAnsi="Arial"/>
          <w:b/>
          <w:bCs/>
          <w:sz w:val="22"/>
          <w:szCs w:val="22"/>
        </w:rPr>
        <w:t xml:space="preserve">Elaborado por: </w:t>
      </w:r>
      <w:r>
        <w:rPr>
          <w:rFonts w:ascii="Arial" w:cs="Arial" w:eastAsia="Arial" w:hAnsi="Arial"/>
          <w:sz w:val="22"/>
          <w:szCs w:val="22"/>
        </w:rPr>
        <w:t xml:space="preserve">Área de Information Security</w:t>
      </w:r>
    </w:p>
    <w:p>
      <w:pPr>
        <w:spacing w:after="120"/>
      </w:pPr>
      <w:r>
        <w:rPr>
          <w:rFonts w:ascii="Arial" w:cs="Arial" w:eastAsia="Arial" w:hAnsi="Arial"/>
          <w:b/>
          <w:bCs/>
          <w:sz w:val="22"/>
          <w:szCs w:val="22"/>
        </w:rPr>
        <w:t xml:space="preserve">Fecha: </w:t>
      </w:r>
      <w:r>
        <w:rPr>
          <w:rFonts w:ascii="Arial" w:cs="Arial" w:eastAsia="Arial" w:hAnsi="Arial"/>
          <w:sz w:val="22"/>
          <w:szCs w:val="22"/>
        </w:rPr>
        <w:t xml:space="preserve">15 de octubre de 2024</w:t>
      </w:r>
    </w:p>
    <w:p>
      <w:pPr>
        <w:spacing w:after="120"/>
      </w:pPr>
      <w:r>
        <w:rPr>
          <w:rFonts w:ascii="Arial" w:cs="Arial" w:eastAsia="Arial" w:hAnsi="Arial"/>
          <w:b/>
          <w:bCs/>
          <w:sz w:val="22"/>
          <w:szCs w:val="22"/>
        </w:rPr>
        <w:t xml:space="preserve">Próxima revisión: </w:t>
      </w:r>
      <w:r>
        <w:rPr>
          <w:rFonts w:ascii="Arial" w:cs="Arial" w:eastAsia="Arial" w:hAnsi="Arial"/>
          <w:sz w:val="22"/>
          <w:szCs w:val="22"/>
        </w:rPr>
        <w:t xml:space="preserve">15 de enero de 2025 (Cierre Q4)</w:t>
      </w:r>
    </w:p>
    <w:p>
      <w:pPr>
        <w:spacing w:after="120"/>
      </w:pPr>
      <w:r>
        <w:rPr>
          <w:rFonts w:ascii="Arial" w:cs="Arial" w:eastAsia="Arial" w:hAnsi="Arial"/>
          <w:b/>
          <w:bCs/>
          <w:sz w:val="22"/>
          <w:szCs w:val="22"/>
        </w:rPr>
        <w:t xml:space="preserve">Distribución: </w:t>
      </w:r>
      <w:r>
        <w:rPr>
          <w:rFonts w:ascii="Arial" w:cs="Arial" w:eastAsia="Arial" w:hAnsi="Arial"/>
          <w:sz w:val="22"/>
          <w:szCs w:val="22"/>
        </w:rPr>
        <w:t xml:space="preserve">CISO, Gerente de Riesgos, Comité de Auditoría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6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C2C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2026-05-25T15:43:05.460Z</dcterms:created>
  <dcterms:modified xsi:type="dcterms:W3CDTF">2026-05-25T15:43:05.471Z</dcterms:modified>
</cp:coreProperties>
</file>

<file path=docProps/custom.xml><?xml version="1.0" encoding="utf-8"?>
<Properties xmlns="http://schemas.openxmlformats.org/officeDocument/2006/custom-properties" xmlns:vt="http://schemas.openxmlformats.org/officeDocument/2006/docPropsVTypes"/>
</file>