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Gestión de Riesgos Operacionales — Semestre 1 ·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Risk Newpay | </w:t>
      </w:r>
      <w:r>
        <w:rPr>
          <w:rFonts w:ascii="Arial" w:cs="Arial" w:eastAsia="Arial" w:hAnsi="Arial"/>
          <w:b/>
          <w:bCs/>
          <w:sz w:val="22"/>
          <w:szCs w:val="22"/>
        </w:rPr>
        <w:t xml:space="preserve">Período: </w:t>
      </w:r>
      <w:r>
        <w:rPr>
          <w:rFonts w:ascii="Arial" w:cs="Arial" w:eastAsia="Arial" w:hAnsi="Arial"/>
          <w:sz w:val="22"/>
          <w:szCs w:val="22"/>
        </w:rPr>
        <w:t xml:space="preserve">Enero – Junio 2024</w:t>
      </w:r>
    </w:p>
    <w:p>
      <w:pPr>
        <w:spacing w:after="120"/>
      </w:pPr>
      <w:r>
        <w:rPr>
          <w:rFonts w:ascii="Arial" w:cs="Arial" w:eastAsia="Arial" w:hAnsi="Arial"/>
          <w:b/>
          <w:bCs/>
          <w:sz w:val="22"/>
          <w:szCs w:val="22"/>
        </w:rPr>
        <w:t xml:space="preserve">Clasificación: </w:t>
      </w:r>
      <w:r>
        <w:rPr>
          <w:rFonts w:ascii="Arial" w:cs="Arial" w:eastAsia="Arial" w:hAnsi="Arial"/>
          <w:sz w:val="22"/>
          <w:szCs w:val="22"/>
        </w:rPr>
        <w:t xml:space="preserve">Confidencial — Distribución restringida al Comité de Riesgos</w:t>
      </w:r>
    </w:p>
    <w:p>
      <w:pPr>
        <w:spacing w:after="120"/>
      </w:pPr>
      <w:r>
        <w:rPr>
          <w:rFonts w:ascii="Arial" w:cs="Arial" w:eastAsia="Arial" w:hAnsi="Arial"/>
          <w:b/>
          <w:bCs/>
          <w:sz w:val="22"/>
          <w:szCs w:val="22"/>
        </w:rPr>
        <w:t xml:space="preserve">Marco de referencia: </w:t>
      </w:r>
      <w:r>
        <w:rPr>
          <w:rFonts w:ascii="Arial" w:cs="Arial" w:eastAsia="Arial" w:hAnsi="Arial"/>
          <w:sz w:val="22"/>
          <w:szCs w:val="22"/>
        </w:rPr>
        <w:t xml:space="preserve">Basilea III / Lineamientos BCRA Comunicación A 5398 y A 7154</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Introducción y Marco Regulatorio</w:t>
      </w:r>
    </w:p>
    <w:p>
      <w:pPr>
        <w:spacing w:after="120"/>
      </w:pPr>
      <w:r>
        <w:rPr>
          <w:rFonts w:ascii="Arial" w:cs="Arial" w:eastAsia="Arial" w:hAnsi="Arial"/>
          <w:sz w:val="22"/>
          <w:szCs w:val="22"/>
        </w:rPr>
        <w:t xml:space="preserve">El presente informe consolida la evaluación de riesgos operacionales del primer semestre de 2024 para las operaciones de Newpay, conforme a los lineamientos del marco de gestión de riesgos aprobado por el Directorio en diciembre de 2023 y los requisitos de la Comunicación A 5398 del Banco Central de la República Argentina (BCRA) sobre lineamientos para la gestión de riesgos en entidades financieras.</w:t>
      </w:r>
    </w:p>
    <w:p>
      <w:pPr>
        <w:spacing w:after="120"/>
      </w:pPr>
      <w:r>
        <w:rPr>
          <w:rFonts w:ascii="Arial" w:cs="Arial" w:eastAsia="Arial" w:hAnsi="Arial"/>
          <w:sz w:val="22"/>
          <w:szCs w:val="22"/>
        </w:rPr>
        <w:t xml:space="preserve">Newpay, en su carácter de Proveedor de Servicios de Pago (PSP) regulado, está sujeto a los requisitos de reporte de eventos de riesgo operacional definidos por el BCRA. El presente informe documenta el cumplimiento de esos requisitos para el período enero-junio 2024 y sirve de base para la evaluación interna del capital económico asignado a riesgo operacional.</w:t>
      </w:r>
    </w:p>
    <w:p>
      <w:pPr>
        <w:spacing w:after="120"/>
      </w:pPr>
      <w:r>
        <w:rPr>
          <w:rFonts w:ascii="Arial" w:cs="Arial" w:eastAsia="Arial" w:hAnsi="Arial"/>
          <w:sz w:val="22"/>
          <w:szCs w:val="22"/>
        </w:rPr>
        <w:t xml:space="preserve">El análisis cubre 5 categorías de riesgo y 23 procesos críticos identificados en la matriz de riesgo actualizada en diciembre de 2023. Se incorporaron 8 riesgos nuevos identificados durante el semestre, 3 de los cuales fueron detectados como consecuencia de la expansión de productos y clientes del segundo semestre de 2023.</w:t>
      </w:r>
    </w:p>
    <w:p>
      <w:pPr>
        <w:spacing w:after="80"/>
      </w:pPr>
      <w:r>
        <w:t xml:space="preserve"/>
      </w:r>
    </w:p>
    <w:p>
      <w:pPr>
        <w:pStyle w:val="Heading2"/>
      </w:pPr>
      <w:r>
        <w:rPr>
          <w:rFonts w:ascii="Arial" w:cs="Arial" w:eastAsia="Arial" w:hAnsi="Arial"/>
          <w:b/>
          <w:bCs/>
          <w:color w:val="2C2C7A"/>
          <w:sz w:val="24"/>
          <w:szCs w:val="24"/>
        </w:rPr>
        <w:t xml:space="preserve">2. Resumen Ejecutivo del Semestre</w:t>
      </w:r>
    </w:p>
    <w:p>
      <w:pPr>
        <w:spacing w:after="120"/>
      </w:pPr>
      <w:r>
        <w:rPr>
          <w:rFonts w:ascii="Arial" w:cs="Arial" w:eastAsia="Arial" w:hAnsi="Arial"/>
          <w:sz w:val="22"/>
          <w:szCs w:val="22"/>
        </w:rPr>
        <w:t xml:space="preserve">Durante el primer semestre de 2024 se registraron 3 eventos de pérdida operacional con impacto económico directo, por un total de $67.200, y 12 eventos de pérdida sin impacto económico directo (pérdidas evitadas o gestionadas sin costo). El índice de pérdida operacional sobre el volumen procesado se ubicó en 0,0014%, por debajo del umbral de alerta del 0,005%.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840"/>
      </w:tblGrid>
      <w:tr>
        <w:trPr>
          <w:tblHeader/>
        </w:trPr>
        <w:tc>
          <w:tcPr>
            <w:tcW w:type="dxa" w:w="3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144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S1 2024</w:t>
            </w:r>
          </w:p>
        </w:tc>
        <w:tc>
          <w:tcPr>
            <w:tcW w:type="dxa" w:w="144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S2 2023</w:t>
            </w:r>
          </w:p>
        </w:tc>
        <w:tc>
          <w:tcPr>
            <w:tcW w:type="dxa" w:w="144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S1 2023</w:t>
            </w:r>
          </w:p>
        </w:tc>
        <w:tc>
          <w:tcPr>
            <w:tcW w:type="dxa" w:w="184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Umbral alerta</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Eventos con pérdida económica</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8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Pérdida total ($)</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$67.200</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$112.400</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$94.800</w:t>
            </w:r>
          </w:p>
        </w:tc>
        <w:tc>
          <w:tcPr>
            <w:tcW w:type="dxa" w:w="18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Pérdida / volumen procesado</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0,0014%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0,0026%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0,0024%</w:t>
            </w:r>
          </w:p>
        </w:tc>
        <w:tc>
          <w:tcPr>
            <w:tcW w:type="dxa" w:w="18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0,005%</w:t>
            </w:r>
          </w:p>
        </w:tc>
      </w:tr>
      <w:tr>
        <w:trPr>
          <w:tblHeader w:val="false"/>
        </w:trPr>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Eventos de pérdida evitada</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8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Riesgos nuevos identificados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8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Controles nuevos implementados</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4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84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Brechas pendientes de resolución</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8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pStyle w:val="Heading2"/>
      </w:pPr>
      <w:r>
        <w:rPr>
          <w:rFonts w:ascii="Arial" w:cs="Arial" w:eastAsia="Arial" w:hAnsi="Arial"/>
          <w:b/>
          <w:bCs/>
          <w:color w:val="2C2C7A"/>
          <w:sz w:val="24"/>
          <w:szCs w:val="24"/>
        </w:rPr>
        <w:t xml:space="preserve">3. Mapa de Riesgos por Categoría</w:t>
      </w:r>
    </w:p>
    <w:p>
      <w:pPr>
        <w:spacing w:after="120"/>
      </w:pPr>
      <w:r>
        <w:rPr>
          <w:rFonts w:ascii="Arial" w:cs="Arial" w:eastAsia="Arial" w:hAnsi="Arial"/>
          <w:sz w:val="22"/>
          <w:szCs w:val="22"/>
        </w:rPr>
        <w:t xml:space="preserve">El mapa de riesgos consolida la evaluación de las 5 categorías de riesgo operacional sobre los 23 procesos críticos, con calificación de nivel de riesgo inherente (antes de controles) y residual (después de controles). La evaluación incorpora la probabilidad de ocurrencia estimada en base a datos históricos y la magnitud del impacto potencial.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600"/>
        <w:gridCol w:w="1400"/>
        <w:gridCol w:w="1200"/>
        <w:gridCol w:w="1160"/>
      </w:tblGrid>
      <w:tr>
        <w:trPr>
          <w:tblHeader/>
        </w:trPr>
        <w:tc>
          <w:tcPr>
            <w:tcW w:type="dxa" w:w="2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Riesgos ID</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Riesgo inherente</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Riesgo residual</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Tendencia</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Eventos S1</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Pérdida ($)</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Fraude externo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Crítico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Estable →</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$47.200</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Fallas de sistemas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Mejora ↓</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Errores en procesos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Deterioro ↑</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$20.000</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Riesgo de terceros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Estable →</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Cumplimiento regulatorio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Mejora ↓</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$67.200</w:t>
            </w:r>
          </w:p>
        </w:tc>
      </w:tr>
    </w:tbl>
    <w:p>
      <w:pPr>
        <w:spacing w:after="80"/>
      </w:pPr>
      <w:r>
        <w:t xml:space="preserve"/>
      </w:r>
    </w:p>
    <w:p>
      <w:pPr>
        <w:spacing w:after="120"/>
      </w:pPr>
      <w:r>
        <w:rPr>
          <w:rFonts w:ascii="Arial" w:cs="Arial" w:eastAsia="Arial" w:hAnsi="Arial"/>
          <w:sz w:val="22"/>
          <w:szCs w:val="22"/>
        </w:rPr>
        <w:t xml:space="preserve">La categoría 'Errores en procesos' es la única que muestra deterioro respecto al semestre anterior. El aumento en el nivel de riesgo residual (de Medio a Alto) se explica por la ocurrencia de dos eventos de pérdida en procesos de procesamiento nocturno que revelaron deficiencias en los controles de error handling y en la gestión del cambio en los scripts de procesamiento.</w:t>
      </w:r>
    </w:p>
    <w:p>
      <w:pPr>
        <w:spacing w:after="80"/>
      </w:pPr>
      <w:r>
        <w:t xml:space="preserve"/>
      </w:r>
    </w:p>
    <w:p>
      <w:pPr>
        <w:pStyle w:val="Heading2"/>
      </w:pPr>
      <w:r>
        <w:rPr>
          <w:rFonts w:ascii="Arial" w:cs="Arial" w:eastAsia="Arial" w:hAnsi="Arial"/>
          <w:b/>
          <w:bCs/>
          <w:color w:val="2C2C7A"/>
          <w:sz w:val="24"/>
          <w:szCs w:val="24"/>
        </w:rPr>
        <w:t xml:space="preserve">4. Riesgos de Mayor Criticidad — Análisis Detallado</w:t>
      </w:r>
    </w:p>
    <w:p>
      <w:pPr>
        <w:spacing w:after="120"/>
      </w:pPr>
      <w:r>
        <w:rPr>
          <w:rFonts w:ascii="Arial" w:cs="Arial" w:eastAsia="Arial" w:hAnsi="Arial"/>
          <w:b/>
          <w:bCs/>
          <w:sz w:val="22"/>
          <w:szCs w:val="22"/>
        </w:rPr>
        <w:t xml:space="preserve">R-07 — Fraude en reversiones de transacciones (Alto, categoría Fraude externo): </w:t>
      </w:r>
      <w:r>
        <w:rPr>
          <w:rFonts w:ascii="Arial" w:cs="Arial" w:eastAsia="Arial" w:hAnsi="Arial"/>
          <w:sz w:val="22"/>
          <w:szCs w:val="22"/>
        </w:rPr>
        <w:t xml:space="preserve">Este riesgo explota una ventana de tiempo entre la autorización y el clearing de transacciones. Un actor fraudulento que tiene acceso a credenciales de un comercio puede generar una reversa de una transacción ya liquidada, obteniendo la devolución del monto sin que el cargo original sea anulado en la cuenta del portador. El impacto estimado en el semestre fue de $47.200 (evento EV-01). La implementación del motor de reglas anti-fraude en mayo redujo la tasa de reversiones fraudulentas en un 60%, de 0,08% a 0,032% del total de reversiones procesadas.</w:t>
      </w:r>
    </w:p>
    <w:p>
      <w:pPr>
        <w:spacing w:after="80"/>
      </w:pPr>
      <w:r>
        <w:t xml:space="preserve"/>
      </w:r>
    </w:p>
    <w:p>
      <w:pPr>
        <w:spacing w:after="120"/>
      </w:pPr>
      <w:r>
        <w:rPr>
          <w:rFonts w:ascii="Arial" w:cs="Arial" w:eastAsia="Arial" w:hAnsi="Arial"/>
          <w:b/>
          <w:bCs/>
          <w:sz w:val="22"/>
          <w:szCs w:val="22"/>
        </w:rPr>
        <w:t xml:space="preserve">R-12 — Errores en procesamiento de lotes nocturnos (Alto, categoría Errores en procesos): </w:t>
      </w:r>
      <w:r>
        <w:rPr>
          <w:rFonts w:ascii="Arial" w:cs="Arial" w:eastAsia="Arial" w:hAnsi="Arial"/>
          <w:sz w:val="22"/>
          <w:szCs w:val="22"/>
        </w:rPr>
        <w:t xml:space="preserve">El proceso batch nocturno procesa en promedio 2,1 millones de transacciones diarias en 7 pasos secuenciales. La dependencia entre pasos y la ausencia de checkpoints automatizados entre etapas genera un riesgo de reprocesamiento total ante cualquier falla en los pasos intermedios. Los dos eventos del semestre (EV-02 y EV-03) generaron en total 5,5 horas de tiempo de reprocesamiento manual y pérdidas por lucro cesante de $20.000. Se estima que la automatización de los checkpoints, actualmente en progreso, reduciría el tiempo de reprocesamiento en un 80%.</w:t>
      </w:r>
    </w:p>
    <w:p>
      <w:pPr>
        <w:spacing w:after="80"/>
      </w:pPr>
      <w:r>
        <w:t xml:space="preserve"/>
      </w:r>
    </w:p>
    <w:p>
      <w:pPr>
        <w:spacing w:after="120"/>
      </w:pPr>
      <w:r>
        <w:rPr>
          <w:rFonts w:ascii="Arial" w:cs="Arial" w:eastAsia="Arial" w:hAnsi="Arial"/>
          <w:b/>
          <w:bCs/>
          <w:sz w:val="22"/>
          <w:szCs w:val="22"/>
        </w:rPr>
        <w:t xml:space="preserve">R-18 — Dependencia de proveedor único para procesamiento de tarjetas (Medio, categoría Riesgo de terceros): </w:t>
      </w:r>
      <w:r>
        <w:rPr>
          <w:rFonts w:ascii="Arial" w:cs="Arial" w:eastAsia="Arial" w:hAnsi="Arial"/>
          <w:sz w:val="22"/>
          <w:szCs w:val="22"/>
        </w:rPr>
        <w:t xml:space="preserve">El 78% del volumen de procesamiento de tarjetas de crédito de Newpay depende de un único proveedor (Proveedor A) cuyo contrato de nivel de servicio no fue renovado desde 2021. El contrato vigente no contempla penalidades por incumplimiento de SLA ni cláusulas de continuidad del servicio. En el hipotético escenario de una falla prolongada del proveedor (&gt;4 horas), no existe un plan de continuidad operativa documentado ni un proveedor alternativo contratado. El impacto potencial estimado es de $2,1 millones en volumen no procesado por hora de inactividad, además del daño reputacional.</w:t>
      </w:r>
    </w:p>
    <w:p>
      <w:pPr>
        <w:spacing w:after="80"/>
      </w:pPr>
      <w:r>
        <w:t xml:space="preserve"/>
      </w:r>
    </w:p>
    <w:p>
      <w:pPr>
        <w:spacing w:after="120"/>
      </w:pPr>
      <w:r>
        <w:rPr>
          <w:rFonts w:ascii="Arial" w:cs="Arial" w:eastAsia="Arial" w:hAnsi="Arial"/>
          <w:b/>
          <w:bCs/>
          <w:sz w:val="22"/>
          <w:szCs w:val="22"/>
        </w:rPr>
        <w:t xml:space="preserve">R-21 — Datos sin enmascarar en entornos de prueba (Medio-Alto, riesgo nuevo identificado en mayo): </w:t>
      </w:r>
      <w:r>
        <w:rPr>
          <w:rFonts w:ascii="Arial" w:cs="Arial" w:eastAsia="Arial" w:hAnsi="Arial"/>
          <w:sz w:val="22"/>
          <w:szCs w:val="22"/>
        </w:rPr>
        <w:t xml:space="preserve">Durante una auditoría interna realizada en mayo, se identificaron 3 entornos de testing que contienen datos reales de clientes sin aplicar técnicas de enmascarado o anonimización. Los datos incluyen: nombre del titular, últimos 4 dígitos de tarjeta, monto histórico de transacciones y categoría de comercio más frecuente. Aunque la exposición directa es limitada (acceso solo interno), esto representa una brecha de cumplimiento bajo la regulación de protección de datos vigente (Ley 25.326) y los requisitos PCI-DSS aplicables a Newpay.</w:t>
      </w:r>
    </w:p>
    <w:p>
      <w:pPr>
        <w:spacing w:after="80"/>
      </w:pPr>
      <w:r>
        <w:t xml:space="preserve"/>
      </w:r>
    </w:p>
    <w:p>
      <w:pPr>
        <w:spacing w:after="120"/>
      </w:pPr>
      <w:r>
        <w:rPr>
          <w:rFonts w:ascii="Arial" w:cs="Arial" w:eastAsia="Arial" w:hAnsi="Arial"/>
          <w:b/>
          <w:bCs/>
          <w:sz w:val="22"/>
          <w:szCs w:val="22"/>
        </w:rPr>
        <w:t xml:space="preserve">R-19 — Concentración de conocimiento en procesos críticos (Medio, riesgo nuevo identificado en marzo): </w:t>
      </w:r>
      <w:r>
        <w:rPr>
          <w:rFonts w:ascii="Arial" w:cs="Arial" w:eastAsia="Arial" w:hAnsi="Arial"/>
          <w:sz w:val="22"/>
          <w:szCs w:val="22"/>
        </w:rPr>
        <w:t xml:space="preserve">El relevamiento de continuidad operativa realizado en el primer trimestre identificó que 6 procesos críticos (incluyendo la conciliación diaria y la gestión de excepciones en autorizaciones) tienen un único responsable documentado, sin backup formalmente capacitado. En uno de esos procesos, el único responsable tomó licencia médica de 12 días en marzo, lo que requirió una transferencia informal de conocimiento de emergencia que tardó 3 días en completarse.</w:t>
      </w:r>
    </w:p>
    <w:p>
      <w:pPr>
        <w:spacing w:after="80"/>
      </w:pPr>
      <w:r>
        <w:t xml:space="preserve"/>
      </w:r>
    </w:p>
    <w:p>
      <w:pPr>
        <w:pStyle w:val="Heading2"/>
      </w:pPr>
      <w:r>
        <w:rPr>
          <w:rFonts w:ascii="Arial" w:cs="Arial" w:eastAsia="Arial" w:hAnsi="Arial"/>
          <w:b/>
          <w:bCs/>
          <w:color w:val="2C2C7A"/>
          <w:sz w:val="24"/>
          <w:szCs w:val="24"/>
        </w:rPr>
        <w:t xml:space="preserve">5. Eventos de Pérdida del Semestre — Análisis Forense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400"/>
        <w:gridCol w:w="2400"/>
        <w:gridCol w:w="1560"/>
      </w:tblGrid>
      <w:tr>
        <w:trPr>
          <w:tblHeader/>
        </w:trPr>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Descripción del evento</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Fecha</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Impacto ($)</w:t>
            </w:r>
          </w:p>
        </w:tc>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Causa raíz</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Estado del control</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EV-01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Reversiones fraudulentas en portal de comercios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Mar-Abr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$47.200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Ausencia de validación cruzada entre reversa y transacción original</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Control implementado (mayo)</w:t>
            </w:r>
          </w:p>
        </w:tc>
      </w:tr>
      <w:tr>
        <w:trPr>
          <w:tblHeader w:val="false"/>
        </w:trPr>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EV-02</w:t>
            </w:r>
          </w:p>
        </w:tc>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Error en procesamiento de lote nocturno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15-Feb</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$8.600</w:t>
            </w:r>
          </w:p>
        </w:tc>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Cambio no documentado en esquema de BD realizado por Desarrollo</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Proceso de change mgmt reforzado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EV-03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Error en procesamiento de lote nocturno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03-May</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$11.400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Script de conciliación sin manejo de excepción ante timeout de conexión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Fix aplicado. Checkpoints en desarrollo</w:t>
            </w:r>
          </w:p>
        </w:tc>
      </w:tr>
    </w:tbl>
    <w:p>
      <w:pPr>
        <w:spacing w:after="80"/>
      </w:pPr>
      <w:r>
        <w:t xml:space="preserve"/>
      </w:r>
    </w:p>
    <w:p>
      <w:pPr>
        <w:spacing w:after="120"/>
      </w:pPr>
      <w:r>
        <w:rPr>
          <w:rFonts w:ascii="Arial" w:cs="Arial" w:eastAsia="Arial" w:hAnsi="Arial"/>
          <w:sz w:val="22"/>
          <w:szCs w:val="22"/>
        </w:rPr>
        <w:t xml:space="preserve">El análisis de los tres eventos identifica dos patrones recurrentes: (1) ausencia de controles preventivos en los procesos de cambio técnico, que en dos de los tres eventos fue el factor desencadenante, y (2) ausencia de mecanismos de detección temprana que hubieran permitido actuar antes de que el error generara pérdida económica. Ambos patrones están siendo abordados en los planes de remediación detallados en la sección 6.</w:t>
      </w:r>
    </w:p>
    <w:p>
      <w:pPr>
        <w:spacing w:after="80"/>
      </w:pPr>
      <w:r>
        <w:t xml:space="preserve"/>
      </w:r>
    </w:p>
    <w:p>
      <w:pPr>
        <w:pStyle w:val="Heading2"/>
      </w:pPr>
      <w:r>
        <w:rPr>
          <w:rFonts w:ascii="Arial" w:cs="Arial" w:eastAsia="Arial" w:hAnsi="Arial"/>
          <w:b/>
          <w:bCs/>
          <w:color w:val="2C2C7A"/>
          <w:sz w:val="24"/>
          <w:szCs w:val="24"/>
        </w:rPr>
        <w:t xml:space="preserve">6. Índice de Cobertura de Controles</w:t>
      </w:r>
    </w:p>
    <w:p>
      <w:pPr>
        <w:spacing w:after="120"/>
      </w:pPr>
      <w:r>
        <w:rPr>
          <w:rFonts w:ascii="Arial" w:cs="Arial" w:eastAsia="Arial" w:hAnsi="Arial"/>
          <w:sz w:val="22"/>
          <w:szCs w:val="22"/>
        </w:rPr>
        <w:t xml:space="preserve">Para cada categoría de riesgo se evalúa la cobertura de controles implementados versus los controles requeridos por la política de gestión de riesgos aprobada. El índice de cobertura permite identificar brechas prioritarias.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560"/>
        <w:gridCol w:w="180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Controles requeridos</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Controles implementados</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cobertura</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Brechas activas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Fraude externo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 (en ejecución)</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Fallas de sistemas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Errores en procesos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 (2 críticas)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Riesgo de terceros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60%</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(1 crítica)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Cumplimiento regulatorio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r>
    </w:tbl>
    <w:p>
      <w:pPr>
        <w:spacing w:after="80"/>
      </w:pPr>
      <w:r>
        <w:t xml:space="preserve"/>
      </w:r>
    </w:p>
    <w:p>
      <w:pPr>
        <w:spacing w:after="120"/>
      </w:pPr>
      <w:r>
        <w:rPr>
          <w:rFonts w:ascii="Arial" w:cs="Arial" w:eastAsia="Arial" w:hAnsi="Arial"/>
          <w:sz w:val="22"/>
          <w:szCs w:val="22"/>
        </w:rPr>
        <w:t xml:space="preserve">Las categorías de 'Errores en procesos' (67%) y 'Riesgo de terceros' (60%) son las que presentan menor cobertura. En ambos casos, las brechas más críticas corresponden al riesgo de proveedor único (R-18) y a la ausencia de checkpoints en el procesamiento nocturno (R-12), ambos con planes de remediación en curso.</w:t>
      </w:r>
    </w:p>
    <w:p>
      <w:pPr>
        <w:spacing w:after="80"/>
      </w:pPr>
      <w:r>
        <w:t xml:space="preserve"/>
      </w:r>
    </w:p>
    <w:p>
      <w:pPr>
        <w:pStyle w:val="Heading2"/>
      </w:pPr>
      <w:r>
        <w:rPr>
          <w:rFonts w:ascii="Arial" w:cs="Arial" w:eastAsia="Arial" w:hAnsi="Arial"/>
          <w:b/>
          <w:bCs/>
          <w:color w:val="2C2C7A"/>
          <w:sz w:val="24"/>
          <w:szCs w:val="24"/>
        </w:rPr>
        <w:t xml:space="preserve">7. Controles y Planes de Mitigación Implementados</w:t>
      </w:r>
    </w:p>
    <w:p>
      <w:pPr>
        <w:pStyle w:val="ListParagraph"/>
        <w:numPr>
          <w:ilvl w:val="0"/>
          <w:numId w:val="2"/>
        </w:numPr>
        <w:spacing w:after="80"/>
      </w:pPr>
      <w:r>
        <w:rPr>
          <w:rFonts w:ascii="Arial" w:cs="Arial" w:eastAsia="Arial" w:hAnsi="Arial"/>
          <w:sz w:val="22"/>
          <w:szCs w:val="22"/>
        </w:rPr>
        <w:t xml:space="preserve">Implementación de motor de reglas anti-fraude con 12 nuevas reglas de detección para reversiones, transacciones con patrones inusuales y accesos desde ubicaciones atípicas. Resultado: reducción del 60% en reversiones fraudulentas desde mayo.</w:t>
      </w:r>
    </w:p>
    <w:p>
      <w:pPr>
        <w:pStyle w:val="ListParagraph"/>
        <w:numPr>
          <w:ilvl w:val="0"/>
          <w:numId w:val="2"/>
        </w:numPr>
        <w:spacing w:after="80"/>
      </w:pPr>
      <w:r>
        <w:rPr>
          <w:rFonts w:ascii="Arial" w:cs="Arial" w:eastAsia="Arial" w:hAnsi="Arial"/>
          <w:sz w:val="22"/>
          <w:szCs w:val="22"/>
        </w:rPr>
        <w:t xml:space="preserve">Revisión y actualización de scripts de procesamiento nocturno con checkpoints automáticos entre etapas. Estado: 70% completado. Finalización estimada: 31 de julio.</w:t>
      </w:r>
    </w:p>
    <w:p>
      <w:pPr>
        <w:pStyle w:val="ListParagraph"/>
        <w:numPr>
          <w:ilvl w:val="0"/>
          <w:numId w:val="2"/>
        </w:numPr>
        <w:spacing w:after="80"/>
      </w:pPr>
      <w:r>
        <w:rPr>
          <w:rFonts w:ascii="Arial" w:cs="Arial" w:eastAsia="Arial" w:hAnsi="Arial"/>
          <w:sz w:val="22"/>
          <w:szCs w:val="22"/>
        </w:rPr>
        <w:t xml:space="preserve">Implementación de proceso obligatorio de registro y aprobación de cambios en esquemas de base de datos, con revisión por parte del equipo de Riesgos antes del deploy.</w:t>
      </w:r>
    </w:p>
    <w:p>
      <w:pPr>
        <w:pStyle w:val="ListParagraph"/>
        <w:numPr>
          <w:ilvl w:val="0"/>
          <w:numId w:val="2"/>
        </w:numPr>
        <w:spacing w:after="80"/>
      </w:pPr>
      <w:r>
        <w:rPr>
          <w:rFonts w:ascii="Arial" w:cs="Arial" w:eastAsia="Arial" w:hAnsi="Arial"/>
          <w:sz w:val="22"/>
          <w:szCs w:val="22"/>
        </w:rPr>
        <w:t xml:space="preserve">Inicio del proceso de licitación para proveedor de procesamiento alternativo. Estado: definición de requisitos completada; convocatoria a proveedores en curso. Aprobación presupuestaria pendiente.</w:t>
      </w:r>
    </w:p>
    <w:p>
      <w:pPr>
        <w:pStyle w:val="ListParagraph"/>
        <w:numPr>
          <w:ilvl w:val="0"/>
          <w:numId w:val="2"/>
        </w:numPr>
        <w:spacing w:after="80"/>
      </w:pPr>
      <w:r>
        <w:rPr>
          <w:rFonts w:ascii="Arial" w:cs="Arial" w:eastAsia="Arial" w:hAnsi="Arial"/>
          <w:sz w:val="22"/>
          <w:szCs w:val="22"/>
        </w:rPr>
        <w:t xml:space="preserve">Plan de enmascarado de datos en entornos de testing: entorno 1 completado; entornos 2 y 3 en progreso. Meta: completar antes del 31 de agosto.</w:t>
      </w:r>
    </w:p>
    <w:p>
      <w:pPr>
        <w:pStyle w:val="ListParagraph"/>
        <w:numPr>
          <w:ilvl w:val="0"/>
          <w:numId w:val="2"/>
        </w:numPr>
        <w:spacing w:after="80"/>
      </w:pPr>
      <w:r>
        <w:rPr>
          <w:rFonts w:ascii="Arial" w:cs="Arial" w:eastAsia="Arial" w:hAnsi="Arial"/>
          <w:sz w:val="22"/>
          <w:szCs w:val="22"/>
        </w:rPr>
        <w:t xml:space="preserve">Documentación de backups para 4 de los 6 procesos con conocimiento concentrado. Los 2 procesos restantes (conciliación diaria y gestión de excepciones) serán completados en julio.</w:t>
      </w:r>
    </w:p>
    <w:p>
      <w:pPr>
        <w:spacing w:after="80"/>
      </w:pPr>
      <w:r>
        <w:t xml:space="preserve"/>
      </w:r>
    </w:p>
    <w:p>
      <w:pPr>
        <w:pStyle w:val="Heading2"/>
      </w:pPr>
      <w:r>
        <w:rPr>
          <w:rFonts w:ascii="Arial" w:cs="Arial" w:eastAsia="Arial" w:hAnsi="Arial"/>
          <w:b/>
          <w:bCs/>
          <w:color w:val="2C2C7A"/>
          <w:sz w:val="24"/>
          <w:szCs w:val="24"/>
        </w:rPr>
        <w:t xml:space="preserve">8. Brechas Pendientes de Resolución</w:t>
      </w:r>
    </w:p>
    <w:p>
      <w:pPr>
        <w:spacing w:after="120"/>
      </w:pPr>
      <w:r>
        <w:rPr>
          <w:rFonts w:ascii="Arial" w:cs="Arial" w:eastAsia="Arial" w:hAnsi="Arial"/>
          <w:sz w:val="22"/>
          <w:szCs w:val="22"/>
        </w:rPr>
        <w:t xml:space="preserve">Se identifican 4 brechas de control que no pudieron ser resueltas en el semestre por restricciones presupuestarias o dependencias tecnológicas. Cada brecha tiene asignado un responsable de área y fecha compromiso: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800"/>
        <w:gridCol w:w="1600"/>
        <w:gridCol w:w="1160"/>
      </w:tblGrid>
      <w:tr>
        <w:trPr>
          <w:tblHeader/>
        </w:trPr>
        <w:tc>
          <w:tcPr>
            <w:tcW w:type="dxa" w:w="2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Brecha</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Riesgo asociado</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Criticidad</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Responsable</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Fecha compromiso</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Bloqueante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Plan de continuidad para proveedor principal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R-18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Gerencia Tecnología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30-Sep-2024</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Aprobación presupuestaria</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Enmascarado datos en testing (entornos 2 y 3)</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R-21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Core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31-Ago-2024</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Recursos técnicos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Revisión contratos proveedores críticos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R-18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Legal + Compras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30-Sep-2024</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Disponibilidad proveedor</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Actualización del BCP (última versión: 2021)</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Varios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Media</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 Operaciones</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30-Oct-2024</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Coordinación inter-áreas</w:t>
            </w:r>
          </w:p>
        </w:tc>
      </w:tr>
    </w:tbl>
    <w:p>
      <w:pPr>
        <w:spacing w:after="80"/>
      </w:pPr>
      <w:r>
        <w:t xml:space="preserve"/>
      </w:r>
    </w:p>
    <w:p>
      <w:pPr>
        <w:pStyle w:val="Heading2"/>
      </w:pPr>
      <w:r>
        <w:rPr>
          <w:rFonts w:ascii="Arial" w:cs="Arial" w:eastAsia="Arial" w:hAnsi="Arial"/>
          <w:b/>
          <w:bCs/>
          <w:color w:val="2C2C7A"/>
          <w:sz w:val="24"/>
          <w:szCs w:val="24"/>
        </w:rPr>
        <w:t xml:space="preserve">9. Recomendaciones para el Segundo Semestre</w:t>
      </w:r>
    </w:p>
    <w:p>
      <w:pPr>
        <w:spacing w:after="120"/>
      </w:pPr>
      <w:r>
        <w:rPr>
          <w:rFonts w:ascii="Arial" w:cs="Arial" w:eastAsia="Arial" w:hAnsi="Arial"/>
          <w:b/>
          <w:bCs/>
          <w:sz w:val="22"/>
          <w:szCs w:val="22"/>
        </w:rPr>
        <w:t xml:space="preserve">Prioridad 1 — Aprobar presupuesto para proveedor de procesamiento alternativo: </w:t>
      </w:r>
      <w:r>
        <w:rPr>
          <w:rFonts w:ascii="Arial" w:cs="Arial" w:eastAsia="Arial" w:hAnsi="Arial"/>
          <w:sz w:val="22"/>
          <w:szCs w:val="22"/>
        </w:rPr>
        <w:t xml:space="preserve">El riesgo de concentración en un único proveedor (R-18) es el de mayor impacto potencial en el portafolio de riesgos. El costo estimado de contratar un proveedor alternativo como standby es de $180.000 anuales, versus un impacto potencial de $2,1 millones por hora de inactividad ante una falla prolongada del proveedor actual. Se recomienda llevar esta aprobación al próximo Comité de Directorio.</w:t>
      </w:r>
    </w:p>
    <w:p>
      <w:pPr>
        <w:spacing w:after="80"/>
      </w:pPr>
      <w:r>
        <w:t xml:space="preserve"/>
      </w:r>
    </w:p>
    <w:p>
      <w:pPr>
        <w:spacing w:after="120"/>
      </w:pPr>
      <w:r>
        <w:rPr>
          <w:rFonts w:ascii="Arial" w:cs="Arial" w:eastAsia="Arial" w:hAnsi="Arial"/>
          <w:b/>
          <w:bCs/>
          <w:sz w:val="22"/>
          <w:szCs w:val="22"/>
        </w:rPr>
        <w:t xml:space="preserve">Prioridad 2 — Completar enmascarado de datos en entornos de testing: </w:t>
      </w:r>
      <w:r>
        <w:rPr>
          <w:rFonts w:ascii="Arial" w:cs="Arial" w:eastAsia="Arial" w:hAnsi="Arial"/>
          <w:sz w:val="22"/>
          <w:szCs w:val="22"/>
        </w:rPr>
        <w:t xml:space="preserve">Brecha regulatoria activa bajo la Ley 25.326 y PCI-DSS. Un hallazgo de este tipo en una auditoría externa podría resultar en una observación formal del BCRA y potenciales sanciones. El costo de la remediación es mínimo comparado con el riesgo regulatorio. Completar antes del 31 de agosto.</w:t>
      </w:r>
    </w:p>
    <w:p>
      <w:pPr>
        <w:spacing w:after="80"/>
      </w:pPr>
      <w:r>
        <w:t xml:space="preserve"/>
      </w:r>
    </w:p>
    <w:p>
      <w:pPr>
        <w:spacing w:after="120"/>
      </w:pPr>
      <w:r>
        <w:rPr>
          <w:rFonts w:ascii="Arial" w:cs="Arial" w:eastAsia="Arial" w:hAnsi="Arial"/>
          <w:b/>
          <w:bCs/>
          <w:sz w:val="22"/>
          <w:szCs w:val="22"/>
        </w:rPr>
        <w:t xml:space="preserve">Prioridad 3 — Completar checkpoints en procesamiento nocturno: </w:t>
      </w:r>
      <w:r>
        <w:rPr>
          <w:rFonts w:ascii="Arial" w:cs="Arial" w:eastAsia="Arial" w:hAnsi="Arial"/>
          <w:sz w:val="22"/>
          <w:szCs w:val="22"/>
        </w:rPr>
        <w:t xml:space="preserve">Los dos eventos de pérdida del semestre en esta categoría generaron $20.000 en pérdidas. La automatización de checkpoints eliminará el 80% del tiempo de reprocesamiento manual y reducirá materialmente la exposición a esta categoría de riesgo. Finalizar el proyecto en julio.</w:t>
      </w:r>
    </w:p>
    <w:p>
      <w:pPr>
        <w:spacing w:after="80"/>
      </w:pPr>
      <w:r>
        <w:t xml:space="preserve"/>
      </w:r>
    </w:p>
    <w:p>
      <w:pPr>
        <w:spacing w:after="120"/>
      </w:pPr>
      <w:r>
        <w:rPr>
          <w:rFonts w:ascii="Arial" w:cs="Arial" w:eastAsia="Arial" w:hAnsi="Arial"/>
          <w:b/>
          <w:bCs/>
          <w:sz w:val="22"/>
          <w:szCs w:val="22"/>
        </w:rPr>
        <w:t xml:space="preserve">Prioridad 4 — Actualizar el BCP: </w:t>
      </w:r>
      <w:r>
        <w:rPr>
          <w:rFonts w:ascii="Arial" w:cs="Arial" w:eastAsia="Arial" w:hAnsi="Arial"/>
          <w:sz w:val="22"/>
          <w:szCs w:val="22"/>
        </w:rPr>
        <w:t xml:space="preserve">El plan de continuidad vigente fue aprobado en 2021 y no contempla los cambios operativos y tecnológicos de los últimos 3 años, incluyendo la migración parcial a cloud y la incorporación de Newpay como entidad separada. Proponer un workshop de actualización de 2 días en agosto con participación de todas las áreas críticas.</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Área Risk Newpay</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12 de julio de 2024</w:t>
      </w:r>
    </w:p>
    <w:p>
      <w:pPr>
        <w:spacing w:after="120"/>
      </w:pPr>
      <w:r>
        <w:rPr>
          <w:rFonts w:ascii="Arial" w:cs="Arial" w:eastAsia="Arial" w:hAnsi="Arial"/>
          <w:b/>
          <w:bCs/>
          <w:sz w:val="22"/>
          <w:szCs w:val="22"/>
        </w:rPr>
        <w:t xml:space="preserve">Próxima revisión: </w:t>
      </w:r>
      <w:r>
        <w:rPr>
          <w:rFonts w:ascii="Arial" w:cs="Arial" w:eastAsia="Arial" w:hAnsi="Arial"/>
          <w:sz w:val="22"/>
          <w:szCs w:val="22"/>
        </w:rPr>
        <w:t xml:space="preserve">Cierre S2 2024 — enero 2025</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Comité de Riesgos, CISO, Gerencia de Operaciones, Auditoría Interna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2026-05-25T15:44:33.372Z</dcterms:created>
  <dcterms:modified xsi:type="dcterms:W3CDTF">2026-05-25T15:44:33.372Z</dcterms:modified>
</cp:coreProperties>
</file>

<file path=docProps/custom.xml><?xml version="1.0" encoding="utf-8"?>
<Properties xmlns="http://schemas.openxmlformats.org/officeDocument/2006/custom-properties" xmlns:vt="http://schemas.openxmlformats.org/officeDocument/2006/docPropsVTypes"/>
</file>