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A1A6E"/>
          <w:sz w:val="28"/>
          <w:szCs w:val="28"/>
        </w:rPr>
        <w:t xml:space="preserve">Informe de Estado de Infraestructura IT — Q3 2024</w:t>
      </w:r>
    </w:p>
    <w:p>
      <w:pPr>
        <w:spacing w:after="120"/>
      </w:pPr>
      <w:r>
        <w:rPr>
          <w:rFonts w:ascii="Arial" w:cs="Arial" w:eastAsia="Arial" w:hAnsi="Arial"/>
          <w:b/>
          <w:bCs/>
          <w:sz w:val="22"/>
          <w:szCs w:val="22"/>
        </w:rPr>
        <w:t xml:space="preserve">Área: </w:t>
      </w:r>
      <w:r>
        <w:rPr>
          <w:rFonts w:ascii="Arial" w:cs="Arial" w:eastAsia="Arial" w:hAnsi="Arial"/>
          <w:sz w:val="22"/>
          <w:szCs w:val="22"/>
        </w:rPr>
        <w:t xml:space="preserve">IT Core Issuing | </w:t>
      </w:r>
      <w:r>
        <w:rPr>
          <w:rFonts w:ascii="Arial" w:cs="Arial" w:eastAsia="Arial" w:hAnsi="Arial"/>
          <w:b/>
          <w:bCs/>
          <w:sz w:val="22"/>
          <w:szCs w:val="22"/>
        </w:rPr>
        <w:t xml:space="preserve">Período: </w:t>
      </w:r>
      <w:r>
        <w:rPr>
          <w:rFonts w:ascii="Arial" w:cs="Arial" w:eastAsia="Arial" w:hAnsi="Arial"/>
          <w:sz w:val="22"/>
          <w:szCs w:val="22"/>
        </w:rPr>
        <w:t xml:space="preserve">Julio – Septiembre 2024</w:t>
      </w:r>
    </w:p>
    <w:p>
      <w:pPr>
        <w:spacing w:after="120"/>
      </w:pPr>
      <w:r>
        <w:rPr>
          <w:rFonts w:ascii="Arial" w:cs="Arial" w:eastAsia="Arial" w:hAnsi="Arial"/>
          <w:b/>
          <w:bCs/>
          <w:sz w:val="22"/>
          <w:szCs w:val="22"/>
        </w:rPr>
        <w:t xml:space="preserve">Distribución: </w:t>
      </w:r>
      <w:r>
        <w:rPr>
          <w:rFonts w:ascii="Arial" w:cs="Arial" w:eastAsia="Arial" w:hAnsi="Arial"/>
          <w:sz w:val="22"/>
          <w:szCs w:val="22"/>
        </w:rPr>
        <w:t xml:space="preserve">Gerencia de Tecnología — Uso interno</w:t>
      </w:r>
    </w:p>
    <w:p>
      <w:pPr>
        <w:spacing w:after="120"/>
      </w:pPr>
      <w:r>
        <w:rPr>
          <w:rFonts w:ascii="Arial" w:cs="Arial" w:eastAsia="Arial" w:hAnsi="Arial"/>
          <w:b/>
          <w:bCs/>
          <w:sz w:val="22"/>
          <w:szCs w:val="22"/>
        </w:rPr>
        <w:t xml:space="preserve">Versión: </w:t>
      </w:r>
      <w:r>
        <w:rPr>
          <w:rFonts w:ascii="Arial" w:cs="Arial" w:eastAsia="Arial" w:hAnsi="Arial"/>
          <w:sz w:val="22"/>
          <w:szCs w:val="22"/>
        </w:rPr>
        <w:t xml:space="preserve">2.0 | </w:t>
      </w:r>
      <w:r>
        <w:rPr>
          <w:rFonts w:ascii="Arial" w:cs="Arial" w:eastAsia="Arial" w:hAnsi="Arial"/>
          <w:b/>
          <w:bCs/>
          <w:sz w:val="22"/>
          <w:szCs w:val="22"/>
        </w:rPr>
        <w:t xml:space="preserve">Revisión: </w:t>
      </w:r>
      <w:r>
        <w:rPr>
          <w:rFonts w:ascii="Arial" w:cs="Arial" w:eastAsia="Arial" w:hAnsi="Arial"/>
          <w:sz w:val="22"/>
          <w:szCs w:val="22"/>
        </w:rPr>
        <w:t xml:space="preserve">14 de octubre de 2024</w:t>
      </w:r>
    </w:p>
    <w:p>
      <w:pPr>
        <w:pBdr>
          <w:bottom w:val="single" w:color="1A1A6E" w:sz="4" w:space="1"/>
        </w:pBdr>
        <w:spacing w:after="160"/>
      </w:pPr>
      <w:r>
        <w:t xml:space="preserve"/>
      </w:r>
    </w:p>
    <w:p>
      <w:pPr>
        <w:pStyle w:val="Heading2"/>
      </w:pPr>
      <w:r>
        <w:rPr>
          <w:rFonts w:ascii="Arial" w:cs="Arial" w:eastAsia="Arial" w:hAnsi="Arial"/>
          <w:b/>
          <w:bCs/>
          <w:color w:val="2C2C7A"/>
          <w:sz w:val="24"/>
          <w:szCs w:val="24"/>
        </w:rPr>
        <w:t xml:space="preserve">1. Estado General de la Infraestructura</w:t>
      </w:r>
    </w:p>
    <w:p>
      <w:pPr>
        <w:spacing w:after="120"/>
      </w:pPr>
      <w:r>
        <w:rPr>
          <w:rFonts w:ascii="Arial" w:cs="Arial" w:eastAsia="Arial" w:hAnsi="Arial"/>
          <w:sz w:val="22"/>
          <w:szCs w:val="22"/>
        </w:rPr>
        <w:t xml:space="preserve">Al cierre del tercer trimestre, la infraestructura de IT Core Issuing mantiene un índice de disponibilidad ponderado del 99,71%, levemente por debajo del SLA comprometido del 99,9% (equivalente a un máximo de 2,2 horas de indisponibilidad mensual). La desviación acumulada en el trimestre sumó 8,4 horas distribuidas en 3 eventos, de los cuales 2 fueron incidentes no planificados y 1 correspondió a mantenimiento mal coordinado que extendió la ventana programada.</w:t>
      </w:r>
    </w:p>
    <w:p>
      <w:pPr>
        <w:spacing w:after="120"/>
      </w:pPr>
      <w:r>
        <w:rPr>
          <w:rFonts w:ascii="Arial" w:cs="Arial" w:eastAsia="Arial" w:hAnsi="Arial"/>
          <w:sz w:val="22"/>
          <w:szCs w:val="22"/>
        </w:rPr>
        <w:t xml:space="preserve">El período muestra una dualidad de resultados: por un lado, los proyectos de mejora completados (migración a contenedores, actualización de MySQL, implementación de Redis y DR en Azure) generaron mejoras medibles en performance y resiliencia; por otro lado, la presión creciente sobre la capacidad de almacenamiento y CPU representan riesgos concretos que requieren atención antes de fin de año.</w:t>
      </w:r>
    </w:p>
    <w:p>
      <w:pPr>
        <w:spacing w:after="120"/>
      </w:pPr>
      <w:r>
        <w:rPr>
          <w:rFonts w:ascii="Arial" w:cs="Arial" w:eastAsia="Arial" w:hAnsi="Arial"/>
          <w:sz w:val="22"/>
          <w:szCs w:val="22"/>
        </w:rPr>
        <w:t xml:space="preserve">Se completaron 4 de los 6 proyectos de mejora planificados para el trimestre. Los 2 proyectos postergados se debieron a dependencias con el área de Riesgo (revisión de accesos privilegiados) y a la falta de disponibilidad de un recurso externo especializado (automatización de pruebas de carga).</w:t>
      </w:r>
    </w:p>
    <w:p>
      <w:pPr>
        <w:spacing w:after="80"/>
      </w:pPr>
      <w:r>
        <w:t xml:space="preserve"/>
      </w:r>
    </w:p>
    <w:p>
      <w:pPr>
        <w:pStyle w:val="Heading2"/>
      </w:pPr>
      <w:r>
        <w:rPr>
          <w:rFonts w:ascii="Arial" w:cs="Arial" w:eastAsia="Arial" w:hAnsi="Arial"/>
          <w:b/>
          <w:bCs/>
          <w:color w:val="2C2C7A"/>
          <w:sz w:val="24"/>
          <w:szCs w:val="24"/>
        </w:rPr>
        <w:t xml:space="preserve">2. Disponibilidad por Sistema</w:t>
      </w:r>
    </w:p>
    <w:p>
      <w:pPr>
        <w:spacing w:after="120"/>
      </w:pPr>
      <w:r>
        <w:rPr>
          <w:rFonts w:ascii="Arial" w:cs="Arial" w:eastAsia="Arial" w:hAnsi="Arial"/>
          <w:sz w:val="22"/>
          <w:szCs w:val="22"/>
        </w:rPr>
        <w:t xml:space="preserve">La disponibilidad se mide en base a ventanas de servicio definidas por SLA para cada sistema. Los sistemas críticos tienen ventanas de 24x7; los sistemas de soporte tienen ventanas de 7x18. El cálculo excluye las ventanas de mantenimiento planificado y aprobado con al menos 72 horas de anticipación.</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600"/>
        <w:gridCol w:w="1600"/>
        <w:gridCol w:w="1400"/>
        <w:gridCol w:w="1200"/>
        <w:gridCol w:w="1160"/>
      </w:tblGrid>
      <w:tr>
        <w:trPr>
          <w:tblHeader/>
        </w:trPr>
        <w:tc>
          <w:tcPr>
            <w:tcW w:type="dxa" w:w="24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Sistema</w:t>
            </w:r>
          </w:p>
        </w:tc>
        <w:tc>
          <w:tcPr>
            <w:tcW w:type="dxa" w:w="1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Ventana SLA</w:t>
            </w:r>
          </w:p>
        </w:tc>
        <w:tc>
          <w:tcPr>
            <w:tcW w:type="dxa" w:w="16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Disponibilidad Q3</w:t>
            </w:r>
          </w:p>
        </w:tc>
        <w:tc>
          <w:tcPr>
            <w:tcW w:type="dxa" w:w="16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SLA comprometido</w:t>
            </w:r>
          </w:p>
        </w:tc>
        <w:tc>
          <w:tcPr>
            <w:tcW w:type="dxa" w:w="14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Cumplimiento</w:t>
            </w:r>
          </w:p>
        </w:tc>
        <w:tc>
          <w:tcPr>
            <w:tcW w:type="dxa" w:w="1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Incidentes</w:t>
            </w:r>
          </w:p>
        </w:tc>
        <w:tc>
          <w:tcPr>
            <w:tcW w:type="dxa" w:w="116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Tiempo indisponible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Procesamiento emisión (core)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24x7</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99,71%</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99,9%</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No cumple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1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3,8 hs</w:t>
            </w:r>
          </w:p>
        </w:tc>
      </w:tr>
      <w:tr>
        <w:trPr>
          <w:tblHeader w:val="false"/>
        </w:trPr>
        <w:tc>
          <w:tcPr>
            <w:tcW w:type="dxa" w:w="2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Portal de autogestión</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7x18</w:t>
            </w:r>
          </w:p>
        </w:tc>
        <w:tc>
          <w:tcPr>
            <w:tcW w:type="dxa" w:w="1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99,94%</w:t>
            </w:r>
          </w:p>
        </w:tc>
        <w:tc>
          <w:tcPr>
            <w:tcW w:type="dxa" w:w="1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99,5%</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Cumple</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w:t>
            </w:r>
          </w:p>
        </w:tc>
        <w:tc>
          <w:tcPr>
            <w:tcW w:type="dxa" w:w="11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 hs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API de integración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24x7</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99,88%</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99,8%</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Cumple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w:t>
            </w:r>
          </w:p>
        </w:tc>
        <w:tc>
          <w:tcPr>
            <w:tcW w:type="dxa" w:w="1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1,2 hs</w:t>
            </w:r>
          </w:p>
        </w:tc>
      </w:tr>
      <w:tr>
        <w:trPr>
          <w:tblHeader w:val="false"/>
        </w:trPr>
        <w:tc>
          <w:tcPr>
            <w:tcW w:type="dxa" w:w="2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Motor de autorizaciones</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24x7</w:t>
            </w:r>
          </w:p>
        </w:tc>
        <w:tc>
          <w:tcPr>
            <w:tcW w:type="dxa" w:w="1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99,99%</w:t>
            </w:r>
          </w:p>
        </w:tc>
        <w:tc>
          <w:tcPr>
            <w:tcW w:type="dxa" w:w="1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99,95%</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Cumple</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w:t>
            </w:r>
          </w:p>
        </w:tc>
        <w:tc>
          <w:tcPr>
            <w:tcW w:type="dxa" w:w="11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0,1 hs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Batch nocturno</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Diario 00-04</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98,90%</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99,5%</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No cumple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1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2,4 hs</w:t>
            </w:r>
          </w:p>
        </w:tc>
      </w:tr>
      <w:tr>
        <w:trPr>
          <w:tblHeader w:val="false"/>
        </w:trPr>
        <w:tc>
          <w:tcPr>
            <w:tcW w:type="dxa" w:w="2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Base de datos producción</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24x7</w:t>
            </w:r>
          </w:p>
        </w:tc>
        <w:tc>
          <w:tcPr>
            <w:tcW w:type="dxa" w:w="1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99,97%</w:t>
            </w:r>
          </w:p>
        </w:tc>
        <w:tc>
          <w:tcPr>
            <w:tcW w:type="dxa" w:w="1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99,9%</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Cumple</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w:t>
            </w:r>
          </w:p>
        </w:tc>
        <w:tc>
          <w:tcPr>
            <w:tcW w:type="dxa" w:w="11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0,3 hs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Servidor archivos históricos</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7x18</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99,41%</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99,0%</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Cumple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1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Lentitud, no caída</w:t>
            </w:r>
          </w:p>
        </w:tc>
      </w:tr>
    </w:tbl>
    <w:p>
      <w:pPr>
        <w:spacing w:after="80"/>
      </w:pPr>
      <w:r>
        <w:t xml:space="preserve"/>
      </w:r>
    </w:p>
    <w:p>
      <w:pPr>
        <w:spacing w:after="120"/>
      </w:pPr>
      <w:r>
        <w:rPr>
          <w:rFonts w:ascii="Arial" w:cs="Arial" w:eastAsia="Arial" w:hAnsi="Arial"/>
          <w:sz w:val="22"/>
          <w:szCs w:val="22"/>
        </w:rPr>
        <w:t xml:space="preserve">El sistema de batch nocturno es el de menor disponibilidad del trimestre (98,90%), con 3 eventos de falla que requirieron reprocesamiento manual. Aunque este sistema no tiene impacto directo en clientes (opera en horario de bajo tráfico), su degradación genera sobre-carga en el equipo de operaciones y, en los casos más graves, puede retrasar la disponibilidad de informes matutinos para el área comercial.</w:t>
      </w:r>
    </w:p>
    <w:p>
      <w:pPr>
        <w:spacing w:after="80"/>
      </w:pPr>
      <w:r>
        <w:t xml:space="preserve"/>
      </w:r>
    </w:p>
    <w:p>
      <w:pPr>
        <w:pStyle w:val="Heading2"/>
      </w:pPr>
      <w:r>
        <w:rPr>
          <w:rFonts w:ascii="Arial" w:cs="Arial" w:eastAsia="Arial" w:hAnsi="Arial"/>
          <w:b/>
          <w:bCs/>
          <w:color w:val="2C2C7A"/>
          <w:sz w:val="24"/>
          <w:szCs w:val="24"/>
        </w:rPr>
        <w:t xml:space="preserve">3. Cronología del Incidente Mayor — 14 de Agosto</w:t>
      </w:r>
    </w:p>
    <w:p>
      <w:pPr>
        <w:spacing w:after="120"/>
      </w:pPr>
      <w:r>
        <w:rPr>
          <w:rFonts w:ascii="Arial" w:cs="Arial" w:eastAsia="Arial" w:hAnsi="Arial"/>
          <w:sz w:val="22"/>
          <w:szCs w:val="22"/>
        </w:rPr>
        <w:t xml:space="preserve">El incidente de mayor impacto del trimestre fue la degradación del sistema core de procesamiento de emisión ocurrida el 14 de agosto. A continuación se detalla la cronología completa para documentar lecciones aprendidas.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000"/>
        <w:gridCol w:w="2960"/>
      </w:tblGrid>
      <w:tr>
        <w:trPr>
          <w:tblHeader/>
        </w:trPr>
        <w:tc>
          <w:tcPr>
            <w:tcW w:type="dxa" w:w="1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Hora</w:t>
            </w:r>
          </w:p>
        </w:tc>
        <w:tc>
          <w:tcPr>
            <w:tcW w:type="dxa" w:w="3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Evento</w:t>
            </w:r>
          </w:p>
        </w:tc>
        <w:tc>
          <w:tcPr>
            <w:tcW w:type="dxa" w:w="20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Responsable</w:t>
            </w:r>
          </w:p>
        </w:tc>
        <w:tc>
          <w:tcPr>
            <w:tcW w:type="dxa" w:w="296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Acción tomada</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00:47</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Sistema de monitoreo genera alerta de alta latencia en procesamiento</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SIEM automático</w:t>
            </w:r>
          </w:p>
        </w:tc>
        <w:tc>
          <w:tcPr>
            <w:tcW w:type="dxa" w:w="2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Alerta enviada a canal de guardia</w:t>
            </w:r>
          </w:p>
        </w:tc>
      </w:tr>
      <w:tr>
        <w:trPr>
          <w:tblHeader w:val="false"/>
        </w:trPr>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00:52</w:t>
            </w:r>
          </w:p>
        </w:tc>
        <w:tc>
          <w:tcPr>
            <w:tcW w:type="dxa" w:w="3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Ingeniero de guardia revisa alerta — latencia al 340% del valor normal</w:t>
            </w:r>
          </w:p>
        </w:tc>
        <w:tc>
          <w:tcPr>
            <w:tcW w:type="dxa" w:w="20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Ing. Rodriguez</w:t>
            </w:r>
          </w:p>
        </w:tc>
        <w:tc>
          <w:tcPr>
            <w:tcW w:type="dxa" w:w="29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Inicio de diagnóstico</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01:08</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Se identifica que el despliegue de configuración de balanceo de carga realizado a las 22:30 causó la degradación</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Ing. Rodriguez + Líder IT</w:t>
            </w:r>
          </w:p>
        </w:tc>
        <w:tc>
          <w:tcPr>
            <w:tcW w:type="dxa" w:w="2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Decisión de rollback</w:t>
            </w:r>
          </w:p>
        </w:tc>
      </w:tr>
      <w:tr>
        <w:trPr>
          <w:tblHeader w:val="false"/>
        </w:trPr>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01:23</w:t>
            </w:r>
          </w:p>
        </w:tc>
        <w:tc>
          <w:tcPr>
            <w:tcW w:type="dxa" w:w="3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Inicio de rollback de configuración</w:t>
            </w:r>
          </w:p>
        </w:tc>
        <w:tc>
          <w:tcPr>
            <w:tcW w:type="dxa" w:w="20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Ing. Rodriguez</w:t>
            </w:r>
          </w:p>
        </w:tc>
        <w:tc>
          <w:tcPr>
            <w:tcW w:type="dxa" w:w="29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Procedimiento de rollback estándar</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01:41</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Rollback completado — sistema vuelve a parámetros normales</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Ing. Rodriguez</w:t>
            </w:r>
          </w:p>
        </w:tc>
        <w:tc>
          <w:tcPr>
            <w:tcW w:type="dxa" w:w="2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Verificación de métricas</w:t>
            </w:r>
          </w:p>
        </w:tc>
      </w:tr>
      <w:tr>
        <w:trPr>
          <w:tblHeader w:val="false"/>
        </w:trPr>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01:55</w:t>
            </w:r>
          </w:p>
        </w:tc>
        <w:tc>
          <w:tcPr>
            <w:tcW w:type="dxa" w:w="3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Confirmación de normalización — alerta cerrada</w:t>
            </w:r>
          </w:p>
        </w:tc>
        <w:tc>
          <w:tcPr>
            <w:tcW w:type="dxa" w:w="20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Líder IT</w:t>
            </w:r>
          </w:p>
        </w:tc>
        <w:tc>
          <w:tcPr>
            <w:tcW w:type="dxa" w:w="29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Notificación a gerencia</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02:47</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Procesamiento de transacciones pendientes completado</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Sistema automático</w:t>
            </w:r>
          </w:p>
        </w:tc>
        <w:tc>
          <w:tcPr>
            <w:tcW w:type="dxa" w:w="2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r>
      <w:tr>
        <w:trPr>
          <w:tblHeader w:val="false"/>
        </w:trPr>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09:00</w:t>
            </w:r>
          </w:p>
        </w:tc>
        <w:tc>
          <w:tcPr>
            <w:tcW w:type="dxa" w:w="3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Root cause analysis completado y comunicado al área de Riesgo</w:t>
            </w:r>
          </w:p>
        </w:tc>
        <w:tc>
          <w:tcPr>
            <w:tcW w:type="dxa" w:w="20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Equipo IT</w:t>
            </w:r>
          </w:p>
        </w:tc>
        <w:tc>
          <w:tcPr>
            <w:tcW w:type="dxa" w:w="29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Reporte formal</w:t>
            </w:r>
          </w:p>
        </w:tc>
      </w:tr>
    </w:tbl>
    <w:p>
      <w:pPr>
        <w:spacing w:after="80"/>
      </w:pPr>
      <w:r>
        <w:t xml:space="preserve"/>
      </w:r>
    </w:p>
    <w:p>
      <w:pPr>
        <w:spacing w:after="120"/>
      </w:pPr>
      <w:r>
        <w:rPr>
          <w:rFonts w:ascii="Arial" w:cs="Arial" w:eastAsia="Arial" w:hAnsi="Arial"/>
          <w:sz w:val="22"/>
          <w:szCs w:val="22"/>
        </w:rPr>
        <w:t xml:space="preserve">El tiempo de indisponibilidad total fue de 54 minutos (de 00:47 a 01:41). Las transacciones que llegaron durante ese período (estimadas en 1.840) fueron retenidas y procesadas dentro de los 66 minutos posteriores al restablecimiento del servicio, sin pérdida de datos. La causa raíz fue un error en el script de despliegue de configuración que no fue detectado por las pruebas automáticas previas al deploy porque las pruebas no incluían escenarios de balanceo de carga bajo condiciones de tráfico nocturno bajo.</w:t>
      </w:r>
    </w:p>
    <w:p>
      <w:pPr>
        <w:spacing w:after="80"/>
      </w:pPr>
      <w:r>
        <w:t xml:space="preserve"/>
      </w:r>
    </w:p>
    <w:p>
      <w:pPr>
        <w:pStyle w:val="Heading2"/>
      </w:pPr>
      <w:r>
        <w:rPr>
          <w:rFonts w:ascii="Arial" w:cs="Arial" w:eastAsia="Arial" w:hAnsi="Arial"/>
          <w:b/>
          <w:bCs/>
          <w:color w:val="2C2C7A"/>
          <w:sz w:val="24"/>
          <w:szCs w:val="24"/>
        </w:rPr>
        <w:t xml:space="preserve">4. Incidencias Críticas del Trimestre</w:t>
      </w:r>
    </w:p>
    <w:p>
      <w:pPr>
        <w:spacing w:after="120"/>
      </w:pPr>
      <w:r>
        <w:rPr>
          <w:rFonts w:ascii="Arial" w:cs="Arial" w:eastAsia="Arial" w:hAnsi="Arial"/>
          <w:b/>
          <w:bCs/>
          <w:sz w:val="22"/>
          <w:szCs w:val="22"/>
        </w:rPr>
        <w:t xml:space="preserve">INC-IT-0047 — Degradación del core de procesamiento (14 de agosto, 54 min): </w:t>
      </w:r>
      <w:r>
        <w:rPr>
          <w:rFonts w:ascii="Arial" w:cs="Arial" w:eastAsia="Arial" w:hAnsi="Arial"/>
          <w:sz w:val="22"/>
          <w:szCs w:val="22"/>
        </w:rPr>
        <w:t xml:space="preserve">Descripción detallada en sección 3. Impacto: 1.840 transacciones con procesamiento demorado (no rechazadas). Acción correctiva: las pruebas de despliegue de configuración fueron expandidas para incluir escenarios de tráfico bajo. El proceso de aprobación de cambios de configuración ahora requiere revisión adicional de un segundo ingeniero.</w:t>
      </w:r>
    </w:p>
    <w:p>
      <w:pPr>
        <w:spacing w:after="80"/>
      </w:pPr>
      <w:r>
        <w:t xml:space="preserve"/>
      </w:r>
    </w:p>
    <w:p>
      <w:pPr>
        <w:spacing w:after="120"/>
      </w:pPr>
      <w:r>
        <w:rPr>
          <w:rFonts w:ascii="Arial" w:cs="Arial" w:eastAsia="Arial" w:hAnsi="Arial"/>
          <w:b/>
          <w:bCs/>
          <w:sz w:val="22"/>
          <w:szCs w:val="22"/>
        </w:rPr>
        <w:t xml:space="preserve">INC-IT-0051 — Falla en batch nocturno (3 de septiembre, 2,5 hs reprocesamiento): </w:t>
      </w:r>
      <w:r>
        <w:rPr>
          <w:rFonts w:ascii="Arial" w:cs="Arial" w:eastAsia="Arial" w:hAnsi="Arial"/>
          <w:sz w:val="22"/>
          <w:szCs w:val="22"/>
        </w:rPr>
        <w:t xml:space="preserve">Error en el script de reconciliación que no manejaba correctamente un timeout de conexión a la base de datos extendido. Cuando la conexión tardó más de 30 segundos (umbral hardcodeado en el script), el proceso terminó con código de error sin completar el paso de reconciliación, lo que requirió reprocesamiento manual de 847.000 registros. La causa raíz fue un cambio no documentado en el esquema de base de datos realizado por el equipo de Desarrollo 3 días antes, que aumentó el tamaño promedio de los registros y prolongó los tiempos de query. El proceso de change management fue reforzado: cualquier cambio en esquema de base de datos ahora requiere notificación formal al equipo de Operaciones y evaluación de impacto en procesos batch.</w:t>
      </w:r>
    </w:p>
    <w:p>
      <w:pPr>
        <w:spacing w:after="80"/>
      </w:pPr>
      <w:r>
        <w:t xml:space="preserve"/>
      </w:r>
    </w:p>
    <w:p>
      <w:pPr>
        <w:spacing w:after="120"/>
      </w:pPr>
      <w:r>
        <w:rPr>
          <w:rFonts w:ascii="Arial" w:cs="Arial" w:eastAsia="Arial" w:hAnsi="Arial"/>
          <w:b/>
          <w:bCs/>
          <w:sz w:val="22"/>
          <w:szCs w:val="22"/>
        </w:rPr>
        <w:t xml:space="preserve">INC-IT-0058 — Latencia elevada en API de integración (22 de septiembre, 1,2 hs): </w:t>
      </w:r>
      <w:r>
        <w:rPr>
          <w:rFonts w:ascii="Arial" w:cs="Arial" w:eastAsia="Arial" w:hAnsi="Arial"/>
          <w:sz w:val="22"/>
          <w:szCs w:val="22"/>
        </w:rPr>
        <w:t xml:space="preserve">Aumento del 340% en tiempos de respuesta de la API REST de integración durante horario pico (18:00-19:12). El análisis reveló saturación del pool de conexiones a la base de datos: el pool estaba configurado con un máximo de 50 conexiones concurrentes, umbral alcanzado consistentemente en los últimos 10 minutos del horario pico desde que el volumen de API creció un 23% en Q3. Solución temporal: pool ampliado a 120 conexiones. Solución definitiva en evaluación: connection pooling con PgBouncer para reducir la presión directa sobre la base de datos.</w:t>
      </w:r>
    </w:p>
    <w:p>
      <w:pPr>
        <w:spacing w:after="80"/>
      </w:pPr>
      <w:r>
        <w:t xml:space="preserve"/>
      </w:r>
    </w:p>
    <w:p>
      <w:pPr>
        <w:spacing w:after="120"/>
      </w:pPr>
      <w:r>
        <w:rPr>
          <w:rFonts w:ascii="Arial" w:cs="Arial" w:eastAsia="Arial" w:hAnsi="Arial"/>
          <w:b/>
          <w:bCs/>
          <w:sz w:val="22"/>
          <w:szCs w:val="22"/>
        </w:rPr>
        <w:t xml:space="preserve">INC-IT-0044, 0049, 0055 — Lentitud en servidor de archivos históricos (julio, agosto y septiembre): </w:t>
      </w:r>
      <w:r>
        <w:rPr>
          <w:rFonts w:ascii="Arial" w:cs="Arial" w:eastAsia="Arial" w:hAnsi="Arial"/>
          <w:sz w:val="22"/>
          <w:szCs w:val="22"/>
        </w:rPr>
        <w:t xml:space="preserve">Tres eventos de degradación de performance en el servidor NAS de archivos históricos, con tiempos de respuesta de 25-40 segundos para operaciones que normalmente demoran 1-2 segundos. El servidor se encontraba al 87% de su capacidad al inicio del trimestre y llegó al 90% al cierre. La degradación es consecuencia del mecanismo de indexación que compite con los procesos de lectura/escritura normales a medida que el servidor se acerca a su capacidad máxima. No se produjeron caídas totales, pero la lentitud impacta los procesos de auditoría y los reportes mensuales que requieren acceso a datos históricos.</w:t>
      </w:r>
    </w:p>
    <w:p>
      <w:pPr>
        <w:spacing w:after="80"/>
      </w:pPr>
      <w:r>
        <w:t xml:space="preserve"/>
      </w:r>
    </w:p>
    <w:p>
      <w:pPr>
        <w:pStyle w:val="Heading2"/>
      </w:pPr>
      <w:r>
        <w:rPr>
          <w:rFonts w:ascii="Arial" w:cs="Arial" w:eastAsia="Arial" w:hAnsi="Arial"/>
          <w:b/>
          <w:bCs/>
          <w:color w:val="2C2C7A"/>
          <w:sz w:val="24"/>
          <w:szCs w:val="24"/>
        </w:rPr>
        <w:t xml:space="preserve">5. Proyectos de Mejora — Estado Detallado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000"/>
        <w:gridCol w:w="2600"/>
        <w:gridCol w:w="1760"/>
      </w:tblGrid>
      <w:tr>
        <w:trPr>
          <w:tblHeader/>
        </w:trPr>
        <w:tc>
          <w:tcPr>
            <w:tcW w:type="dxa" w:w="26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Proyecto</w:t>
            </w:r>
          </w:p>
        </w:tc>
        <w:tc>
          <w:tcPr>
            <w:tcW w:type="dxa" w:w="14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Estado</w:t>
            </w:r>
          </w:p>
        </w:tc>
        <w:tc>
          <w:tcPr>
            <w:tcW w:type="dxa" w:w="10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Avance</w:t>
            </w:r>
          </w:p>
        </w:tc>
        <w:tc>
          <w:tcPr>
            <w:tcW w:type="dxa" w:w="26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Resultado / KPI</w:t>
            </w:r>
          </w:p>
        </w:tc>
        <w:tc>
          <w:tcPr>
            <w:tcW w:type="dxa" w:w="176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Observación</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Migración a contenedores Docker</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Completado</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100%</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Tiempo deploy: 4hs→45min (-81%)</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En producción desde julio</w:t>
            </w:r>
          </w:p>
        </w:tc>
      </w:tr>
      <w:tr>
        <w:trPr>
          <w:tblHeader w:val="false"/>
        </w:trPr>
        <w:tc>
          <w:tcPr>
            <w:tcW w:type="dxa" w:w="2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Actualización MySQL 5.7→8.0</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Completado</w:t>
            </w:r>
          </w:p>
        </w:tc>
        <w:tc>
          <w:tcPr>
            <w:tcW w:type="dxa" w:w="10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100%</w:t>
            </w:r>
          </w:p>
        </w:tc>
        <w:tc>
          <w:tcPr>
            <w:tcW w:type="dxa" w:w="2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Performance queries: +18%</w:t>
            </w:r>
          </w:p>
        </w:tc>
        <w:tc>
          <w:tcPr>
            <w:tcW w:type="dxa" w:w="17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Zero downtime migration</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Implementación cache Redis</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Completado</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100%</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Latencia API: -42% promedio</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Hit rate cache: 78%</w:t>
            </w:r>
          </w:p>
        </w:tc>
      </w:tr>
      <w:tr>
        <w:trPr>
          <w:tblHeader w:val="false"/>
        </w:trPr>
        <w:tc>
          <w:tcPr>
            <w:tcW w:type="dxa" w:w="2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DR en cloud Azure</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Completado</w:t>
            </w:r>
          </w:p>
        </w:tc>
        <w:tc>
          <w:tcPr>
            <w:tcW w:type="dxa" w:w="10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100%</w:t>
            </w:r>
          </w:p>
        </w:tc>
        <w:tc>
          <w:tcPr>
            <w:tcW w:type="dxa" w:w="2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RTO: 4hs→45min (-81%)</w:t>
            </w:r>
          </w:p>
        </w:tc>
        <w:tc>
          <w:tcPr>
            <w:tcW w:type="dxa" w:w="17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Drill exitoso 28 agosto</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Revisión accesos privilegiados</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Postergado Q4</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0%</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Pendiente aprobación Risk</w:t>
            </w:r>
          </w:p>
        </w:tc>
      </w:tr>
      <w:tr>
        <w:trPr>
          <w:tblHeader w:val="false"/>
        </w:trPr>
        <w:tc>
          <w:tcPr>
            <w:tcW w:type="dxa" w:w="2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Automatización pruebas de carga</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En progreso</w:t>
            </w:r>
          </w:p>
        </w:tc>
        <w:tc>
          <w:tcPr>
            <w:tcW w:type="dxa" w:w="10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55%</w:t>
            </w:r>
          </w:p>
        </w:tc>
        <w:tc>
          <w:tcPr>
            <w:tcW w:type="dxa" w:w="2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17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Finalización: noviembre 2024</w:t>
            </w:r>
          </w:p>
        </w:tc>
      </w:tr>
    </w:tbl>
    <w:p>
      <w:pPr>
        <w:spacing w:after="80"/>
      </w:pPr>
      <w:r>
        <w:t xml:space="preserve"/>
      </w:r>
    </w:p>
    <w:p>
      <w:pPr>
        <w:spacing w:after="120"/>
      </w:pPr>
      <w:r>
        <w:rPr>
          <w:rFonts w:ascii="Arial" w:cs="Arial" w:eastAsia="Arial" w:hAnsi="Arial"/>
          <w:sz w:val="22"/>
          <w:szCs w:val="22"/>
        </w:rPr>
        <w:t xml:space="preserve">El resultado más significativo del trimestre en términos de resiliencia es el completamiento del DR en Azure, que redujo el Recovery Time Objective (RTO) de 4 horas a 45 minutos. El drill de recuperación ante desastres realizado el 28 de agosto validó que el proceso de failover puede completarse dentro de ese tiempo y que los datos replicados son consistentes. El Recovery Point Objective (RPO) se mantuvo en 15 minutos, sin cambios respecto al diseño anterior.</w:t>
      </w:r>
    </w:p>
    <w:p>
      <w:pPr>
        <w:spacing w:after="80"/>
      </w:pPr>
      <w:r>
        <w:t xml:space="preserve"/>
      </w:r>
    </w:p>
    <w:p>
      <w:pPr>
        <w:pStyle w:val="Heading2"/>
      </w:pPr>
      <w:r>
        <w:rPr>
          <w:rFonts w:ascii="Arial" w:cs="Arial" w:eastAsia="Arial" w:hAnsi="Arial"/>
          <w:b/>
          <w:bCs/>
          <w:color w:val="2C2C7A"/>
          <w:sz w:val="24"/>
          <w:szCs w:val="24"/>
        </w:rPr>
        <w:t xml:space="preserve">6. Indicadores de Capacidad — Análisis y Proyecciones</w:t>
      </w:r>
    </w:p>
    <w:p>
      <w:pPr>
        <w:spacing w:after="120"/>
      </w:pPr>
      <w:r>
        <w:rPr>
          <w:rFonts w:ascii="Arial" w:cs="Arial" w:eastAsia="Arial" w:hAnsi="Arial"/>
          <w:sz w:val="22"/>
          <w:szCs w:val="22"/>
        </w:rPr>
        <w:t xml:space="preserve">El análisis de capacidad es el área de mayor atención para Q4. Tres recursos muestran tendencias que requieren acción antes de fin de año.</w:t>
      </w:r>
    </w:p>
    <w:p>
      <w:pPr>
        <w:spacing w:after="120"/>
      </w:pPr>
      <w:r>
        <w:rPr>
          <w:rFonts w:ascii="Arial" w:cs="Arial" w:eastAsia="Arial" w:hAnsi="Arial"/>
          <w:b/>
          <w:bCs/>
          <w:sz w:val="22"/>
          <w:szCs w:val="22"/>
        </w:rPr>
        <w:t xml:space="preserve">Almacenamiento histórico (NAS) — Situación crítica: </w:t>
      </w:r>
      <w:r>
        <w:rPr>
          <w:rFonts w:ascii="Arial" w:cs="Arial" w:eastAsia="Arial" w:hAnsi="Arial"/>
          <w:sz w:val="22"/>
          <w:szCs w:val="22"/>
        </w:rPr>
        <w:t xml:space="preserve">El servidor NAS alcanzó el 90% de su capacidad total (45 TB de 50 TB) al 30 de septiembre. A la tasa de crecimiento actual de 1,2 TB/mes, se alcanzará el umbral operativo del 95% en aproximadamente 4 semanas y el máximo del 100% en 8 semanas. Los procesos de backup automático están configurados para fallar si el servidor supera el 95%, lo que generaría un riesgo de pérdida de datos de respaldo.</w:t>
      </w:r>
    </w:p>
    <w:p>
      <w:pPr>
        <w:spacing w:after="8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760"/>
        <w:gridCol w:w="1800"/>
        <w:gridCol w:w="1800"/>
      </w:tblGrid>
      <w:tr>
        <w:trPr>
          <w:tblHeader/>
        </w:trPr>
        <w:tc>
          <w:tcPr>
            <w:tcW w:type="dxa" w:w="24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Recurso</w:t>
            </w:r>
          </w:p>
        </w:tc>
        <w:tc>
          <w:tcPr>
            <w:tcW w:type="dxa" w:w="18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Capacidad total</w:t>
            </w:r>
          </w:p>
        </w:tc>
        <w:tc>
          <w:tcPr>
            <w:tcW w:type="dxa" w:w="18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Uso actual</w:t>
            </w:r>
          </w:p>
        </w:tc>
        <w:tc>
          <w:tcPr>
            <w:tcW w:type="dxa" w:w="176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Crecimiento mensual</w:t>
            </w:r>
          </w:p>
        </w:tc>
        <w:tc>
          <w:tcPr>
            <w:tcW w:type="dxa" w:w="18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Umbral operativo</w:t>
            </w:r>
          </w:p>
        </w:tc>
        <w:tc>
          <w:tcPr>
            <w:tcW w:type="dxa" w:w="18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Tiempo estimado al umbral</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NAS archivos históricos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50 TB</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45 TB (90%)</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1,2 TB/mes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95% (47,5 TB)</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~4 semanas</w:t>
            </w:r>
          </w:p>
        </w:tc>
      </w:tr>
      <w:tr>
        <w:trPr>
          <w:tblHeader w:val="false"/>
        </w:trPr>
        <w:tc>
          <w:tcPr>
            <w:tcW w:type="dxa" w:w="2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CPU servidores batch</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82% pico cierre mes</w:t>
            </w:r>
          </w:p>
        </w:tc>
        <w:tc>
          <w:tcPr>
            <w:tcW w:type="dxa" w:w="17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 mensual</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85% sostenido</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Marzo 2025</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RAM servidores app</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61% promedio (74% pico)</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~0,5% mensual</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85%</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Sin alerta próxima</w:t>
            </w:r>
          </w:p>
        </w:tc>
      </w:tr>
      <w:tr>
        <w:trPr>
          <w:tblHeader w:val="false"/>
        </w:trPr>
        <w:tc>
          <w:tcPr>
            <w:tcW w:type="dxa" w:w="2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Ancho de banda red</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 Gbps</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7,1 Gbps pico (71%)</w:t>
            </w:r>
          </w:p>
        </w:tc>
        <w:tc>
          <w:tcPr>
            <w:tcW w:type="dxa" w:w="17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~2% mensual</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80% (8 Gbps)</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Diciembre 2024</w:t>
            </w:r>
          </w:p>
        </w:tc>
      </w:tr>
    </w:tbl>
    <w:p>
      <w:pPr>
        <w:spacing w:after="80"/>
      </w:pPr>
      <w:r>
        <w:t xml:space="preserve"/>
      </w:r>
    </w:p>
    <w:p>
      <w:pPr>
        <w:spacing w:after="120"/>
      </w:pPr>
      <w:r>
        <w:rPr>
          <w:rFonts w:ascii="Arial" w:cs="Arial" w:eastAsia="Arial" w:hAnsi="Arial"/>
          <w:sz w:val="22"/>
          <w:szCs w:val="22"/>
        </w:rPr>
        <w:t xml:space="preserve">Las opciones evaluadas para el NAS incluyen: (A) expansión de capacidad in-house con 10 TB adicionales, costo $18.000 único + $800/mes de mantenimiento, tiempo de implementación 1 semana; (B) política de archivado automático en Azure Blob Storage para datos con más de 36 meses de antigüedad, costo ~$600/mes recurrente, tiempo de implementación 3-4 semanas, con ventaja adicional de reducir la tasa de crecimiento del NAS de 1,2 TB a 0,4 TB/mes hacia adelante. La recomendación del equipo es ejecutar la opción A como medida de emergencia inmediata y la opción B en paralelo como solución estructural.</w:t>
      </w:r>
    </w:p>
    <w:p>
      <w:pPr>
        <w:spacing w:after="80"/>
      </w:pPr>
      <w:r>
        <w:t xml:space="preserve"/>
      </w:r>
    </w:p>
    <w:p>
      <w:pPr>
        <w:pStyle w:val="Heading2"/>
      </w:pPr>
      <w:r>
        <w:rPr>
          <w:rFonts w:ascii="Arial" w:cs="Arial" w:eastAsia="Arial" w:hAnsi="Arial"/>
          <w:b/>
          <w:bCs/>
          <w:color w:val="2C2C7A"/>
          <w:sz w:val="24"/>
          <w:szCs w:val="24"/>
        </w:rPr>
        <w:t xml:space="preserve">7. Resultado del Drill de Recuperación ante Desastres</w:t>
      </w:r>
    </w:p>
    <w:p>
      <w:pPr>
        <w:spacing w:after="120"/>
      </w:pPr>
      <w:r>
        <w:rPr>
          <w:rFonts w:ascii="Arial" w:cs="Arial" w:eastAsia="Arial" w:hAnsi="Arial"/>
          <w:sz w:val="22"/>
          <w:szCs w:val="22"/>
        </w:rPr>
        <w:t xml:space="preserve">El 28 de agosto se realizó el drill anual de DR, el primero desde la migración del entorno de recuperación a Azure. El ejercicio simuló la pérdida total del datacenter primario y validó el proceso de failover al entorno de Azure.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2360"/>
      </w:tblGrid>
      <w:tr>
        <w:trPr>
          <w:tblHeader/>
        </w:trPr>
        <w:tc>
          <w:tcPr>
            <w:tcW w:type="dxa" w:w="28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Métrica del Drill</w:t>
            </w:r>
          </w:p>
        </w:tc>
        <w:tc>
          <w:tcPr>
            <w:tcW w:type="dxa" w:w="16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Resultado</w:t>
            </w:r>
          </w:p>
        </w:tc>
        <w:tc>
          <w:tcPr>
            <w:tcW w:type="dxa" w:w="16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Objetivo</w:t>
            </w:r>
          </w:p>
        </w:tc>
        <w:tc>
          <w:tcPr>
            <w:tcW w:type="dxa" w:w="236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Evaluación</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Tiempo de detección del evento</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 min</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&lt; 5 min</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Cumplido</w:t>
            </w:r>
          </w:p>
        </w:tc>
      </w:tr>
      <w:tr>
        <w:trPr>
          <w:tblHeader w:val="false"/>
        </w:trPr>
        <w:tc>
          <w:tcPr>
            <w:tcW w:type="dxa" w:w="2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Tiempo de activación del protocolo DR</w:t>
            </w:r>
          </w:p>
        </w:tc>
        <w:tc>
          <w:tcPr>
            <w:tcW w:type="dxa" w:w="1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8 min</w:t>
            </w:r>
          </w:p>
        </w:tc>
        <w:tc>
          <w:tcPr>
            <w:tcW w:type="dxa" w:w="1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&lt; 15 min</w:t>
            </w:r>
          </w:p>
        </w:tc>
        <w:tc>
          <w:tcPr>
            <w:tcW w:type="dxa" w:w="23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Cumplido</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Tiempo de failover a Azure (RTO)</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42 min</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&lt; 45 min</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Cumplido (al límite)</w:t>
            </w:r>
          </w:p>
        </w:tc>
      </w:tr>
      <w:tr>
        <w:trPr>
          <w:tblHeader w:val="false"/>
        </w:trPr>
        <w:tc>
          <w:tcPr>
            <w:tcW w:type="dxa" w:w="2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Consistencia de datos replicados (RPO)</w:t>
            </w:r>
          </w:p>
        </w:tc>
        <w:tc>
          <w:tcPr>
            <w:tcW w:type="dxa" w:w="1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12 min de delta</w:t>
            </w:r>
          </w:p>
        </w:tc>
        <w:tc>
          <w:tcPr>
            <w:tcW w:type="dxa" w:w="1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&lt; 15 min</w:t>
            </w:r>
          </w:p>
        </w:tc>
        <w:tc>
          <w:tcPr>
            <w:tcW w:type="dxa" w:w="23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Cumplido</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Disponibilidad de sistemas críticos en DR</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100% (7/7)</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100%</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Cumplido</w:t>
            </w:r>
          </w:p>
        </w:tc>
      </w:tr>
      <w:tr>
        <w:trPr>
          <w:tblHeader w:val="false"/>
        </w:trPr>
        <w:tc>
          <w:tcPr>
            <w:tcW w:type="dxa" w:w="2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Comunicación al equipo de guardia</w:t>
            </w:r>
          </w:p>
        </w:tc>
        <w:tc>
          <w:tcPr>
            <w:tcW w:type="dxa" w:w="1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4 min</w:t>
            </w:r>
          </w:p>
        </w:tc>
        <w:tc>
          <w:tcPr>
            <w:tcW w:type="dxa" w:w="1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&lt; 10 min</w:t>
            </w:r>
          </w:p>
        </w:tc>
        <w:tc>
          <w:tcPr>
            <w:tcW w:type="dxa" w:w="23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Cumplido</w:t>
            </w:r>
          </w:p>
        </w:tc>
      </w:tr>
    </w:tbl>
    <w:p>
      <w:pPr>
        <w:spacing w:after="80"/>
      </w:pPr>
      <w:r>
        <w:t xml:space="preserve"/>
      </w:r>
    </w:p>
    <w:p>
      <w:pPr>
        <w:spacing w:after="120"/>
      </w:pPr>
      <w:r>
        <w:rPr>
          <w:rFonts w:ascii="Arial" w:cs="Arial" w:eastAsia="Arial" w:hAnsi="Arial"/>
          <w:sz w:val="22"/>
          <w:szCs w:val="22"/>
        </w:rPr>
        <w:t xml:space="preserve">El drill fue exitoso pero reveló dos áreas de mejora: el failover tardó 42 de los 45 minutos permitidos, dejando poco margen ante complicaciones. Se identificó que el proceso de reconexión de los servicios de autenticación a la base de datos de Azure puede optimizarse para ganar ~8 minutos. La segunda observación fue que 2 de los 12 miembros del equipo no recibieron la notificación de activación del drill en tiempo, lo que requiere revisar el árbol de contactos del protocolo DR.</w:t>
      </w:r>
    </w:p>
    <w:p>
      <w:pPr>
        <w:spacing w:after="80"/>
      </w:pPr>
      <w:r>
        <w:t xml:space="preserve"/>
      </w:r>
    </w:p>
    <w:p>
      <w:pPr>
        <w:pStyle w:val="Heading2"/>
      </w:pPr>
      <w:r>
        <w:rPr>
          <w:rFonts w:ascii="Arial" w:cs="Arial" w:eastAsia="Arial" w:hAnsi="Arial"/>
          <w:b/>
          <w:bCs/>
          <w:color w:val="2C2C7A"/>
          <w:sz w:val="24"/>
          <w:szCs w:val="24"/>
        </w:rPr>
        <w:t xml:space="preserve">8. Recomendaciones para Q4 2024</w:t>
      </w:r>
    </w:p>
    <w:p>
      <w:pPr>
        <w:spacing w:after="120"/>
      </w:pPr>
      <w:r>
        <w:rPr>
          <w:rFonts w:ascii="Arial" w:cs="Arial" w:eastAsia="Arial" w:hAnsi="Arial"/>
          <w:b/>
          <w:bCs/>
          <w:sz w:val="22"/>
          <w:szCs w:val="22"/>
        </w:rPr>
        <w:t xml:space="preserve">1. Acción inmediata — Ampliar almacenamiento NAS (semana del 14 de octubre): </w:t>
      </w:r>
      <w:r>
        <w:rPr>
          <w:rFonts w:ascii="Arial" w:cs="Arial" w:eastAsia="Arial" w:hAnsi="Arial"/>
          <w:sz w:val="22"/>
          <w:szCs w:val="22"/>
        </w:rPr>
        <w:t xml:space="preserve">Contratar los 10 TB adicionales como medida de emergencia e iniciar en paralelo la implementación de la política de archivado en Azure. Sin acción esta semana, el backup automático comenzará a fallar en noviembre.</w:t>
      </w:r>
    </w:p>
    <w:p>
      <w:pPr>
        <w:spacing w:after="80"/>
      </w:pPr>
      <w:r>
        <w:t xml:space="preserve"/>
      </w:r>
    </w:p>
    <w:p>
      <w:pPr>
        <w:spacing w:after="120"/>
      </w:pPr>
      <w:r>
        <w:rPr>
          <w:rFonts w:ascii="Arial" w:cs="Arial" w:eastAsia="Arial" w:hAnsi="Arial"/>
          <w:b/>
          <w:bCs/>
          <w:sz w:val="22"/>
          <w:szCs w:val="22"/>
        </w:rPr>
        <w:t xml:space="preserve">2. Completar automatización de checkpoints en batch nocturno (octubre): </w:t>
      </w:r>
      <w:r>
        <w:rPr>
          <w:rFonts w:ascii="Arial" w:cs="Arial" w:eastAsia="Arial" w:hAnsi="Arial"/>
          <w:sz w:val="22"/>
          <w:szCs w:val="22"/>
        </w:rPr>
        <w:t xml:space="preserve">Los dos incidentes de batch del trimestre tuvieron causa raíz evitable. Los checkpoints automatizados eliminarán el 80% del tiempo de reprocesamiento manual. El proyecto está al 70%; completarlo en octubre.</w:t>
      </w:r>
    </w:p>
    <w:p>
      <w:pPr>
        <w:spacing w:after="80"/>
      </w:pPr>
      <w:r>
        <w:t xml:space="preserve"/>
      </w:r>
    </w:p>
    <w:p>
      <w:pPr>
        <w:spacing w:after="120"/>
      </w:pPr>
      <w:r>
        <w:rPr>
          <w:rFonts w:ascii="Arial" w:cs="Arial" w:eastAsia="Arial" w:hAnsi="Arial"/>
          <w:b/>
          <w:bCs/>
          <w:sz w:val="22"/>
          <w:szCs w:val="22"/>
        </w:rPr>
        <w:t xml:space="preserve">3. Implementar PgBouncer para connection pooling (noviembre): </w:t>
      </w:r>
      <w:r>
        <w:rPr>
          <w:rFonts w:ascii="Arial" w:cs="Arial" w:eastAsia="Arial" w:hAnsi="Arial"/>
          <w:sz w:val="22"/>
          <w:szCs w:val="22"/>
        </w:rPr>
        <w:t xml:space="preserve">El crecimiento del 23% en volumen de API requests en Q3 sugiere que el problema de saturación del pool de conexiones se repetirá en Q4, con mayor intensidad por el período de alta demanda de noviembre-diciembre. Implementar PgBouncer antes de noviembre.</w:t>
      </w:r>
    </w:p>
    <w:p>
      <w:pPr>
        <w:spacing w:after="80"/>
      </w:pPr>
      <w:r>
        <w:t xml:space="preserve"/>
      </w:r>
    </w:p>
    <w:p>
      <w:pPr>
        <w:spacing w:after="120"/>
      </w:pPr>
      <w:r>
        <w:rPr>
          <w:rFonts w:ascii="Arial" w:cs="Arial" w:eastAsia="Arial" w:hAnsi="Arial"/>
          <w:b/>
          <w:bCs/>
          <w:sz w:val="22"/>
          <w:szCs w:val="22"/>
        </w:rPr>
        <w:t xml:space="preserve">4. Optimizar proceso de failover DR para ganar margen sobre el RTO (noviembre): </w:t>
      </w:r>
      <w:r>
        <w:rPr>
          <w:rFonts w:ascii="Arial" w:cs="Arial" w:eastAsia="Arial" w:hAnsi="Arial"/>
          <w:sz w:val="22"/>
          <w:szCs w:val="22"/>
        </w:rPr>
        <w:t xml:space="preserve">El drill mostró que el proceso opera al límite del objetivo de 45 minutos. La optimización de la reconexión de servicios de autenticación permitirá ganar 8 minutos y llegar al failover en ~34 minutos, dando margen real ante complicaciones.</w:t>
      </w:r>
    </w:p>
    <w:p>
      <w:pPr>
        <w:pBdr>
          <w:bottom w:val="single" w:color="1A1A6E" w:sz="4" w:space="1"/>
        </w:pBdr>
        <w:spacing w:after="160"/>
      </w:pPr>
      <w:r>
        <w:t xml:space="preserve"/>
      </w:r>
    </w:p>
    <w:p>
      <w:pPr>
        <w:spacing w:after="120"/>
      </w:pPr>
      <w:r>
        <w:rPr>
          <w:rFonts w:ascii="Arial" w:cs="Arial" w:eastAsia="Arial" w:hAnsi="Arial"/>
          <w:b/>
          <w:bCs/>
          <w:sz w:val="22"/>
          <w:szCs w:val="22"/>
        </w:rPr>
        <w:t xml:space="preserve">Elaborado por: </w:t>
      </w:r>
      <w:r>
        <w:rPr>
          <w:rFonts w:ascii="Arial" w:cs="Arial" w:eastAsia="Arial" w:hAnsi="Arial"/>
          <w:sz w:val="22"/>
          <w:szCs w:val="22"/>
        </w:rPr>
        <w:t xml:space="preserve">IT Core Issuing</w:t>
      </w:r>
    </w:p>
    <w:p>
      <w:pPr>
        <w:spacing w:after="120"/>
      </w:pPr>
      <w:r>
        <w:rPr>
          <w:rFonts w:ascii="Arial" w:cs="Arial" w:eastAsia="Arial" w:hAnsi="Arial"/>
          <w:b/>
          <w:bCs/>
          <w:sz w:val="22"/>
          <w:szCs w:val="22"/>
        </w:rPr>
        <w:t xml:space="preserve">Fecha: </w:t>
      </w:r>
      <w:r>
        <w:rPr>
          <w:rFonts w:ascii="Arial" w:cs="Arial" w:eastAsia="Arial" w:hAnsi="Arial"/>
          <w:sz w:val="22"/>
          <w:szCs w:val="22"/>
        </w:rPr>
        <w:t xml:space="preserve">10 de octubre de 2024</w:t>
      </w:r>
    </w:p>
    <w:p>
      <w:pPr>
        <w:spacing w:after="120"/>
      </w:pPr>
      <w:r>
        <w:rPr>
          <w:rFonts w:ascii="Arial" w:cs="Arial" w:eastAsia="Arial" w:hAnsi="Arial"/>
          <w:b/>
          <w:bCs/>
          <w:sz w:val="22"/>
          <w:szCs w:val="22"/>
        </w:rPr>
        <w:t xml:space="preserve">Distribución: </w:t>
      </w:r>
      <w:r>
        <w:rPr>
          <w:rFonts w:ascii="Arial" w:cs="Arial" w:eastAsia="Arial" w:hAnsi="Arial"/>
          <w:sz w:val="22"/>
          <w:szCs w:val="22"/>
        </w:rPr>
        <w:t xml:space="preserve">Gerencia de Tecnología, Comité de Infraestructura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A1A6E"/>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C2C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2026-05-25T15:46:02.553Z</dcterms:created>
  <dcterms:modified xsi:type="dcterms:W3CDTF">2026-05-25T15:46:02.554Z</dcterms:modified>
</cp:coreProperties>
</file>

<file path=docProps/custom.xml><?xml version="1.0" encoding="utf-8"?>
<Properties xmlns="http://schemas.openxmlformats.org/officeDocument/2006/custom-properties" xmlns:vt="http://schemas.openxmlformats.org/officeDocument/2006/docPropsVTypes"/>
</file>